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5569" w14:textId="77777777" w:rsidR="00F1132D" w:rsidRDefault="001B335E">
      <w:pPr>
        <w:spacing w:line="360" w:lineRule="auto"/>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成品油经营许可服务指南</w:t>
      </w:r>
    </w:p>
    <w:p w14:paraId="2C6175F0" w14:textId="77777777" w:rsidR="00F1132D" w:rsidRDefault="00F1132D">
      <w:pPr>
        <w:spacing w:line="360" w:lineRule="auto"/>
        <w:ind w:firstLineChars="200" w:firstLine="560"/>
        <w:rPr>
          <w:rFonts w:ascii="仿宋_GB2312" w:eastAsia="仿宋_GB2312" w:hAnsi="仿宋"/>
          <w:color w:val="000000" w:themeColor="text1"/>
          <w:sz w:val="28"/>
          <w:szCs w:val="28"/>
        </w:rPr>
      </w:pPr>
    </w:p>
    <w:p w14:paraId="31F63508" w14:textId="77777777" w:rsidR="00F1132D" w:rsidRDefault="001B335E">
      <w:pPr>
        <w:spacing w:line="360"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一、事项名称</w:t>
      </w:r>
      <w:r>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成品油零售经营许可</w:t>
      </w:r>
    </w:p>
    <w:p w14:paraId="4D5D3A43" w14:textId="77777777" w:rsidR="00F1132D" w:rsidRDefault="001B335E">
      <w:pPr>
        <w:spacing w:line="576"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二、办理条件：</w:t>
      </w:r>
    </w:p>
    <w:p w14:paraId="0C910BB0" w14:textId="77777777" w:rsidR="00F1132D" w:rsidRDefault="001B335E">
      <w:pPr>
        <w:spacing w:line="576"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（一）符合当地加油站行业发展规划和相关技术规范要求；</w:t>
      </w:r>
    </w:p>
    <w:p w14:paraId="337A0F44" w14:textId="77777777" w:rsidR="00F1132D" w:rsidRDefault="001B335E">
      <w:pPr>
        <w:spacing w:line="576"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（二）具有长期、稳定的成品油供应渠道，与具有成品油批发经营资格的企业签订</w:t>
      </w: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年以上的与其经营规模相适应的成品油供油协议；</w:t>
      </w:r>
    </w:p>
    <w:p w14:paraId="6CA8839C" w14:textId="77777777" w:rsidR="00F1132D" w:rsidRDefault="001B335E">
      <w:pPr>
        <w:spacing w:line="576"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（三）加油站的设计、施工符合相应的国家标准，并通过国土资源、规划建设、安全监管、公安消防、环境保护、气象、质检等部门的验收；</w:t>
      </w:r>
    </w:p>
    <w:p w14:paraId="17CDE4B2" w14:textId="77777777" w:rsidR="00F1132D" w:rsidRDefault="001B335E">
      <w:pPr>
        <w:spacing w:line="576"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（四）具有成品油检验、计量、储运、消防、安全生产等专业技术人员；</w:t>
      </w:r>
    </w:p>
    <w:p w14:paraId="50CB3F3A" w14:textId="77777777" w:rsidR="00F1132D" w:rsidRDefault="001B335E">
      <w:pPr>
        <w:spacing w:line="576"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（五）从事船用成品油供应经营的水上加油站（船）和岸基加油站（点），除符合上述规定外，还应当符合港口、水上交通安全和防止水域污染等有关规定；</w:t>
      </w:r>
    </w:p>
    <w:p w14:paraId="2045879D" w14:textId="77777777" w:rsidR="00F1132D" w:rsidRDefault="001B335E">
      <w:pPr>
        <w:spacing w:line="576"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（六）面向农村、只销售柴油的加油点，省级人民政府商务主管部门可根据本办法规定具体的设立条件。</w:t>
      </w:r>
    </w:p>
    <w:p w14:paraId="267048F6" w14:textId="77777777" w:rsidR="00F1132D" w:rsidRDefault="001B335E">
      <w:pPr>
        <w:spacing w:line="360"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三、申报材料：</w:t>
      </w:r>
    </w:p>
    <w:p w14:paraId="3CABBE50" w14:textId="77777777" w:rsidR="00F1132D" w:rsidRDefault="001B335E">
      <w:pPr>
        <w:spacing w:line="360"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（一）《成品油零售经营资格申请表》（</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份）；</w:t>
      </w:r>
    </w:p>
    <w:p w14:paraId="23B0DEB4" w14:textId="77777777" w:rsidR="00F1132D" w:rsidRDefault="001B335E">
      <w:pPr>
        <w:spacing w:line="360"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（二）企业出具的申请文件（</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份）；</w:t>
      </w:r>
    </w:p>
    <w:p w14:paraId="535C587C" w14:textId="77777777" w:rsidR="00F1132D" w:rsidRDefault="001B335E">
      <w:pPr>
        <w:spacing w:line="360"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（三）网点规划确认文件或项目预核准文件（原件或复印件，</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份）；</w:t>
      </w:r>
    </w:p>
    <w:p w14:paraId="18BB76A0" w14:textId="77777777" w:rsidR="00F1132D" w:rsidRDefault="001B335E">
      <w:pPr>
        <w:spacing w:line="360"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（四）与成品油批发经营企业签订的供油协议及该企业相关证书（复印件，</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份）；</w:t>
      </w:r>
    </w:p>
    <w:p w14:paraId="6AC288FA" w14:textId="77777777" w:rsidR="00F1132D" w:rsidRDefault="001B335E">
      <w:pPr>
        <w:spacing w:line="360"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（五）市场监管部门核发的营业执照或《企业</w:t>
      </w:r>
      <w:r>
        <w:rPr>
          <w:rFonts w:ascii="仿宋_GB2312" w:eastAsia="仿宋_GB2312" w:hAnsi="仿宋" w:hint="eastAsia"/>
          <w:color w:val="000000" w:themeColor="text1"/>
          <w:sz w:val="28"/>
          <w:szCs w:val="28"/>
        </w:rPr>
        <w:t>名称预先核准通知书》</w:t>
      </w:r>
      <w:r>
        <w:rPr>
          <w:rFonts w:ascii="仿宋_GB2312" w:eastAsia="仿宋_GB2312" w:hAnsi="仿宋" w:hint="eastAsia"/>
          <w:color w:val="000000" w:themeColor="text1"/>
          <w:sz w:val="28"/>
          <w:szCs w:val="28"/>
        </w:rPr>
        <w:lastRenderedPageBreak/>
        <w:t>（复印件，</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份）；</w:t>
      </w:r>
    </w:p>
    <w:p w14:paraId="440DC925" w14:textId="77777777" w:rsidR="00F1132D" w:rsidRDefault="001B335E">
      <w:pPr>
        <w:spacing w:line="360"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（六）法定代表人身份证明及相关证明文件（复印件，</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份）；</w:t>
      </w:r>
    </w:p>
    <w:p w14:paraId="5FEA609D" w14:textId="77777777" w:rsidR="00F1132D" w:rsidRDefault="001B335E">
      <w:pPr>
        <w:spacing w:line="360"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（七）水上加油站（船）还需提供船舶所有权证明、有效的检验证书及满足水域管理部门准入条件的证明文件（复印件，</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份）；</w:t>
      </w:r>
    </w:p>
    <w:p w14:paraId="3D894E83" w14:textId="77777777" w:rsidR="00F1132D" w:rsidRDefault="001B335E">
      <w:pPr>
        <w:spacing w:line="360"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（八）通过招标、拍卖、挂牌方式取得土地使用权的，还应提供省级（或被授权的地市级）商务主管部门同意申请人投标和竞买的预核准文件及国土资源部门核发的国有土地使用权拍卖</w:t>
      </w:r>
      <w:r>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招标、挂牌</w:t>
      </w:r>
      <w:r>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成交确认文件（复印件，</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份）；</w:t>
      </w:r>
    </w:p>
    <w:p w14:paraId="5795CB82" w14:textId="77777777" w:rsidR="00F1132D" w:rsidRDefault="001B335E">
      <w:pPr>
        <w:spacing w:line="360"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（九）加油站（点）及其配套设施的产权证明文件，及相关部门的批准证书及验收合格文件：国土资源</w:t>
      </w:r>
      <w:r>
        <w:rPr>
          <w:rFonts w:ascii="仿宋_GB2312" w:eastAsia="仿宋_GB2312" w:hAnsi="仿宋" w:hint="eastAsia"/>
          <w:color w:val="000000" w:themeColor="text1"/>
          <w:sz w:val="28"/>
          <w:szCs w:val="28"/>
        </w:rPr>
        <w:t>部门核发的加油站</w:t>
      </w:r>
      <w:r>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点</w:t>
      </w:r>
      <w:r>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《国有土地使用证》或土地使用批准确认文件；规划部门核发的加油站</w:t>
      </w:r>
      <w:r>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点</w:t>
      </w:r>
      <w:r>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《建设用地规划许可证》、《建设工程规划许可证》；建设部门核发的加油站</w:t>
      </w:r>
      <w:r>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点</w:t>
      </w:r>
      <w:r>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《建筑工程施工许可证》</w:t>
      </w:r>
      <w:r>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投资</w:t>
      </w:r>
      <w:r>
        <w:rPr>
          <w:rFonts w:ascii="仿宋_GB2312" w:eastAsia="仿宋_GB2312" w:hAnsi="仿宋" w:hint="eastAsia"/>
          <w:color w:val="000000" w:themeColor="text1"/>
          <w:sz w:val="28"/>
          <w:szCs w:val="28"/>
        </w:rPr>
        <w:t>30</w:t>
      </w:r>
      <w:r>
        <w:rPr>
          <w:rFonts w:ascii="仿宋_GB2312" w:eastAsia="仿宋_GB2312" w:hAnsi="仿宋" w:hint="eastAsia"/>
          <w:color w:val="000000" w:themeColor="text1"/>
          <w:sz w:val="28"/>
          <w:szCs w:val="28"/>
        </w:rPr>
        <w:t>万元以下或者建筑面积在</w:t>
      </w:r>
      <w:r>
        <w:rPr>
          <w:rFonts w:ascii="仿宋_GB2312" w:eastAsia="仿宋_GB2312" w:hAnsi="仿宋" w:hint="eastAsia"/>
          <w:color w:val="000000" w:themeColor="text1"/>
          <w:sz w:val="28"/>
          <w:szCs w:val="28"/>
        </w:rPr>
        <w:t>300</w:t>
      </w:r>
      <w:r>
        <w:rPr>
          <w:rFonts w:ascii="仿宋_GB2312" w:eastAsia="仿宋_GB2312" w:hAnsi="仿宋" w:hint="eastAsia"/>
          <w:color w:val="000000" w:themeColor="text1"/>
          <w:sz w:val="28"/>
          <w:szCs w:val="28"/>
        </w:rPr>
        <w:t>平方米以下的可以不提供此证</w:t>
      </w:r>
      <w:r>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消防部门核发的加油站（点）《建筑工程消防验收意见书》；环保部门核发的加油站（点）环境保护验收合格文件或环境影响报告书（表）；气象部门核发的加油站（点）《防雷装置验收合格证》或防雷装置检测报告；质量技术监督部门核发的加油机计量合格的《检定证书》；加油站建设竣工</w:t>
      </w:r>
      <w:r>
        <w:rPr>
          <w:rFonts w:ascii="仿宋_GB2312" w:eastAsia="仿宋_GB2312" w:hAnsi="仿宋" w:hint="eastAsia"/>
          <w:color w:val="000000" w:themeColor="text1"/>
          <w:sz w:val="28"/>
          <w:szCs w:val="28"/>
        </w:rPr>
        <w:t>验收材料（复印件，各</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份）；</w:t>
      </w:r>
      <w:r>
        <w:rPr>
          <w:rFonts w:ascii="仿宋_GB2312" w:eastAsia="仿宋_GB2312" w:hAnsi="仿宋" w:hint="eastAsia"/>
          <w:color w:val="000000" w:themeColor="text1"/>
          <w:sz w:val="28"/>
          <w:szCs w:val="28"/>
        </w:rPr>
        <w:t xml:space="preserve"> </w:t>
      </w:r>
    </w:p>
    <w:p w14:paraId="28AD24DA" w14:textId="77777777" w:rsidR="00F1132D" w:rsidRDefault="001B335E">
      <w:pPr>
        <w:spacing w:line="360"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（十）成品油检验、计量、消防、安全生产等专业技术人员的资格证明（复印件，</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份）；</w:t>
      </w:r>
    </w:p>
    <w:p w14:paraId="156B84E2" w14:textId="77777777" w:rsidR="00F1132D" w:rsidRDefault="001B335E">
      <w:pPr>
        <w:spacing w:line="360"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（十一）安全监管部门核发的《危险化学品经营许可证》（复印件，</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份）；</w:t>
      </w:r>
    </w:p>
    <w:p w14:paraId="58D582BB" w14:textId="77777777" w:rsidR="00F1132D" w:rsidRDefault="001B335E">
      <w:pPr>
        <w:spacing w:line="360"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（十二）外商投资企业还应提交商务部核发的《外商投资企业批准</w:t>
      </w:r>
      <w:r>
        <w:rPr>
          <w:rFonts w:ascii="仿宋_GB2312" w:eastAsia="仿宋_GB2312" w:hAnsi="仿宋" w:hint="eastAsia"/>
          <w:color w:val="000000" w:themeColor="text1"/>
          <w:sz w:val="28"/>
          <w:szCs w:val="28"/>
        </w:rPr>
        <w:lastRenderedPageBreak/>
        <w:t>证书》（复印件，</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份）；</w:t>
      </w:r>
    </w:p>
    <w:p w14:paraId="1205155B" w14:textId="77777777" w:rsidR="00F1132D" w:rsidRDefault="001B335E">
      <w:pPr>
        <w:spacing w:line="360"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（十三）审核机关要求的其他材料（统一坐落证明、加油站外观图、加油站立项证明、资料真实性承诺书、现场核查表各</w:t>
      </w: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份）。</w:t>
      </w:r>
    </w:p>
    <w:p w14:paraId="6810FA3B" w14:textId="77777777" w:rsidR="00F1132D" w:rsidRDefault="001B335E">
      <w:pPr>
        <w:spacing w:line="360" w:lineRule="auto"/>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四、办理流程</w:t>
      </w:r>
      <w:r>
        <w:rPr>
          <w:rFonts w:ascii="仿宋_GB2312" w:eastAsia="仿宋_GB2312" w:hAnsi="仿宋" w:hint="eastAsia"/>
          <w:b/>
          <w:bCs/>
          <w:color w:val="000000" w:themeColor="text1"/>
          <w:sz w:val="28"/>
          <w:szCs w:val="28"/>
        </w:rPr>
        <w:t>（可按照简化优化流程原则进行取舍或简化）</w:t>
      </w: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4665"/>
        <w:gridCol w:w="2865"/>
      </w:tblGrid>
      <w:tr w:rsidR="00F1132D" w14:paraId="6607ADC6" w14:textId="77777777">
        <w:trPr>
          <w:trHeight w:val="757"/>
        </w:trPr>
        <w:tc>
          <w:tcPr>
            <w:tcW w:w="1576" w:type="dxa"/>
            <w:shd w:val="clear" w:color="auto" w:fill="auto"/>
          </w:tcPr>
          <w:p w14:paraId="6E5C8FC8" w14:textId="77777777" w:rsidR="00F1132D" w:rsidRDefault="001B335E">
            <w:pPr>
              <w:spacing w:line="360" w:lineRule="auto"/>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环节名称</w:t>
            </w:r>
          </w:p>
        </w:tc>
        <w:tc>
          <w:tcPr>
            <w:tcW w:w="4665" w:type="dxa"/>
            <w:shd w:val="clear" w:color="auto" w:fill="auto"/>
          </w:tcPr>
          <w:p w14:paraId="7004F080" w14:textId="77777777" w:rsidR="00F1132D" w:rsidRDefault="001B335E">
            <w:pPr>
              <w:spacing w:line="360" w:lineRule="auto"/>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办理内容</w:t>
            </w:r>
          </w:p>
        </w:tc>
        <w:tc>
          <w:tcPr>
            <w:tcW w:w="2865" w:type="dxa"/>
            <w:shd w:val="clear" w:color="auto" w:fill="auto"/>
          </w:tcPr>
          <w:p w14:paraId="088B60A7" w14:textId="77777777" w:rsidR="00F1132D" w:rsidRDefault="001B335E">
            <w:pPr>
              <w:spacing w:line="360" w:lineRule="auto"/>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办理地点</w:t>
            </w:r>
          </w:p>
        </w:tc>
      </w:tr>
      <w:tr w:rsidR="00F1132D" w14:paraId="134A7496" w14:textId="77777777">
        <w:trPr>
          <w:trHeight w:val="1533"/>
        </w:trPr>
        <w:tc>
          <w:tcPr>
            <w:tcW w:w="1576" w:type="dxa"/>
            <w:shd w:val="clear" w:color="auto" w:fill="auto"/>
            <w:vAlign w:val="center"/>
          </w:tcPr>
          <w:p w14:paraId="4FA26D3B" w14:textId="77777777" w:rsidR="00F1132D" w:rsidRDefault="001B335E">
            <w:pPr>
              <w:adjustRightInd w:val="0"/>
              <w:snapToGrid w:val="0"/>
              <w:spacing w:line="360" w:lineRule="auto"/>
              <w:jc w:val="center"/>
              <w:rPr>
                <w:rFonts w:ascii="仿宋_GB2312" w:eastAsia="仿宋_GB2312" w:hAnsi="仿宋"/>
                <w:color w:val="000000" w:themeColor="text1"/>
                <w:sz w:val="24"/>
                <w:szCs w:val="28"/>
              </w:rPr>
            </w:pPr>
            <w:r>
              <w:rPr>
                <w:rFonts w:ascii="仿宋_GB2312" w:eastAsia="仿宋_GB2312" w:hAnsi="仿宋" w:hint="eastAsia"/>
                <w:color w:val="000000" w:themeColor="text1"/>
                <w:sz w:val="24"/>
                <w:szCs w:val="28"/>
              </w:rPr>
              <w:t>受理</w:t>
            </w:r>
          </w:p>
        </w:tc>
        <w:tc>
          <w:tcPr>
            <w:tcW w:w="4665" w:type="dxa"/>
            <w:shd w:val="clear" w:color="auto" w:fill="auto"/>
            <w:vAlign w:val="center"/>
          </w:tcPr>
          <w:p w14:paraId="25454448" w14:textId="77777777" w:rsidR="00F1132D" w:rsidRDefault="001B335E">
            <w:pPr>
              <w:adjustRightInd w:val="0"/>
              <w:snapToGrid w:val="0"/>
              <w:jc w:val="left"/>
              <w:rPr>
                <w:rFonts w:ascii="仿宋_GB2312" w:eastAsia="仿宋_GB2312" w:hAnsi="仿宋"/>
                <w:color w:val="000000" w:themeColor="text1"/>
                <w:sz w:val="24"/>
                <w:szCs w:val="28"/>
              </w:rPr>
            </w:pPr>
            <w:r>
              <w:rPr>
                <w:rFonts w:ascii="仿宋_GB2312" w:eastAsia="仿宋_GB2312" w:hAnsi="仿宋" w:hint="eastAsia"/>
                <w:color w:val="000000" w:themeColor="text1"/>
                <w:sz w:val="24"/>
                <w:szCs w:val="28"/>
              </w:rPr>
              <w:t>申请人提交材料，符合法定形式的依法受理。材料不全或不符合法定形式的，</w:t>
            </w:r>
            <w:proofErr w:type="gramStart"/>
            <w:r>
              <w:rPr>
                <w:rFonts w:ascii="仿宋_GB2312" w:eastAsia="仿宋_GB2312" w:hAnsi="仿宋" w:hint="eastAsia"/>
                <w:color w:val="000000" w:themeColor="text1"/>
                <w:sz w:val="24"/>
                <w:szCs w:val="28"/>
              </w:rPr>
              <w:t>当场或</w:t>
            </w:r>
            <w:proofErr w:type="gramEnd"/>
            <w:r>
              <w:rPr>
                <w:rFonts w:ascii="仿宋_GB2312" w:eastAsia="仿宋_GB2312" w:hAnsi="仿宋" w:hint="eastAsia"/>
                <w:color w:val="000000" w:themeColor="text1"/>
                <w:sz w:val="24"/>
                <w:szCs w:val="28"/>
              </w:rPr>
              <w:t>五日内一次性告知申请人需要补正的全部内容</w:t>
            </w:r>
          </w:p>
        </w:tc>
        <w:tc>
          <w:tcPr>
            <w:tcW w:w="2865" w:type="dxa"/>
            <w:shd w:val="clear" w:color="auto" w:fill="auto"/>
            <w:vAlign w:val="center"/>
          </w:tcPr>
          <w:p w14:paraId="6D593B72" w14:textId="77777777" w:rsidR="00F1132D" w:rsidRDefault="001B335E">
            <w:pPr>
              <w:adjustRightInd w:val="0"/>
              <w:snapToGrid w:val="0"/>
              <w:jc w:val="left"/>
              <w:rPr>
                <w:rFonts w:ascii="仿宋_GB2312" w:eastAsia="仿宋_GB2312" w:hAnsi="仿宋"/>
                <w:color w:val="000000" w:themeColor="text1"/>
                <w:sz w:val="24"/>
                <w:szCs w:val="28"/>
              </w:rPr>
            </w:pPr>
            <w:r>
              <w:rPr>
                <w:rFonts w:ascii="仿宋_GB2312" w:eastAsia="仿宋_GB2312" w:hAnsi="仿宋" w:hint="eastAsia"/>
                <w:color w:val="000000" w:themeColor="text1"/>
                <w:sz w:val="24"/>
                <w:szCs w:val="28"/>
              </w:rPr>
              <w:t>博山区山头街道大观园路</w:t>
            </w:r>
            <w:r>
              <w:rPr>
                <w:rFonts w:ascii="仿宋_GB2312" w:eastAsia="仿宋_GB2312" w:hAnsi="仿宋" w:hint="eastAsia"/>
                <w:color w:val="000000" w:themeColor="text1"/>
                <w:sz w:val="24"/>
                <w:szCs w:val="28"/>
              </w:rPr>
              <w:t>86</w:t>
            </w:r>
            <w:r>
              <w:rPr>
                <w:rFonts w:ascii="仿宋_GB2312" w:eastAsia="仿宋_GB2312" w:hAnsi="仿宋" w:hint="eastAsia"/>
                <w:color w:val="000000" w:themeColor="text1"/>
                <w:sz w:val="24"/>
                <w:szCs w:val="28"/>
              </w:rPr>
              <w:t>号政务服务中心一楼</w:t>
            </w:r>
            <w:r>
              <w:rPr>
                <w:rFonts w:ascii="仿宋_GB2312" w:eastAsia="仿宋_GB2312" w:hAnsi="仿宋" w:hint="eastAsia"/>
                <w:color w:val="000000" w:themeColor="text1"/>
                <w:sz w:val="24"/>
                <w:szCs w:val="28"/>
              </w:rPr>
              <w:t>54</w:t>
            </w:r>
            <w:r>
              <w:rPr>
                <w:rFonts w:ascii="仿宋_GB2312" w:eastAsia="仿宋_GB2312" w:hAnsi="仿宋" w:hint="eastAsia"/>
                <w:color w:val="000000" w:themeColor="text1"/>
                <w:sz w:val="24"/>
                <w:szCs w:val="28"/>
              </w:rPr>
              <w:t>号</w:t>
            </w:r>
          </w:p>
        </w:tc>
      </w:tr>
      <w:tr w:rsidR="00F1132D" w14:paraId="071E6CEE" w14:textId="77777777">
        <w:trPr>
          <w:trHeight w:val="1145"/>
        </w:trPr>
        <w:tc>
          <w:tcPr>
            <w:tcW w:w="1576" w:type="dxa"/>
            <w:shd w:val="clear" w:color="auto" w:fill="auto"/>
            <w:vAlign w:val="center"/>
          </w:tcPr>
          <w:p w14:paraId="2A674ED3" w14:textId="77777777" w:rsidR="00F1132D" w:rsidRDefault="001B335E">
            <w:pPr>
              <w:spacing w:line="360" w:lineRule="auto"/>
              <w:jc w:val="center"/>
              <w:rPr>
                <w:rFonts w:ascii="仿宋_GB2312" w:eastAsia="仿宋_GB2312" w:hAnsi="仿宋"/>
                <w:color w:val="000000" w:themeColor="text1"/>
                <w:sz w:val="24"/>
                <w:szCs w:val="28"/>
              </w:rPr>
            </w:pPr>
            <w:r>
              <w:rPr>
                <w:rFonts w:ascii="仿宋_GB2312" w:eastAsia="仿宋_GB2312" w:hAnsi="仿宋" w:hint="eastAsia"/>
                <w:color w:val="000000" w:themeColor="text1"/>
                <w:sz w:val="24"/>
                <w:szCs w:val="28"/>
              </w:rPr>
              <w:t>承办</w:t>
            </w:r>
          </w:p>
        </w:tc>
        <w:tc>
          <w:tcPr>
            <w:tcW w:w="4665" w:type="dxa"/>
            <w:shd w:val="clear" w:color="auto" w:fill="auto"/>
            <w:vAlign w:val="center"/>
          </w:tcPr>
          <w:p w14:paraId="5847AE32" w14:textId="77777777" w:rsidR="00F1132D" w:rsidRDefault="001B335E">
            <w:pPr>
              <w:adjustRightInd w:val="0"/>
              <w:snapToGrid w:val="0"/>
              <w:jc w:val="left"/>
              <w:rPr>
                <w:rFonts w:ascii="仿宋_GB2312" w:eastAsia="仿宋_GB2312" w:hAnsi="仿宋"/>
                <w:color w:val="000000" w:themeColor="text1"/>
                <w:sz w:val="24"/>
                <w:szCs w:val="28"/>
              </w:rPr>
            </w:pPr>
            <w:r>
              <w:rPr>
                <w:rFonts w:ascii="仿宋_GB2312" w:eastAsia="仿宋_GB2312" w:hAnsi="仿宋" w:hint="eastAsia"/>
                <w:color w:val="000000" w:themeColor="text1"/>
                <w:sz w:val="24"/>
                <w:szCs w:val="28"/>
              </w:rPr>
              <w:t>对申请人提交的材料进行审查，组织</w:t>
            </w:r>
            <w:r>
              <w:rPr>
                <w:rFonts w:ascii="仿宋_GB2312" w:eastAsia="仿宋_GB2312" w:hint="eastAsia"/>
                <w:color w:val="000000" w:themeColor="text1"/>
                <w:sz w:val="24"/>
                <w:szCs w:val="28"/>
              </w:rPr>
              <w:t>2</w:t>
            </w:r>
            <w:r>
              <w:rPr>
                <w:rFonts w:ascii="仿宋_GB2312" w:eastAsia="仿宋_GB2312" w:hint="eastAsia"/>
                <w:color w:val="000000" w:themeColor="text1"/>
                <w:sz w:val="24"/>
                <w:szCs w:val="28"/>
              </w:rPr>
              <w:t>名以上工作人员进行现场审查</w:t>
            </w:r>
          </w:p>
        </w:tc>
        <w:tc>
          <w:tcPr>
            <w:tcW w:w="2865" w:type="dxa"/>
            <w:shd w:val="clear" w:color="auto" w:fill="auto"/>
            <w:vAlign w:val="center"/>
          </w:tcPr>
          <w:p w14:paraId="50F2A12F" w14:textId="77777777" w:rsidR="00F1132D" w:rsidRDefault="001B335E">
            <w:pPr>
              <w:adjustRightInd w:val="0"/>
              <w:snapToGrid w:val="0"/>
              <w:jc w:val="left"/>
              <w:rPr>
                <w:rFonts w:ascii="仿宋_GB2312" w:eastAsia="仿宋_GB2312" w:hAnsi="仿宋"/>
                <w:color w:val="000000" w:themeColor="text1"/>
                <w:sz w:val="24"/>
                <w:szCs w:val="28"/>
              </w:rPr>
            </w:pPr>
            <w:r>
              <w:rPr>
                <w:rFonts w:ascii="仿宋_GB2312" w:eastAsia="仿宋_GB2312" w:hAnsi="仿宋" w:hint="eastAsia"/>
                <w:color w:val="000000" w:themeColor="text1"/>
                <w:sz w:val="24"/>
                <w:szCs w:val="28"/>
              </w:rPr>
              <w:t>博山区山头街道大观园路</w:t>
            </w:r>
            <w:r>
              <w:rPr>
                <w:rFonts w:ascii="仿宋_GB2312" w:eastAsia="仿宋_GB2312" w:hAnsi="仿宋" w:hint="eastAsia"/>
                <w:color w:val="000000" w:themeColor="text1"/>
                <w:sz w:val="24"/>
                <w:szCs w:val="28"/>
              </w:rPr>
              <w:t>86</w:t>
            </w:r>
            <w:r>
              <w:rPr>
                <w:rFonts w:ascii="仿宋_GB2312" w:eastAsia="仿宋_GB2312" w:hAnsi="仿宋" w:hint="eastAsia"/>
                <w:color w:val="000000" w:themeColor="text1"/>
                <w:sz w:val="24"/>
                <w:szCs w:val="28"/>
              </w:rPr>
              <w:t>号政务服务中心一楼</w:t>
            </w:r>
            <w:r>
              <w:rPr>
                <w:rFonts w:ascii="仿宋_GB2312" w:eastAsia="仿宋_GB2312" w:hAnsi="仿宋" w:hint="eastAsia"/>
                <w:color w:val="000000" w:themeColor="text1"/>
                <w:sz w:val="24"/>
                <w:szCs w:val="28"/>
              </w:rPr>
              <w:t>54</w:t>
            </w:r>
            <w:r>
              <w:rPr>
                <w:rFonts w:ascii="仿宋_GB2312" w:eastAsia="仿宋_GB2312" w:hAnsi="仿宋" w:hint="eastAsia"/>
                <w:color w:val="000000" w:themeColor="text1"/>
                <w:sz w:val="24"/>
                <w:szCs w:val="28"/>
              </w:rPr>
              <w:t>号</w:t>
            </w:r>
          </w:p>
        </w:tc>
      </w:tr>
      <w:tr w:rsidR="00F1132D" w14:paraId="1A230FFB" w14:textId="77777777">
        <w:trPr>
          <w:trHeight w:val="1145"/>
        </w:trPr>
        <w:tc>
          <w:tcPr>
            <w:tcW w:w="1576" w:type="dxa"/>
            <w:shd w:val="clear" w:color="auto" w:fill="auto"/>
            <w:vAlign w:val="center"/>
          </w:tcPr>
          <w:p w14:paraId="3545ACAB" w14:textId="77777777" w:rsidR="00F1132D" w:rsidRDefault="001B335E">
            <w:pPr>
              <w:spacing w:line="360" w:lineRule="auto"/>
              <w:jc w:val="center"/>
              <w:rPr>
                <w:rFonts w:ascii="仿宋_GB2312" w:eastAsia="仿宋_GB2312" w:hAnsi="仿宋"/>
                <w:color w:val="000000" w:themeColor="text1"/>
                <w:sz w:val="24"/>
                <w:szCs w:val="28"/>
              </w:rPr>
            </w:pPr>
            <w:r>
              <w:rPr>
                <w:rFonts w:ascii="仿宋_GB2312" w:eastAsia="仿宋_GB2312" w:hAnsi="仿宋" w:hint="eastAsia"/>
                <w:color w:val="000000" w:themeColor="text1"/>
                <w:sz w:val="24"/>
                <w:szCs w:val="28"/>
              </w:rPr>
              <w:t>审核</w:t>
            </w:r>
          </w:p>
        </w:tc>
        <w:tc>
          <w:tcPr>
            <w:tcW w:w="4665" w:type="dxa"/>
            <w:shd w:val="clear" w:color="auto" w:fill="auto"/>
            <w:vAlign w:val="center"/>
          </w:tcPr>
          <w:p w14:paraId="4CFDFD87" w14:textId="77777777" w:rsidR="00F1132D" w:rsidRDefault="001B335E">
            <w:pPr>
              <w:adjustRightInd w:val="0"/>
              <w:snapToGrid w:val="0"/>
              <w:jc w:val="center"/>
              <w:rPr>
                <w:rFonts w:ascii="仿宋_GB2312" w:eastAsia="仿宋_GB2312" w:hAnsi="仿宋"/>
                <w:color w:val="000000" w:themeColor="text1"/>
                <w:sz w:val="24"/>
                <w:szCs w:val="28"/>
              </w:rPr>
            </w:pPr>
            <w:r>
              <w:rPr>
                <w:rFonts w:ascii="仿宋_GB2312" w:eastAsia="仿宋_GB2312" w:hAnsi="仿宋" w:hint="eastAsia"/>
                <w:color w:val="000000" w:themeColor="text1"/>
                <w:sz w:val="24"/>
                <w:szCs w:val="28"/>
              </w:rPr>
              <w:t>提出审核意见</w:t>
            </w:r>
          </w:p>
        </w:tc>
        <w:tc>
          <w:tcPr>
            <w:tcW w:w="2865" w:type="dxa"/>
            <w:shd w:val="clear" w:color="auto" w:fill="auto"/>
            <w:vAlign w:val="center"/>
          </w:tcPr>
          <w:p w14:paraId="46F402FA" w14:textId="77777777" w:rsidR="00F1132D" w:rsidRDefault="001B335E">
            <w:pPr>
              <w:adjustRightInd w:val="0"/>
              <w:snapToGrid w:val="0"/>
              <w:jc w:val="left"/>
              <w:rPr>
                <w:rFonts w:ascii="仿宋_GB2312" w:eastAsia="仿宋_GB2312" w:hAnsi="仿宋"/>
                <w:color w:val="000000" w:themeColor="text1"/>
                <w:sz w:val="24"/>
                <w:szCs w:val="28"/>
              </w:rPr>
            </w:pPr>
            <w:r>
              <w:rPr>
                <w:rFonts w:ascii="仿宋_GB2312" w:eastAsia="仿宋_GB2312" w:hAnsi="仿宋" w:hint="eastAsia"/>
                <w:color w:val="000000" w:themeColor="text1"/>
                <w:sz w:val="24"/>
                <w:szCs w:val="28"/>
              </w:rPr>
              <w:t>博山区山头街道大观园路</w:t>
            </w:r>
            <w:r>
              <w:rPr>
                <w:rFonts w:ascii="仿宋_GB2312" w:eastAsia="仿宋_GB2312" w:hAnsi="仿宋" w:hint="eastAsia"/>
                <w:color w:val="000000" w:themeColor="text1"/>
                <w:sz w:val="24"/>
                <w:szCs w:val="28"/>
              </w:rPr>
              <w:t>86</w:t>
            </w:r>
            <w:r>
              <w:rPr>
                <w:rFonts w:ascii="仿宋_GB2312" w:eastAsia="仿宋_GB2312" w:hAnsi="仿宋" w:hint="eastAsia"/>
                <w:color w:val="000000" w:themeColor="text1"/>
                <w:sz w:val="24"/>
                <w:szCs w:val="28"/>
              </w:rPr>
              <w:t>号政务服务中心一楼</w:t>
            </w:r>
            <w:r>
              <w:rPr>
                <w:rFonts w:ascii="仿宋_GB2312" w:eastAsia="仿宋_GB2312" w:hAnsi="仿宋" w:hint="eastAsia"/>
                <w:color w:val="000000" w:themeColor="text1"/>
                <w:sz w:val="24"/>
                <w:szCs w:val="28"/>
              </w:rPr>
              <w:t>54</w:t>
            </w:r>
            <w:r>
              <w:rPr>
                <w:rFonts w:ascii="仿宋_GB2312" w:eastAsia="仿宋_GB2312" w:hAnsi="仿宋" w:hint="eastAsia"/>
                <w:color w:val="000000" w:themeColor="text1"/>
                <w:sz w:val="24"/>
                <w:szCs w:val="28"/>
              </w:rPr>
              <w:t>号</w:t>
            </w:r>
          </w:p>
        </w:tc>
      </w:tr>
      <w:tr w:rsidR="00F1132D" w14:paraId="6875BCDE" w14:textId="77777777">
        <w:trPr>
          <w:trHeight w:val="1145"/>
        </w:trPr>
        <w:tc>
          <w:tcPr>
            <w:tcW w:w="1576" w:type="dxa"/>
            <w:shd w:val="clear" w:color="auto" w:fill="auto"/>
            <w:vAlign w:val="center"/>
          </w:tcPr>
          <w:p w14:paraId="4E28DDE2" w14:textId="77777777" w:rsidR="00F1132D" w:rsidRDefault="001B335E">
            <w:pPr>
              <w:spacing w:line="360" w:lineRule="auto"/>
              <w:jc w:val="center"/>
              <w:rPr>
                <w:rFonts w:ascii="仿宋_GB2312" w:eastAsia="仿宋_GB2312" w:hAnsi="仿宋"/>
                <w:color w:val="000000" w:themeColor="text1"/>
                <w:sz w:val="24"/>
                <w:szCs w:val="28"/>
              </w:rPr>
            </w:pPr>
            <w:r>
              <w:rPr>
                <w:rFonts w:ascii="仿宋_GB2312" w:eastAsia="仿宋_GB2312" w:hAnsi="仿宋" w:hint="eastAsia"/>
                <w:color w:val="000000" w:themeColor="text1"/>
                <w:sz w:val="24"/>
                <w:szCs w:val="28"/>
              </w:rPr>
              <w:t>批准</w:t>
            </w:r>
          </w:p>
        </w:tc>
        <w:tc>
          <w:tcPr>
            <w:tcW w:w="4665" w:type="dxa"/>
            <w:shd w:val="clear" w:color="auto" w:fill="auto"/>
            <w:vAlign w:val="center"/>
          </w:tcPr>
          <w:p w14:paraId="10D50ECE" w14:textId="77777777" w:rsidR="00F1132D" w:rsidRDefault="001B335E">
            <w:pPr>
              <w:adjustRightInd w:val="0"/>
              <w:snapToGrid w:val="0"/>
              <w:jc w:val="center"/>
              <w:rPr>
                <w:rFonts w:ascii="仿宋_GB2312" w:eastAsia="仿宋_GB2312" w:hAnsi="仿宋"/>
                <w:color w:val="000000" w:themeColor="text1"/>
                <w:sz w:val="24"/>
                <w:szCs w:val="28"/>
              </w:rPr>
            </w:pPr>
            <w:r>
              <w:rPr>
                <w:rFonts w:ascii="仿宋_GB2312" w:eastAsia="仿宋_GB2312" w:hAnsi="仿宋" w:hint="eastAsia"/>
                <w:color w:val="000000" w:themeColor="text1"/>
                <w:sz w:val="24"/>
                <w:szCs w:val="28"/>
              </w:rPr>
              <w:t>按照程序报局领导审批</w:t>
            </w:r>
          </w:p>
        </w:tc>
        <w:tc>
          <w:tcPr>
            <w:tcW w:w="2865" w:type="dxa"/>
            <w:shd w:val="clear" w:color="auto" w:fill="auto"/>
            <w:vAlign w:val="center"/>
          </w:tcPr>
          <w:p w14:paraId="58A5B74C" w14:textId="77777777" w:rsidR="00F1132D" w:rsidRDefault="001B335E">
            <w:pPr>
              <w:adjustRightInd w:val="0"/>
              <w:snapToGrid w:val="0"/>
              <w:jc w:val="left"/>
              <w:rPr>
                <w:rFonts w:ascii="仿宋_GB2312" w:eastAsia="仿宋_GB2312" w:hAnsi="仿宋"/>
                <w:color w:val="000000" w:themeColor="text1"/>
                <w:sz w:val="24"/>
                <w:szCs w:val="28"/>
              </w:rPr>
            </w:pPr>
            <w:r>
              <w:rPr>
                <w:rFonts w:ascii="仿宋_GB2312" w:eastAsia="仿宋_GB2312" w:hAnsi="仿宋" w:hint="eastAsia"/>
                <w:color w:val="000000" w:themeColor="text1"/>
                <w:sz w:val="24"/>
                <w:szCs w:val="28"/>
              </w:rPr>
              <w:t>博山区山头街道大观园路</w:t>
            </w:r>
            <w:r>
              <w:rPr>
                <w:rFonts w:ascii="仿宋_GB2312" w:eastAsia="仿宋_GB2312" w:hAnsi="仿宋" w:hint="eastAsia"/>
                <w:color w:val="000000" w:themeColor="text1"/>
                <w:sz w:val="24"/>
                <w:szCs w:val="28"/>
              </w:rPr>
              <w:t>86</w:t>
            </w:r>
            <w:r>
              <w:rPr>
                <w:rFonts w:ascii="仿宋_GB2312" w:eastAsia="仿宋_GB2312" w:hAnsi="仿宋" w:hint="eastAsia"/>
                <w:color w:val="000000" w:themeColor="text1"/>
                <w:sz w:val="24"/>
                <w:szCs w:val="28"/>
              </w:rPr>
              <w:t>号政务服务中心一楼</w:t>
            </w:r>
            <w:r>
              <w:rPr>
                <w:rFonts w:ascii="仿宋_GB2312" w:eastAsia="仿宋_GB2312" w:hAnsi="仿宋" w:hint="eastAsia"/>
                <w:color w:val="000000" w:themeColor="text1"/>
                <w:sz w:val="24"/>
                <w:szCs w:val="28"/>
              </w:rPr>
              <w:t>54</w:t>
            </w:r>
            <w:r>
              <w:rPr>
                <w:rFonts w:ascii="仿宋_GB2312" w:eastAsia="仿宋_GB2312" w:hAnsi="仿宋" w:hint="eastAsia"/>
                <w:color w:val="000000" w:themeColor="text1"/>
                <w:sz w:val="24"/>
                <w:szCs w:val="28"/>
              </w:rPr>
              <w:t>号</w:t>
            </w:r>
          </w:p>
        </w:tc>
      </w:tr>
      <w:tr w:rsidR="00F1132D" w14:paraId="5C97CC5B" w14:textId="77777777">
        <w:trPr>
          <w:trHeight w:val="1145"/>
        </w:trPr>
        <w:tc>
          <w:tcPr>
            <w:tcW w:w="1576" w:type="dxa"/>
            <w:shd w:val="clear" w:color="auto" w:fill="auto"/>
            <w:vAlign w:val="center"/>
          </w:tcPr>
          <w:p w14:paraId="07DB7DD3" w14:textId="77777777" w:rsidR="00F1132D" w:rsidRDefault="001B335E">
            <w:pPr>
              <w:spacing w:line="360" w:lineRule="auto"/>
              <w:jc w:val="center"/>
              <w:rPr>
                <w:rFonts w:ascii="仿宋_GB2312" w:eastAsia="仿宋_GB2312" w:hAnsi="仿宋"/>
                <w:color w:val="000000" w:themeColor="text1"/>
                <w:sz w:val="24"/>
                <w:szCs w:val="28"/>
              </w:rPr>
            </w:pPr>
            <w:r>
              <w:rPr>
                <w:rFonts w:ascii="仿宋_GB2312" w:eastAsia="仿宋_GB2312" w:hAnsi="仿宋" w:hint="eastAsia"/>
                <w:color w:val="000000" w:themeColor="text1"/>
                <w:sz w:val="24"/>
                <w:szCs w:val="28"/>
              </w:rPr>
              <w:t>办结</w:t>
            </w:r>
          </w:p>
        </w:tc>
        <w:tc>
          <w:tcPr>
            <w:tcW w:w="4665" w:type="dxa"/>
            <w:shd w:val="clear" w:color="auto" w:fill="auto"/>
            <w:vAlign w:val="center"/>
          </w:tcPr>
          <w:p w14:paraId="0A76ADB8" w14:textId="77777777" w:rsidR="00F1132D" w:rsidRDefault="001B335E">
            <w:pPr>
              <w:adjustRightInd w:val="0"/>
              <w:snapToGrid w:val="0"/>
              <w:jc w:val="center"/>
              <w:rPr>
                <w:rFonts w:ascii="仿宋_GB2312" w:eastAsia="仿宋_GB2312" w:hAnsi="仿宋"/>
                <w:color w:val="000000" w:themeColor="text1"/>
                <w:sz w:val="24"/>
                <w:szCs w:val="28"/>
              </w:rPr>
            </w:pPr>
            <w:r>
              <w:rPr>
                <w:rFonts w:ascii="仿宋_GB2312" w:eastAsia="仿宋_GB2312" w:hAnsi="仿宋" w:hint="eastAsia"/>
                <w:color w:val="000000" w:themeColor="text1"/>
                <w:sz w:val="24"/>
                <w:szCs w:val="28"/>
              </w:rPr>
              <w:t>发放《成品油零售经营批准证书》</w:t>
            </w:r>
          </w:p>
        </w:tc>
        <w:tc>
          <w:tcPr>
            <w:tcW w:w="2865" w:type="dxa"/>
            <w:shd w:val="clear" w:color="auto" w:fill="auto"/>
            <w:vAlign w:val="center"/>
          </w:tcPr>
          <w:p w14:paraId="05F329D0" w14:textId="77777777" w:rsidR="00F1132D" w:rsidRDefault="001B335E">
            <w:pPr>
              <w:adjustRightInd w:val="0"/>
              <w:snapToGrid w:val="0"/>
              <w:jc w:val="left"/>
              <w:rPr>
                <w:rFonts w:ascii="仿宋_GB2312" w:eastAsia="仿宋_GB2312" w:hAnsi="仿宋"/>
                <w:color w:val="000000" w:themeColor="text1"/>
                <w:sz w:val="24"/>
                <w:szCs w:val="28"/>
              </w:rPr>
            </w:pPr>
            <w:r>
              <w:rPr>
                <w:rFonts w:ascii="仿宋_GB2312" w:eastAsia="仿宋_GB2312" w:hAnsi="仿宋" w:hint="eastAsia"/>
                <w:color w:val="000000" w:themeColor="text1"/>
                <w:sz w:val="24"/>
                <w:szCs w:val="28"/>
              </w:rPr>
              <w:t>博山区山头街道大观园路</w:t>
            </w:r>
            <w:r>
              <w:rPr>
                <w:rFonts w:ascii="仿宋_GB2312" w:eastAsia="仿宋_GB2312" w:hAnsi="仿宋" w:hint="eastAsia"/>
                <w:color w:val="000000" w:themeColor="text1"/>
                <w:sz w:val="24"/>
                <w:szCs w:val="28"/>
              </w:rPr>
              <w:t>86</w:t>
            </w:r>
            <w:r>
              <w:rPr>
                <w:rFonts w:ascii="仿宋_GB2312" w:eastAsia="仿宋_GB2312" w:hAnsi="仿宋" w:hint="eastAsia"/>
                <w:color w:val="000000" w:themeColor="text1"/>
                <w:sz w:val="24"/>
                <w:szCs w:val="28"/>
              </w:rPr>
              <w:t>号政务服务中心一楼</w:t>
            </w:r>
            <w:r>
              <w:rPr>
                <w:rFonts w:ascii="仿宋_GB2312" w:eastAsia="仿宋_GB2312" w:hAnsi="仿宋" w:hint="eastAsia"/>
                <w:color w:val="000000" w:themeColor="text1"/>
                <w:sz w:val="24"/>
                <w:szCs w:val="28"/>
              </w:rPr>
              <w:t>54</w:t>
            </w:r>
            <w:r>
              <w:rPr>
                <w:rFonts w:ascii="仿宋_GB2312" w:eastAsia="仿宋_GB2312" w:hAnsi="仿宋" w:hint="eastAsia"/>
                <w:color w:val="000000" w:themeColor="text1"/>
                <w:sz w:val="24"/>
                <w:szCs w:val="28"/>
              </w:rPr>
              <w:t>号</w:t>
            </w:r>
          </w:p>
        </w:tc>
      </w:tr>
    </w:tbl>
    <w:p w14:paraId="468796F3" w14:textId="77777777" w:rsidR="00F1132D" w:rsidRDefault="001B335E">
      <w:pPr>
        <w:spacing w:line="360" w:lineRule="auto"/>
        <w:ind w:firstLine="645"/>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五、收费依据及标准</w:t>
      </w:r>
      <w:r>
        <w:rPr>
          <w:rFonts w:ascii="仿宋_GB2312" w:eastAsia="仿宋_GB2312" w:hAnsi="仿宋" w:hint="eastAsia"/>
          <w:color w:val="000000" w:themeColor="text1"/>
          <w:sz w:val="28"/>
          <w:szCs w:val="28"/>
        </w:rPr>
        <w:t xml:space="preserve">: </w:t>
      </w:r>
      <w:r>
        <w:rPr>
          <w:rFonts w:ascii="仿宋_GB2312" w:eastAsia="仿宋_GB2312" w:hAnsi="仿宋" w:hint="eastAsia"/>
          <w:color w:val="000000" w:themeColor="text1"/>
          <w:sz w:val="28"/>
          <w:szCs w:val="28"/>
        </w:rPr>
        <w:t>不收费</w:t>
      </w:r>
    </w:p>
    <w:p w14:paraId="5AB6C496" w14:textId="77777777" w:rsidR="00F1132D" w:rsidRDefault="001B335E">
      <w:pPr>
        <w:spacing w:line="360" w:lineRule="auto"/>
        <w:ind w:firstLine="645"/>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六、设立依据</w:t>
      </w:r>
      <w:r>
        <w:rPr>
          <w:rFonts w:ascii="仿宋_GB2312" w:eastAsia="仿宋_GB2312" w:hAnsi="仿宋" w:hint="eastAsia"/>
          <w:color w:val="000000" w:themeColor="text1"/>
          <w:sz w:val="28"/>
          <w:szCs w:val="28"/>
        </w:rPr>
        <w:t>:</w:t>
      </w:r>
    </w:p>
    <w:p w14:paraId="30A0A64E" w14:textId="77777777" w:rsidR="00F1132D" w:rsidRDefault="001B335E">
      <w:pPr>
        <w:spacing w:line="360" w:lineRule="auto"/>
        <w:ind w:firstLine="645"/>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w:t>
      </w:r>
      <w:r>
        <w:rPr>
          <w:rFonts w:ascii="仿宋_GB2312" w:eastAsia="仿宋_GB2312" w:hAnsi="仿宋" w:hint="eastAsia"/>
          <w:color w:val="000000" w:themeColor="text1"/>
          <w:sz w:val="28"/>
          <w:szCs w:val="28"/>
        </w:rPr>
        <w:t>、《成品油市场管理办法》（</w:t>
      </w:r>
      <w:r>
        <w:rPr>
          <w:rFonts w:ascii="仿宋_GB2312" w:eastAsia="仿宋_GB2312" w:hAnsi="仿宋" w:hint="eastAsia"/>
          <w:color w:val="000000" w:themeColor="text1"/>
          <w:sz w:val="28"/>
          <w:szCs w:val="28"/>
        </w:rPr>
        <w:t>2006</w:t>
      </w:r>
      <w:r>
        <w:rPr>
          <w:rFonts w:ascii="仿宋_GB2312" w:eastAsia="仿宋_GB2312" w:hAnsi="仿宋" w:hint="eastAsia"/>
          <w:color w:val="000000" w:themeColor="text1"/>
          <w:sz w:val="28"/>
          <w:szCs w:val="28"/>
        </w:rPr>
        <w:t>年</w:t>
      </w:r>
      <w:r>
        <w:rPr>
          <w:rFonts w:ascii="仿宋_GB2312" w:eastAsia="仿宋_GB2312" w:hAnsi="仿宋" w:hint="eastAsia"/>
          <w:color w:val="000000" w:themeColor="text1"/>
          <w:sz w:val="28"/>
          <w:szCs w:val="28"/>
        </w:rPr>
        <w:t>12</w:t>
      </w:r>
      <w:r>
        <w:rPr>
          <w:rFonts w:ascii="仿宋_GB2312" w:eastAsia="仿宋_GB2312" w:hAnsi="仿宋" w:hint="eastAsia"/>
          <w:color w:val="000000" w:themeColor="text1"/>
          <w:sz w:val="28"/>
          <w:szCs w:val="28"/>
        </w:rPr>
        <w:t>月商务部令第</w:t>
      </w:r>
      <w:r>
        <w:rPr>
          <w:rFonts w:ascii="仿宋_GB2312" w:eastAsia="仿宋_GB2312" w:hAnsi="仿宋" w:hint="eastAsia"/>
          <w:color w:val="000000" w:themeColor="text1"/>
          <w:sz w:val="28"/>
          <w:szCs w:val="28"/>
        </w:rPr>
        <w:t>23</w:t>
      </w:r>
      <w:r>
        <w:rPr>
          <w:rFonts w:ascii="仿宋_GB2312" w:eastAsia="仿宋_GB2312" w:hAnsi="仿宋" w:hint="eastAsia"/>
          <w:color w:val="000000" w:themeColor="text1"/>
          <w:sz w:val="28"/>
          <w:szCs w:val="28"/>
        </w:rPr>
        <w:t>号，根据</w:t>
      </w:r>
      <w:r>
        <w:rPr>
          <w:rFonts w:ascii="仿宋_GB2312" w:eastAsia="仿宋_GB2312" w:hAnsi="仿宋" w:hint="eastAsia"/>
          <w:color w:val="000000" w:themeColor="text1"/>
          <w:sz w:val="28"/>
          <w:szCs w:val="28"/>
        </w:rPr>
        <w:t>2015</w:t>
      </w:r>
      <w:r>
        <w:rPr>
          <w:rFonts w:ascii="仿宋_GB2312" w:eastAsia="仿宋_GB2312" w:hAnsi="仿宋" w:hint="eastAsia"/>
          <w:color w:val="000000" w:themeColor="text1"/>
          <w:sz w:val="28"/>
          <w:szCs w:val="28"/>
        </w:rPr>
        <w:t>年</w:t>
      </w:r>
      <w:r>
        <w:rPr>
          <w:rFonts w:ascii="仿宋_GB2312" w:eastAsia="仿宋_GB2312" w:hAnsi="仿宋" w:hint="eastAsia"/>
          <w:color w:val="000000" w:themeColor="text1"/>
          <w:sz w:val="28"/>
          <w:szCs w:val="28"/>
        </w:rPr>
        <w:t>10</w:t>
      </w:r>
      <w:r>
        <w:rPr>
          <w:rFonts w:ascii="仿宋_GB2312" w:eastAsia="仿宋_GB2312" w:hAnsi="仿宋" w:hint="eastAsia"/>
          <w:color w:val="000000" w:themeColor="text1"/>
          <w:sz w:val="28"/>
          <w:szCs w:val="28"/>
        </w:rPr>
        <w:t>月</w:t>
      </w:r>
      <w:r>
        <w:rPr>
          <w:rFonts w:ascii="仿宋_GB2312" w:eastAsia="仿宋_GB2312" w:hAnsi="仿宋" w:hint="eastAsia"/>
          <w:color w:val="000000" w:themeColor="text1"/>
          <w:sz w:val="28"/>
          <w:szCs w:val="28"/>
        </w:rPr>
        <w:t>28</w:t>
      </w:r>
      <w:r>
        <w:rPr>
          <w:rFonts w:ascii="仿宋_GB2312" w:eastAsia="仿宋_GB2312" w:hAnsi="仿宋" w:hint="eastAsia"/>
          <w:color w:val="000000" w:themeColor="text1"/>
          <w:sz w:val="28"/>
          <w:szCs w:val="28"/>
        </w:rPr>
        <w:t>日《商务部关于修改部分规章和规范性文件的决定》修正）第六条：申请从事成品油零售经营资格的企业，应当向所在地市级人民政府商务主管部门提出申请。地市级人民政府商务主管部门审查后，将初步审查意见及申请材料报省级人民政府商务主管部门。由省级人民政府商务主管部门决定是否给予成品油零售经营许可。</w:t>
      </w:r>
    </w:p>
    <w:p w14:paraId="1E18C2D3" w14:textId="77777777" w:rsidR="00F1132D" w:rsidRDefault="001B335E">
      <w:pPr>
        <w:spacing w:line="360" w:lineRule="auto"/>
        <w:ind w:firstLine="645"/>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2.</w:t>
      </w:r>
      <w:r>
        <w:rPr>
          <w:rFonts w:ascii="仿宋_GB2312" w:eastAsia="仿宋_GB2312" w:hAnsi="仿宋" w:hint="eastAsia"/>
          <w:color w:val="000000" w:themeColor="text1"/>
          <w:sz w:val="28"/>
          <w:szCs w:val="28"/>
        </w:rPr>
        <w:t>《国务院办公厅关于加快发展流通促进商业消费的意见》（国办发</w:t>
      </w:r>
      <w:r>
        <w:rPr>
          <w:rFonts w:ascii="宋体" w:hAnsi="宋体" w:cs="宋体" w:hint="eastAsia"/>
          <w:color w:val="000000" w:themeColor="text1"/>
          <w:sz w:val="28"/>
          <w:szCs w:val="28"/>
        </w:rPr>
        <w:t>﹝</w:t>
      </w:r>
      <w:r>
        <w:rPr>
          <w:rFonts w:ascii="仿宋_GB2312" w:eastAsia="仿宋_GB2312" w:hAnsi="仿宋" w:hint="eastAsia"/>
          <w:color w:val="000000" w:themeColor="text1"/>
          <w:sz w:val="28"/>
          <w:szCs w:val="28"/>
        </w:rPr>
        <w:t>2019</w:t>
      </w:r>
      <w:r>
        <w:rPr>
          <w:rFonts w:ascii="宋体" w:hAnsi="宋体" w:cs="宋体" w:hint="eastAsia"/>
          <w:color w:val="000000" w:themeColor="text1"/>
          <w:sz w:val="28"/>
          <w:szCs w:val="28"/>
        </w:rPr>
        <w:t>﹞</w:t>
      </w:r>
      <w:r>
        <w:rPr>
          <w:rFonts w:ascii="仿宋_GB2312" w:eastAsia="仿宋_GB2312" w:hAnsi="仿宋" w:hint="eastAsia"/>
          <w:color w:val="000000" w:themeColor="text1"/>
          <w:sz w:val="28"/>
          <w:szCs w:val="28"/>
        </w:rPr>
        <w:t>42</w:t>
      </w:r>
      <w:r>
        <w:rPr>
          <w:rFonts w:ascii="仿宋_GB2312" w:eastAsia="仿宋_GB2312" w:hAnsi="仿宋" w:hint="eastAsia"/>
          <w:color w:val="000000" w:themeColor="text1"/>
          <w:sz w:val="28"/>
          <w:szCs w:val="28"/>
        </w:rPr>
        <w:t>号）十七、扩大成品油市场准入。取消石油成品油批发仓储经营资格审</w:t>
      </w:r>
      <w:r>
        <w:rPr>
          <w:rFonts w:ascii="仿宋_GB2312" w:eastAsia="仿宋_GB2312" w:hAnsi="仿宋" w:hint="eastAsia"/>
          <w:color w:val="000000" w:themeColor="text1"/>
          <w:sz w:val="28"/>
          <w:szCs w:val="28"/>
        </w:rPr>
        <w:t>批，将成品油零售经营资格审批下放至地市级人民政府，加强成品油流通事中事后监管，强化安全保障措施落实。</w:t>
      </w:r>
    </w:p>
    <w:p w14:paraId="36F6CCE1" w14:textId="39B2CE2F" w:rsidR="00F1132D" w:rsidRDefault="001B335E">
      <w:pPr>
        <w:spacing w:line="360" w:lineRule="auto"/>
        <w:ind w:firstLine="645"/>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hint="eastAsia"/>
          <w:color w:val="000000" w:themeColor="text1"/>
          <w:sz w:val="28"/>
          <w:szCs w:val="28"/>
        </w:rPr>
        <w:t>《山东省商务厅关于取消和下放石油成品油经营资格审批权限有关事项的通知》（</w:t>
      </w:r>
      <w:proofErr w:type="gramStart"/>
      <w:r>
        <w:rPr>
          <w:rFonts w:ascii="仿宋_GB2312" w:eastAsia="仿宋_GB2312" w:hAnsi="仿宋" w:hint="eastAsia"/>
          <w:color w:val="000000" w:themeColor="text1"/>
          <w:sz w:val="28"/>
          <w:szCs w:val="28"/>
        </w:rPr>
        <w:t>鲁商字</w:t>
      </w:r>
      <w:proofErr w:type="gramEnd"/>
      <w:r>
        <w:rPr>
          <w:rFonts w:ascii="宋体" w:hAnsi="宋体" w:cs="宋体" w:hint="eastAsia"/>
          <w:color w:val="000000" w:themeColor="text1"/>
          <w:sz w:val="28"/>
          <w:szCs w:val="28"/>
        </w:rPr>
        <w:t>﹝</w:t>
      </w:r>
      <w:r>
        <w:rPr>
          <w:rFonts w:ascii="仿宋_GB2312" w:eastAsia="仿宋_GB2312" w:hAnsi="仿宋" w:hint="eastAsia"/>
          <w:color w:val="000000" w:themeColor="text1"/>
          <w:sz w:val="28"/>
          <w:szCs w:val="28"/>
        </w:rPr>
        <w:t>2019</w:t>
      </w:r>
      <w:r>
        <w:rPr>
          <w:rFonts w:ascii="宋体" w:hAnsi="宋体" w:cs="宋体" w:hint="eastAsia"/>
          <w:color w:val="000000" w:themeColor="text1"/>
          <w:sz w:val="28"/>
          <w:szCs w:val="28"/>
        </w:rPr>
        <w:t>﹞</w:t>
      </w:r>
      <w:r>
        <w:rPr>
          <w:rFonts w:ascii="仿宋_GB2312" w:eastAsia="仿宋_GB2312" w:hAnsi="仿宋" w:hint="eastAsia"/>
          <w:color w:val="000000" w:themeColor="text1"/>
          <w:sz w:val="28"/>
          <w:szCs w:val="28"/>
        </w:rPr>
        <w:t>131</w:t>
      </w:r>
      <w:r>
        <w:rPr>
          <w:rFonts w:ascii="仿宋_GB2312" w:eastAsia="仿宋_GB2312" w:hAnsi="仿宋" w:hint="eastAsia"/>
          <w:color w:val="000000" w:themeColor="text1"/>
          <w:sz w:val="28"/>
          <w:szCs w:val="28"/>
        </w:rPr>
        <w:t>号）一、取消和下放石油成品油经营资格审批事项（二）将成品油零售经营资格审批下放至各地市级</w:t>
      </w:r>
      <w:r w:rsidR="003B439A">
        <w:rPr>
          <w:rFonts w:ascii="仿宋_GB2312" w:eastAsia="仿宋_GB2312" w:hAnsi="仿宋" w:hint="eastAsia"/>
          <w:color w:val="000000" w:themeColor="text1"/>
          <w:sz w:val="28"/>
          <w:szCs w:val="28"/>
        </w:rPr>
        <w:t>人民政府</w:t>
      </w:r>
      <w:r>
        <w:rPr>
          <w:rFonts w:ascii="仿宋_GB2312" w:eastAsia="仿宋_GB2312" w:hAnsi="仿宋" w:hint="eastAsia"/>
          <w:color w:val="000000" w:themeColor="text1"/>
          <w:sz w:val="28"/>
          <w:szCs w:val="28"/>
        </w:rPr>
        <w:t>审批部门（商务主管部门或地市级人民政府确定的其它部门）</w:t>
      </w:r>
    </w:p>
    <w:p w14:paraId="351E9E5E" w14:textId="77777777" w:rsidR="00F1132D" w:rsidRDefault="001B335E">
      <w:pPr>
        <w:spacing w:line="360" w:lineRule="auto"/>
        <w:ind w:firstLine="645"/>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七、办理期限</w:t>
      </w:r>
    </w:p>
    <w:p w14:paraId="72AE52B0" w14:textId="77777777" w:rsidR="00F1132D" w:rsidRDefault="001B335E">
      <w:pPr>
        <w:spacing w:line="360" w:lineRule="auto"/>
        <w:ind w:firstLine="645"/>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承诺期限：</w:t>
      </w:r>
      <w:r>
        <w:rPr>
          <w:rFonts w:ascii="仿宋_GB2312" w:eastAsia="仿宋_GB2312" w:hAnsi="仿宋" w:hint="eastAsia"/>
          <w:color w:val="000000" w:themeColor="text1"/>
          <w:sz w:val="28"/>
          <w:szCs w:val="28"/>
        </w:rPr>
        <w:t>5</w:t>
      </w:r>
      <w:r>
        <w:rPr>
          <w:rFonts w:ascii="仿宋_GB2312" w:eastAsia="仿宋_GB2312" w:hAnsi="仿宋" w:hint="eastAsia"/>
          <w:color w:val="000000" w:themeColor="text1"/>
          <w:sz w:val="28"/>
          <w:szCs w:val="28"/>
        </w:rPr>
        <w:t>工作日</w:t>
      </w:r>
      <w:r>
        <w:rPr>
          <w:rFonts w:ascii="仿宋_GB2312" w:eastAsia="仿宋_GB2312" w:hAnsi="仿宋" w:hint="eastAsia"/>
          <w:color w:val="000000" w:themeColor="text1"/>
          <w:sz w:val="28"/>
          <w:szCs w:val="28"/>
        </w:rPr>
        <w:t xml:space="preserve">            </w:t>
      </w:r>
      <w:r>
        <w:rPr>
          <w:rFonts w:ascii="仿宋_GB2312" w:eastAsia="仿宋_GB2312" w:hAnsi="仿宋" w:hint="eastAsia"/>
          <w:color w:val="000000" w:themeColor="text1"/>
          <w:sz w:val="28"/>
          <w:szCs w:val="28"/>
        </w:rPr>
        <w:t>法定期限：</w:t>
      </w:r>
      <w:r>
        <w:rPr>
          <w:rFonts w:ascii="仿宋_GB2312" w:eastAsia="仿宋_GB2312" w:hAnsi="仿宋" w:hint="eastAsia"/>
          <w:color w:val="000000" w:themeColor="text1"/>
          <w:sz w:val="28"/>
          <w:szCs w:val="28"/>
        </w:rPr>
        <w:t>20</w:t>
      </w:r>
      <w:r>
        <w:rPr>
          <w:rFonts w:ascii="仿宋_GB2312" w:eastAsia="仿宋_GB2312" w:hAnsi="仿宋" w:hint="eastAsia"/>
          <w:color w:val="000000" w:themeColor="text1"/>
          <w:sz w:val="28"/>
          <w:szCs w:val="28"/>
        </w:rPr>
        <w:t>工作日</w:t>
      </w:r>
    </w:p>
    <w:p w14:paraId="24A72246" w14:textId="77777777" w:rsidR="00F1132D" w:rsidRDefault="001B335E">
      <w:pPr>
        <w:spacing w:line="360" w:lineRule="auto"/>
        <w:ind w:firstLine="645"/>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八、窗口及邮箱</w:t>
      </w:r>
    </w:p>
    <w:p w14:paraId="3ADAA67B" w14:textId="77777777" w:rsidR="00F1132D" w:rsidRDefault="001B335E">
      <w:pPr>
        <w:spacing w:line="360" w:lineRule="auto"/>
        <w:ind w:firstLine="645"/>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 xml:space="preserve">0533-4911663     </w:t>
      </w:r>
      <w:r>
        <w:rPr>
          <w:rFonts w:ascii="仿宋_GB2312" w:eastAsia="仿宋_GB2312" w:hAnsi="宋体" w:hint="eastAsia"/>
          <w:color w:val="000000" w:themeColor="text1"/>
          <w:sz w:val="32"/>
          <w:szCs w:val="32"/>
        </w:rPr>
        <w:t>bsqswj@zb.shandong.cn</w:t>
      </w:r>
    </w:p>
    <w:p w14:paraId="7131885C" w14:textId="77777777" w:rsidR="00F1132D" w:rsidRDefault="001B335E">
      <w:pPr>
        <w:spacing w:line="360" w:lineRule="auto"/>
        <w:ind w:firstLine="645"/>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九、办理方式</w:t>
      </w:r>
    </w:p>
    <w:p w14:paraId="14491CCC" w14:textId="77777777" w:rsidR="00F1132D" w:rsidRDefault="001B335E">
      <w:pPr>
        <w:spacing w:line="360" w:lineRule="auto"/>
        <w:ind w:firstLine="645"/>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现场办理：博山区山头街道大观园路</w:t>
      </w:r>
      <w:r>
        <w:rPr>
          <w:rFonts w:ascii="仿宋_GB2312" w:eastAsia="仿宋_GB2312" w:hAnsi="仿宋" w:hint="eastAsia"/>
          <w:color w:val="000000" w:themeColor="text1"/>
          <w:sz w:val="28"/>
          <w:szCs w:val="28"/>
        </w:rPr>
        <w:t>86</w:t>
      </w:r>
      <w:r>
        <w:rPr>
          <w:rFonts w:ascii="仿宋_GB2312" w:eastAsia="仿宋_GB2312" w:hAnsi="仿宋" w:hint="eastAsia"/>
          <w:color w:val="000000" w:themeColor="text1"/>
          <w:sz w:val="28"/>
          <w:szCs w:val="28"/>
        </w:rPr>
        <w:t>号政务服务中心一楼</w:t>
      </w:r>
      <w:r>
        <w:rPr>
          <w:rFonts w:ascii="仿宋_GB2312" w:eastAsia="仿宋_GB2312" w:hAnsi="仿宋" w:hint="eastAsia"/>
          <w:color w:val="000000" w:themeColor="text1"/>
          <w:sz w:val="28"/>
          <w:szCs w:val="28"/>
        </w:rPr>
        <w:t>54</w:t>
      </w:r>
      <w:r>
        <w:rPr>
          <w:rFonts w:ascii="仿宋_GB2312" w:eastAsia="仿宋_GB2312" w:hAnsi="仿宋" w:hint="eastAsia"/>
          <w:color w:val="000000" w:themeColor="text1"/>
          <w:sz w:val="28"/>
          <w:szCs w:val="28"/>
        </w:rPr>
        <w:t>号</w:t>
      </w:r>
    </w:p>
    <w:p w14:paraId="53E27CD3" w14:textId="77777777" w:rsidR="00F1132D" w:rsidRDefault="001B335E">
      <w:pPr>
        <w:spacing w:line="360" w:lineRule="auto"/>
        <w:ind w:firstLine="645"/>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网上办理：</w:t>
      </w:r>
      <w:r>
        <w:rPr>
          <w:rFonts w:ascii="仿宋_GB2312" w:eastAsia="仿宋_GB2312" w:hAnsi="仿宋"/>
          <w:color w:val="000000" w:themeColor="text1"/>
          <w:sz w:val="28"/>
          <w:szCs w:val="28"/>
        </w:rPr>
        <w:t>http://oil.sdcom.gov.cn/</w:t>
      </w:r>
    </w:p>
    <w:p w14:paraId="32DB85C4" w14:textId="77777777" w:rsidR="00F1132D" w:rsidRDefault="001B335E">
      <w:pPr>
        <w:spacing w:line="360" w:lineRule="auto"/>
        <w:ind w:firstLine="645"/>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十、监督投诉电话：</w:t>
      </w:r>
      <w:r>
        <w:rPr>
          <w:rFonts w:ascii="仿宋_GB2312" w:eastAsia="仿宋_GB2312" w:hAnsi="仿宋" w:hint="eastAsia"/>
          <w:color w:val="000000" w:themeColor="text1"/>
          <w:sz w:val="28"/>
          <w:szCs w:val="28"/>
        </w:rPr>
        <w:t>0533-4297168</w:t>
      </w:r>
    </w:p>
    <w:sectPr w:rsidR="00F1132D">
      <w:footerReference w:type="even" r:id="rId7"/>
      <w:footerReference w:type="default" r:id="rId8"/>
      <w:pgSz w:w="11906" w:h="16838"/>
      <w:pgMar w:top="1134" w:right="1644" w:bottom="1134" w:left="164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912E" w14:textId="77777777" w:rsidR="001B335E" w:rsidRDefault="001B335E">
      <w:r>
        <w:separator/>
      </w:r>
    </w:p>
  </w:endnote>
  <w:endnote w:type="continuationSeparator" w:id="0">
    <w:p w14:paraId="209A7165" w14:textId="77777777" w:rsidR="001B335E" w:rsidRDefault="001B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257D" w14:textId="77777777" w:rsidR="00F1132D" w:rsidRDefault="001B335E">
    <w:pPr>
      <w:pStyle w:val="a6"/>
      <w:framePr w:wrap="around" w:vAnchor="text" w:hAnchor="margin" w:xAlign="center" w:y="1"/>
      <w:rPr>
        <w:rStyle w:val="ab"/>
      </w:rPr>
    </w:pPr>
    <w:r>
      <w:fldChar w:fldCharType="begin"/>
    </w:r>
    <w:r>
      <w:rPr>
        <w:rStyle w:val="ab"/>
      </w:rPr>
      <w:instrText xml:space="preserve">PAGE  </w:instrText>
    </w:r>
    <w:r>
      <w:fldChar w:fldCharType="end"/>
    </w:r>
  </w:p>
  <w:p w14:paraId="282EE236" w14:textId="77777777" w:rsidR="00F1132D" w:rsidRDefault="00F113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BFB7" w14:textId="77777777" w:rsidR="00F1132D" w:rsidRDefault="001B335E">
    <w:pPr>
      <w:pStyle w:val="a6"/>
      <w:framePr w:wrap="around" w:vAnchor="text" w:hAnchor="margin" w:xAlign="center" w:y="1"/>
      <w:rPr>
        <w:rStyle w:val="ab"/>
      </w:rPr>
    </w:pPr>
    <w:r>
      <w:fldChar w:fldCharType="begin"/>
    </w:r>
    <w:r>
      <w:rPr>
        <w:rStyle w:val="ab"/>
      </w:rPr>
      <w:instrText xml:space="preserve">PAGE  </w:instrText>
    </w:r>
    <w:r>
      <w:fldChar w:fldCharType="separate"/>
    </w:r>
    <w:r>
      <w:rPr>
        <w:rStyle w:val="ab"/>
      </w:rPr>
      <w:t>3</w:t>
    </w:r>
    <w:r>
      <w:fldChar w:fldCharType="end"/>
    </w:r>
  </w:p>
  <w:p w14:paraId="5057A952" w14:textId="77777777" w:rsidR="00F1132D" w:rsidRDefault="00F113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A904" w14:textId="77777777" w:rsidR="001B335E" w:rsidRDefault="001B335E">
      <w:r>
        <w:separator/>
      </w:r>
    </w:p>
  </w:footnote>
  <w:footnote w:type="continuationSeparator" w:id="0">
    <w:p w14:paraId="309545AF" w14:textId="77777777" w:rsidR="001B335E" w:rsidRDefault="001B3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06E0"/>
    <w:rsid w:val="00016F71"/>
    <w:rsid w:val="00087412"/>
    <w:rsid w:val="0016689A"/>
    <w:rsid w:val="001B335E"/>
    <w:rsid w:val="002D3C01"/>
    <w:rsid w:val="00386797"/>
    <w:rsid w:val="003B439A"/>
    <w:rsid w:val="003C0329"/>
    <w:rsid w:val="003C79B1"/>
    <w:rsid w:val="004A3830"/>
    <w:rsid w:val="004C18EB"/>
    <w:rsid w:val="00584EA4"/>
    <w:rsid w:val="005950AA"/>
    <w:rsid w:val="005A548A"/>
    <w:rsid w:val="005C1E60"/>
    <w:rsid w:val="006A6466"/>
    <w:rsid w:val="0072066D"/>
    <w:rsid w:val="0074696E"/>
    <w:rsid w:val="0077269C"/>
    <w:rsid w:val="007C67DA"/>
    <w:rsid w:val="007E69D2"/>
    <w:rsid w:val="00804C45"/>
    <w:rsid w:val="00804DDD"/>
    <w:rsid w:val="0084243A"/>
    <w:rsid w:val="00842C29"/>
    <w:rsid w:val="00965908"/>
    <w:rsid w:val="009838A1"/>
    <w:rsid w:val="00994A5A"/>
    <w:rsid w:val="00A021E4"/>
    <w:rsid w:val="00A067A7"/>
    <w:rsid w:val="00A24A0D"/>
    <w:rsid w:val="00A36948"/>
    <w:rsid w:val="00AA7BED"/>
    <w:rsid w:val="00B5201D"/>
    <w:rsid w:val="00B85B9B"/>
    <w:rsid w:val="00BC7325"/>
    <w:rsid w:val="00D006E0"/>
    <w:rsid w:val="00D50F07"/>
    <w:rsid w:val="00DC2D6C"/>
    <w:rsid w:val="00DD6751"/>
    <w:rsid w:val="00F1132D"/>
    <w:rsid w:val="09CF156E"/>
    <w:rsid w:val="0BD505DE"/>
    <w:rsid w:val="1D7D355C"/>
    <w:rsid w:val="269B4E24"/>
    <w:rsid w:val="2F48215C"/>
    <w:rsid w:val="2FD40808"/>
    <w:rsid w:val="37837FD5"/>
    <w:rsid w:val="3C6B38F8"/>
    <w:rsid w:val="4E7067EE"/>
    <w:rsid w:val="53873739"/>
    <w:rsid w:val="56DC3C36"/>
    <w:rsid w:val="5DB474E7"/>
    <w:rsid w:val="6B986E53"/>
    <w:rsid w:val="74E650F7"/>
    <w:rsid w:val="7F317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588A6"/>
  <w15:docId w15:val="{AFD417AE-8B60-4A5D-8B87-98E757C2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3"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rPr>
      <w:rFonts w:eastAsia="仿宋_GB2312"/>
      <w:sz w:val="18"/>
    </w:rPr>
  </w:style>
  <w:style w:type="paragraph" w:styleId="a3">
    <w:name w:val="Block Text"/>
    <w:basedOn w:val="a"/>
    <w:qFormat/>
    <w:pPr>
      <w:spacing w:line="460" w:lineRule="exact"/>
      <w:ind w:left="482" w:right="80" w:hanging="482"/>
    </w:pPr>
    <w:rPr>
      <w:rFonts w:ascii="仿宋_GB2312" w:eastAsia="仿宋_GB2312"/>
      <w:sz w:val="30"/>
      <w:szCs w:val="20"/>
    </w:rPr>
  </w:style>
  <w:style w:type="paragraph" w:styleId="a4">
    <w:name w:val="Balloon Text"/>
    <w:basedOn w:val="a"/>
    <w:link w:val="a5"/>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color w:val="000000"/>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style>
  <w:style w:type="character" w:styleId="ac">
    <w:name w:val="Hyperlink"/>
    <w:rPr>
      <w:color w:val="0000FF"/>
      <w:u w:val="single"/>
    </w:rPr>
  </w:style>
  <w:style w:type="character" w:customStyle="1" w:styleId="a8">
    <w:name w:val="页眉 字符"/>
    <w:basedOn w:val="a0"/>
    <w:link w:val="a7"/>
    <w:rPr>
      <w:kern w:val="2"/>
      <w:sz w:val="18"/>
      <w:szCs w:val="18"/>
    </w:rPr>
  </w:style>
  <w:style w:type="character" w:customStyle="1" w:styleId="a5">
    <w:name w:val="批注框文本 字符"/>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1812</Characters>
  <Application>Microsoft Office Word</Application>
  <DocSecurity>0</DocSecurity>
  <Lines>15</Lines>
  <Paragraphs>4</Paragraphs>
  <ScaleCrop>false</ScaleCrop>
  <Company>微软公司</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2017-11-27T09:53:00Z</cp:lastPrinted>
  <dcterms:created xsi:type="dcterms:W3CDTF">2020-07-21T02:58:00Z</dcterms:created>
  <dcterms:modified xsi:type="dcterms:W3CDTF">2023-04-12T06:34:00Z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