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关于《博山区人民政府关于将全区全域设定为禁猎区全年禁猎的通告》的起草说明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现将《博山区人民政府关于将全区全域设定为禁猎区全年禁猎的通告》的有关情况说明如下：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一、制定通告的必要性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为遏制乱捕滥猎行为，强化野生动物源头管理，有效保护野生动物及其重要栖息地，恢复和改善野生动物生存环境，合理利用野生动物资源，维护我区生态平衡，特发布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《博山区人民政府关于将全区全域设定为禁猎区全年禁猎的通告》，</w:t>
      </w:r>
      <w:r>
        <w:rPr>
          <w:rFonts w:hint="eastAsia" w:ascii="Times New Roman" w:hAnsi="Times New Roman" w:eastAsia="仿宋_GB2312"/>
          <w:sz w:val="32"/>
          <w:lang w:eastAsia="zh-CN"/>
        </w:rPr>
        <w:t>在全区范围内设定禁猎区、规定禁猎期。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二、起草依据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该通告依据《中华人民共和国野生动物保护法》《野生动物保护法实施条例》《中华人民共和国自然保护区条例》和《山东省实施</w:t>
      </w:r>
      <w:r>
        <w:rPr>
          <w:rFonts w:hint="eastAsia" w:ascii="Times New Roman" w:hAnsi="Times New Roman" w:eastAsia="仿宋_GB2312" w:cs="仿宋_GB2312"/>
          <w:sz w:val="32"/>
          <w:lang w:eastAsia="zh-CN"/>
        </w:rPr>
        <w:t>〈中华人民共和国野生动物保护法〉办法</w:t>
      </w:r>
      <w:r>
        <w:rPr>
          <w:rFonts w:hint="eastAsia" w:ascii="Times New Roman" w:hAnsi="Times New Roman" w:eastAsia="仿宋_GB2312"/>
          <w:sz w:val="32"/>
          <w:lang w:eastAsia="zh-CN"/>
        </w:rPr>
        <w:t>》的相关规定制定。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三、起草过程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近期，我区群众多次投诉有非法利用电网、鸟笼等工具猎捕野生动物的现象，博山区自然资源局起草了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通告草案，经征求各相关部门意见，并经区司法局进行合法性审核后，提交区政府以其名义发布。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对禁猎区、禁猎期、禁猎对象的规定及违反本通告的法律责任。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五、关于施行日期的说明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该文件的公布日期是2019年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日，施行日期是2019年1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月1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日。因涉及野生动物保护需要立即施行。</w:t>
      </w: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A7E54"/>
    <w:rsid w:val="18207F67"/>
    <w:rsid w:val="6B6026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2019-12-12T01:14:00Z</dcterms:created>
  <dc:creator>Administrator</dc:creator>
  <cp:lastModifiedBy>Administrator</cp:lastModifiedBy>
  <dcterms:modified xsi:type="dcterms:W3CDTF">2019-12-18T03:22:21Z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