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6"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BSDR-2021-0020001</w:t>
      </w:r>
    </w:p>
    <w:p>
      <w:pPr>
        <w:widowControl/>
        <w:snapToGrid w:val="0"/>
        <w:spacing w:line="576" w:lineRule="exact"/>
        <w:jc w:val="both"/>
        <w:rPr>
          <w:rFonts w:hint="eastAsia" w:ascii="仿宋_GB2312" w:hAnsi="仿宋_GB2312" w:eastAsia="仿宋_GB2312" w:cs="仿宋_GB2312"/>
          <w:sz w:val="32"/>
          <w:szCs w:val="32"/>
        </w:rPr>
      </w:pPr>
    </w:p>
    <w:p>
      <w:pPr>
        <w:widowControl/>
        <w:snapToGrid w:val="0"/>
        <w:spacing w:line="576" w:lineRule="exact"/>
        <w:jc w:val="both"/>
        <w:rPr>
          <w:rFonts w:hint="eastAsia" w:ascii="仿宋_GB2312" w:hAnsi="仿宋_GB2312" w:eastAsia="仿宋_GB2312" w:cs="仿宋_GB2312"/>
          <w:sz w:val="32"/>
          <w:szCs w:val="32"/>
        </w:rPr>
      </w:pPr>
    </w:p>
    <w:p>
      <w:pPr>
        <w:widowControl/>
        <w:snapToGrid w:val="0"/>
        <w:spacing w:line="576" w:lineRule="exact"/>
        <w:jc w:val="both"/>
        <w:rPr>
          <w:rFonts w:hint="eastAsia" w:ascii="仿宋_GB2312" w:hAnsi="仿宋_GB2312" w:eastAsia="仿宋_GB2312" w:cs="仿宋_GB2312"/>
          <w:sz w:val="32"/>
          <w:szCs w:val="32"/>
        </w:rPr>
      </w:pPr>
    </w:p>
    <w:p>
      <w:pPr>
        <w:widowControl/>
        <w:snapToGrid w:val="0"/>
        <w:spacing w:line="576" w:lineRule="exact"/>
        <w:jc w:val="both"/>
        <w:rPr>
          <w:rFonts w:hint="eastAsia" w:ascii="仿宋_GB2312" w:hAnsi="仿宋_GB2312" w:eastAsia="仿宋_GB2312" w:cs="仿宋_GB2312"/>
          <w:sz w:val="32"/>
          <w:szCs w:val="32"/>
        </w:rPr>
      </w:pPr>
    </w:p>
    <w:p>
      <w:pPr>
        <w:widowControl/>
        <w:snapToGrid w:val="0"/>
        <w:spacing w:line="576" w:lineRule="exact"/>
        <w:jc w:val="both"/>
        <w:rPr>
          <w:rFonts w:hint="eastAsia" w:ascii="仿宋_GB2312" w:hAnsi="仿宋_GB2312" w:eastAsia="仿宋_GB2312" w:cs="仿宋_GB2312"/>
          <w:sz w:val="32"/>
          <w:szCs w:val="32"/>
        </w:rPr>
      </w:pPr>
    </w:p>
    <w:p>
      <w:pPr>
        <w:widowControl/>
        <w:snapToGrid w:val="0"/>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博政办</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widowControl/>
        <w:snapToGrid w:val="0"/>
        <w:spacing w:line="576" w:lineRule="exact"/>
        <w:ind w:right="-340" w:rightChars="-162"/>
        <w:jc w:val="both"/>
        <w:rPr>
          <w:rFonts w:hint="eastAsia" w:ascii="方正小标宋简体" w:hAnsi="方正小标宋_GBK" w:eastAsia="方正小标宋简体" w:cs="方正小标宋_GBK"/>
          <w:sz w:val="44"/>
          <w:szCs w:val="44"/>
        </w:rPr>
      </w:pPr>
    </w:p>
    <w:p>
      <w:pPr>
        <w:widowControl/>
        <w:snapToGrid w:val="0"/>
        <w:spacing w:line="576" w:lineRule="exact"/>
        <w:ind w:right="-340" w:rightChars="-162"/>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博山区人民政府办公室</w:t>
      </w:r>
    </w:p>
    <w:p>
      <w:pPr>
        <w:widowControl/>
        <w:snapToGrid w:val="0"/>
        <w:spacing w:line="576" w:lineRule="exact"/>
        <w:ind w:right="-57" w:rightChars="-27"/>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关于印发《博山区关于全面推行惠民殡葬</w:t>
      </w:r>
    </w:p>
    <w:p>
      <w:pPr>
        <w:widowControl/>
        <w:snapToGrid w:val="0"/>
        <w:spacing w:line="576" w:lineRule="exact"/>
        <w:ind w:right="-57" w:rightChars="-27"/>
        <w:jc w:val="center"/>
        <w:rPr>
          <w:rFonts w:ascii="方正小标宋简体" w:hAnsi="仿宋_GB2312" w:eastAsia="方正小标宋简体" w:cs="仿宋_GB2312"/>
          <w:sz w:val="32"/>
          <w:szCs w:val="32"/>
        </w:rPr>
      </w:pPr>
      <w:r>
        <w:rPr>
          <w:rFonts w:hint="eastAsia" w:ascii="方正小标宋简体" w:hAnsi="方正小标宋_GBK" w:eastAsia="方正小标宋简体" w:cs="方正小标宋_GBK"/>
          <w:sz w:val="44"/>
          <w:szCs w:val="44"/>
        </w:rPr>
        <w:t>政策的实施意见》的通知</w:t>
      </w:r>
    </w:p>
    <w:p>
      <w:pPr>
        <w:widowControl/>
        <w:snapToGrid w:val="0"/>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各镇人民政府、街道办事处，区政府各部门，各有关单位：</w:t>
      </w: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《博山区关于全面推行惠民殡葬政策的实施意见》</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经区政府</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同意，现印发给你们，请认真贯彻执行。</w:t>
      </w:r>
    </w:p>
    <w:p>
      <w:pPr>
        <w:widowControl/>
        <w:snapToGrid w:val="0"/>
        <w:spacing w:line="576" w:lineRule="exact"/>
        <w:ind w:firstLine="640" w:firstLineChars="200"/>
        <w:jc w:val="left"/>
        <w:rPr>
          <w:rFonts w:ascii="仿宋_GB2312" w:hAnsi="仿宋_GB2312" w:eastAsia="仿宋_GB2312" w:cs="仿宋_GB2312"/>
          <w:sz w:val="32"/>
          <w:szCs w:val="32"/>
        </w:rPr>
      </w:pPr>
    </w:p>
    <w:p>
      <w:pPr>
        <w:widowControl/>
        <w:snapToGrid w:val="0"/>
        <w:spacing w:line="576" w:lineRule="exact"/>
        <w:ind w:firstLine="640" w:firstLineChars="200"/>
        <w:jc w:val="left"/>
        <w:rPr>
          <w:rFonts w:ascii="仿宋_GB2312" w:hAnsi="仿宋_GB2312" w:eastAsia="仿宋_GB2312" w:cs="仿宋_GB2312"/>
          <w:sz w:val="32"/>
          <w:szCs w:val="32"/>
        </w:rPr>
      </w:pPr>
    </w:p>
    <w:p>
      <w:pPr>
        <w:widowControl/>
        <w:snapToGrid w:val="0"/>
        <w:spacing w:line="576"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博山区人民政府办公室</w:t>
      </w:r>
    </w:p>
    <w:p>
      <w:pPr>
        <w:widowControl/>
        <w:snapToGrid w:val="0"/>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widowControl/>
        <w:snapToGrid w:val="0"/>
        <w:spacing w:line="576" w:lineRule="exact"/>
        <w:ind w:firstLine="640" w:firstLineChars="200"/>
        <w:jc w:val="left"/>
        <w:rPr>
          <w:rFonts w:ascii="仿宋_GB2312" w:hAnsi="仿宋_GB2312" w:eastAsia="仿宋_GB2312" w:cs="仿宋_GB2312"/>
          <w:sz w:val="32"/>
          <w:szCs w:val="32"/>
        </w:rPr>
      </w:pPr>
    </w:p>
    <w:p>
      <w:pPr>
        <w:widowControl/>
        <w:snapToGrid w:val="0"/>
        <w:spacing w:line="576" w:lineRule="exact"/>
        <w:ind w:firstLine="640" w:firstLineChars="200"/>
        <w:jc w:val="left"/>
        <w:rPr>
          <w:rFonts w:ascii="仿宋_GB2312" w:hAnsi="仿宋_GB2312" w:eastAsia="仿宋_GB2312" w:cs="仿宋_GB2312"/>
          <w:sz w:val="32"/>
          <w:szCs w:val="32"/>
        </w:rPr>
      </w:pPr>
    </w:p>
    <w:p>
      <w:pPr>
        <w:widowControl/>
        <w:snapToGrid w:val="0"/>
        <w:spacing w:line="576"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博山区关于全面推行</w:t>
      </w:r>
    </w:p>
    <w:p>
      <w:pPr>
        <w:widowControl/>
        <w:snapToGrid w:val="0"/>
        <w:spacing w:line="576" w:lineRule="exact"/>
        <w:jc w:val="center"/>
        <w:rPr>
          <w:rFonts w:ascii="仿宋_GB2312" w:hAnsi="仿宋_GB2312" w:eastAsia="仿宋_GB2312" w:cs="仿宋_GB2312"/>
          <w:sz w:val="32"/>
          <w:szCs w:val="32"/>
        </w:rPr>
      </w:pPr>
      <w:r>
        <w:rPr>
          <w:rFonts w:hint="eastAsia" w:ascii="方正小标宋简体" w:hAnsi="方正小标宋_GBK" w:eastAsia="方正小标宋简体" w:cs="方正小标宋_GBK"/>
          <w:sz w:val="44"/>
          <w:szCs w:val="44"/>
        </w:rPr>
        <w:t>惠民殡葬政策的实施意见</w:t>
      </w:r>
    </w:p>
    <w:p>
      <w:pPr>
        <w:widowControl/>
        <w:snapToGrid w:val="0"/>
        <w:spacing w:line="576" w:lineRule="exact"/>
        <w:ind w:firstLine="640" w:firstLineChars="200"/>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殡葬改革，切实减轻群众殡葬负担，推动移风易俗，保障改善民生，根据民政部《关于全面推行惠民殡葬政策的指导意见》（民发〔2012〕211号）、省委办公厅省政府办公厅《关于倡导移风易俗推动绿色殡葬建设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（鲁厅字〔2019〕75号）和《淄博市人民政府办公室关于进一步完善惠民殡葬政策有关事项的通知》（淄政办字〔2020〕116号），经区政府同意，结合我区实际，</w:t>
      </w:r>
      <w:r>
        <w:rPr>
          <w:rFonts w:hint="eastAsia" w:ascii="仿宋_GB2312" w:eastAsia="仿宋_GB2312"/>
          <w:color w:val="000000"/>
          <w:sz w:val="32"/>
          <w:szCs w:val="32"/>
          <w:shd w:val="clear" w:color="auto" w:fill="FFFFFF"/>
        </w:rPr>
        <w:t>制定本实施意见。</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一、指导思想</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届五中全会精神，以习近平新时代中国特色社会主义思想为指导，认真贯彻落实国家、省、市及区委、区政府决策部署，围绕建设惠民、绿色、文明殡葬，以提升殡葬公共服务能力、减轻群众殡葬负担为基本目标，全面推行惠民殡葬政策，在全区建立健全覆盖城乡、持续发展的殡葬公共服务体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二、免费对象</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下列人员死亡后，免除基本殡葬服务费用：</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（一）具有博山区户籍的居民</w:t>
      </w:r>
      <w:r>
        <w:rPr>
          <w:rFonts w:hint="eastAsia" w:ascii="仿宋_GB2312" w:hAnsi="仿宋_GB2312" w:eastAsia="仿宋_GB2312" w:cs="仿宋_GB2312"/>
          <w:sz w:val="32"/>
          <w:szCs w:val="32"/>
          <w:lang w:eastAsia="zh-CN"/>
        </w:rPr>
        <w:t>；</w:t>
      </w:r>
    </w:p>
    <w:p>
      <w:pPr>
        <w:keepNext w:val="0"/>
        <w:keepLines w:val="0"/>
        <w:pageBreakBefore w:val="0"/>
        <w:tabs>
          <w:tab w:val="left" w:pos="2542"/>
        </w:tabs>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（二）尚未登记博山区户口的新生儿及本区社会福利机构抚养的儿童</w:t>
      </w:r>
      <w:r>
        <w:rPr>
          <w:rFonts w:hint="eastAsia" w:ascii="仿宋_GB2312" w:hAnsi="仿宋_GB2312" w:eastAsia="仿宋_GB2312" w:cs="仿宋_GB2312"/>
          <w:sz w:val="32"/>
          <w:szCs w:val="32"/>
          <w:lang w:eastAsia="zh-CN"/>
        </w:rPr>
        <w:t>；</w:t>
      </w:r>
    </w:p>
    <w:p>
      <w:pPr>
        <w:tabs>
          <w:tab w:val="left" w:pos="2542"/>
        </w:tabs>
        <w:spacing w:line="576"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（三）在博山区救助管理机构死亡且经相关部门确认无法查明身份的受助人员</w:t>
      </w:r>
      <w:r>
        <w:rPr>
          <w:rFonts w:hint="eastAsia" w:ascii="仿宋_GB2312" w:hAnsi="仿宋_GB2312" w:eastAsia="仿宋_GB2312" w:cs="仿宋_GB2312"/>
          <w:sz w:val="32"/>
          <w:szCs w:val="32"/>
          <w:lang w:eastAsia="zh-CN"/>
        </w:rPr>
        <w:t>；</w:t>
      </w:r>
    </w:p>
    <w:p>
      <w:pPr>
        <w:widowControl/>
        <w:snapToGrid w:val="0"/>
        <w:spacing w:line="576"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（四）驻博山区大中专院校全日制学生</w:t>
      </w:r>
      <w:r>
        <w:rPr>
          <w:rFonts w:hint="eastAsia" w:ascii="仿宋_GB2312" w:hAnsi="仿宋_GB2312" w:eastAsia="仿宋_GB2312" w:cs="仿宋_GB2312"/>
          <w:sz w:val="32"/>
          <w:szCs w:val="32"/>
          <w:lang w:eastAsia="zh-CN"/>
        </w:rPr>
        <w:t>；</w:t>
      </w:r>
    </w:p>
    <w:p>
      <w:pPr>
        <w:widowControl/>
        <w:snapToGrid w:val="0"/>
        <w:spacing w:line="576"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（五）本区公安部门认定的未知名尸体。</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三、免费项目</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（一）殡仪车遗体接运（含馆外抬尸、消毒）；</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（二）馆内遗体搬运；</w:t>
      </w:r>
      <w:r>
        <w:rPr>
          <w:rFonts w:ascii="仿宋_GB2312" w:hAnsi="仿宋_GB2312" w:eastAsia="仿宋_GB2312" w:cs="仿宋_GB2312"/>
          <w:sz w:val="32"/>
          <w:szCs w:val="32"/>
        </w:rPr>
        <w:t xml:space="preserve"> </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（三）遗体验尸消毒；</w:t>
      </w:r>
      <w:r>
        <w:rPr>
          <w:rFonts w:ascii="仿宋_GB2312" w:hAnsi="仿宋_GB2312" w:eastAsia="仿宋_GB2312" w:cs="仿宋_GB2312"/>
          <w:sz w:val="32"/>
          <w:szCs w:val="32"/>
        </w:rPr>
        <w:t xml:space="preserve"> </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（四）3天内遗体冷藏；</w:t>
      </w:r>
      <w:r>
        <w:rPr>
          <w:rFonts w:ascii="仿宋_GB2312" w:hAnsi="仿宋_GB2312" w:eastAsia="仿宋_GB2312" w:cs="仿宋_GB2312"/>
          <w:sz w:val="32"/>
          <w:szCs w:val="32"/>
        </w:rPr>
        <w:t xml:space="preserve"> </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（五）普通炉遗体火化；</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（六）普通骨灰盒；</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（七）1年内骨灰寄存。</w:t>
      </w: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四、申请程序</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符合规定的免费对象死亡后，经办人持医疗机构出具的《死亡证明书》（《死亡推断书》）或公安部门出具的死亡证明，到博山区殡仪馆办理免费对象基本殡葬服务费用的免除手续，同时提供以下材料原件，需要复印件存档的，由殡仪馆自行复印：</w:t>
      </w:r>
    </w:p>
    <w:p>
      <w:pPr>
        <w:widowControl/>
        <w:snapToGrid w:val="0"/>
        <w:spacing w:line="576"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（一）经办人本人身份证原件</w:t>
      </w:r>
      <w:r>
        <w:rPr>
          <w:rFonts w:hint="eastAsia" w:ascii="仿宋_GB2312" w:hAnsi="仿宋_GB2312" w:eastAsia="仿宋_GB2312" w:cs="仿宋_GB2312"/>
          <w:sz w:val="32"/>
          <w:szCs w:val="32"/>
          <w:lang w:eastAsia="zh-CN"/>
        </w:rPr>
        <w:t>；</w:t>
      </w:r>
    </w:p>
    <w:p>
      <w:pPr>
        <w:widowControl/>
        <w:snapToGrid w:val="0"/>
        <w:spacing w:line="576"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（二）本区户籍免费对象的身份证或户口簿原件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（三）逝者为尚未登记户口的新生儿、社会福利机构抚养的儿童，需提供医疗机构或社会福利机构证明</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（四）逝者为无法查明身份且在救助管理机构死亡的，需</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供救助管理机构出具的证明</w:t>
      </w:r>
      <w:r>
        <w:rPr>
          <w:rFonts w:hint="eastAsia" w:ascii="仿宋_GB2312" w:hAnsi="仿宋_GB2312" w:eastAsia="仿宋_GB2312" w:cs="仿宋_GB2312"/>
          <w:sz w:val="32"/>
          <w:szCs w:val="32"/>
          <w:lang w:eastAsia="zh-CN"/>
        </w:rPr>
        <w:t>；</w:t>
      </w:r>
    </w:p>
    <w:p>
      <w:pPr>
        <w:widowControl/>
        <w:snapToGrid w:val="0"/>
        <w:spacing w:line="576"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（五）逝者为驻博山区大中专院校全日制学生，需提供学校出具的证明和逝者的身份证、学生证原件</w:t>
      </w:r>
      <w:r>
        <w:rPr>
          <w:rFonts w:hint="eastAsia" w:ascii="仿宋_GB2312" w:hAnsi="仿宋_GB2312" w:eastAsia="仿宋_GB2312" w:cs="仿宋_GB2312"/>
          <w:sz w:val="32"/>
          <w:szCs w:val="32"/>
          <w:lang w:eastAsia="zh-CN"/>
        </w:rPr>
        <w:t>；</w:t>
      </w:r>
    </w:p>
    <w:p>
      <w:pPr>
        <w:widowControl/>
        <w:snapToGrid w:val="0"/>
        <w:spacing w:line="576"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（六）未知名尸体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需提供公安部门出具的死亡证明、火化通知书。</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五、结算规定</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（一）免费对象在博山区殡仪馆发生的基本殡葬服务费用，经殡仪馆审查确认后，根据免除项目和标准，在结算时予以免除。超过免除项目费用标准的部分由逝者的直系亲属、法定监护人或者相关单位机构负担。</w:t>
      </w:r>
    </w:p>
    <w:p>
      <w:pPr>
        <w:tabs>
          <w:tab w:val="left" w:pos="5610"/>
        </w:tabs>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二）在博山行政区域外去世并在非户籍所在地殡仪馆火化发生的基本殡葬服务费用，由丧事经办人预先垫付。自火化之日起1个月内，经办人持医疗机构出具的《死亡证明书》（《死亡推断书》）或公安部门出具的死亡证明、遗体火化证明、发票原件到</w:t>
      </w:r>
      <w:r>
        <w:rPr>
          <w:rFonts w:hint="eastAsia" w:ascii="仿宋_GB2312" w:hAnsi="仿宋_GB2312" w:eastAsia="仿宋_GB2312" w:cs="仿宋_GB2312"/>
          <w:color w:val="auto"/>
          <w:sz w:val="32"/>
          <w:szCs w:val="32"/>
        </w:rPr>
        <w:t>殡仪馆审查确认后予以结算。</w:t>
      </w:r>
    </w:p>
    <w:p>
      <w:pPr>
        <w:tabs>
          <w:tab w:val="left" w:pos="139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（三）未发生的免除服务项目费用，不折现、不折抵。免除费用项目外的费用由逝者的直系亲属、法定监护人或者相关单位机构负担。</w:t>
      </w:r>
    </w:p>
    <w:p>
      <w:pPr>
        <w:widowControl/>
        <w:snapToGrid w:val="0"/>
        <w:spacing w:line="576" w:lineRule="exact"/>
        <w:ind w:firstLine="640"/>
        <w:jc w:val="left"/>
        <w:rPr>
          <w:rFonts w:hint="eastAsia" w:ascii="黑体" w:hAnsi="黑体" w:eastAsia="黑体" w:cs="黑体"/>
          <w:sz w:val="32"/>
          <w:szCs w:val="32"/>
        </w:rPr>
      </w:pPr>
      <w:r>
        <w:rPr>
          <w:rFonts w:hint="eastAsia" w:ascii="黑体" w:hAnsi="黑体" w:eastAsia="黑体" w:cs="黑体"/>
          <w:sz w:val="32"/>
          <w:szCs w:val="32"/>
        </w:rPr>
        <w:t>六、经费保障</w:t>
      </w:r>
    </w:p>
    <w:p>
      <w:pPr>
        <w:widowControl/>
        <w:snapToGrid w:val="0"/>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免除基本殡葬服务费用所需经费以上年火化人数、人均1000元为基数，除市级财政负担的40%外，剩余60%由区级财政负担，所须费用列入政府财政预算。区殡仪馆负责办理免费手续，填写《博山区免除基本殡葬服务费用汇总表》，并附《博山区免除基本殡葬服务费用申请表》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民政部门审核，审核后由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民政部门按资金申报流程提报资金申请。对于无法确认户籍所在地的，按逝者居住地或发现地区认定，所需费用由区财政负担。</w:t>
      </w:r>
    </w:p>
    <w:p>
      <w:pPr>
        <w:widowControl/>
        <w:snapToGrid w:val="0"/>
        <w:spacing w:line="576"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（二）区财政对免除基本殡葬服务费用所需经费实行按</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结算拨付。</w:t>
      </w: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七、监督管理</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民政部门要严格做好免除基本殡葬服务费用的组织实施工作，加强绩效管理并完善绩效;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民政、财政部门每年对殡仪馆进行一次监督检查,发现问题及时纠正。</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二）区殡仪馆具体负责基本殡葬服务费用免除的审核审批工作。对不按规定办理免除费用申请，故意拖延办理、造成不良影响，有玩忽职守、徇私舞弊或弄虚作假套取财政补助资金的殡仪馆及其工作人员，依法追究法律责任。</w:t>
      </w:r>
    </w:p>
    <w:p>
      <w:pPr>
        <w:widowControl/>
        <w:snapToGrid w:val="0"/>
        <w:spacing w:line="576"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逝者遗体由区殡仪馆殡仪服务专用车或通过政府购买服务的殡仪服务机构殡仪服务专用车（经民政、交警、交通部门认证）接运。各殡仪服务专用车驾驶员，不得从事异地接运遗体业务，确因特殊情况需要的，由镇（街道）民政办报区殡仪馆批准后，方可从事异地接运遗体业务。</w:t>
      </w:r>
    </w:p>
    <w:p>
      <w:pPr>
        <w:widowControl/>
        <w:snapToGrid w:val="0"/>
        <w:spacing w:line="576"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（四）申请人采取虚报、隐瞒、伪造等手段，骗取免除费用的，给予批评教育，追回其骗取的减免费用；情节严重的，依法追究法律责任。</w:t>
      </w:r>
    </w:p>
    <w:p>
      <w:pPr>
        <w:widowControl/>
        <w:snapToGrid w:val="0"/>
        <w:spacing w:line="576"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（五）基本殡葬服务项目收费标准按照价格管理部门核定价格计算。因政策调整、市场价格变化等原因，需要调整免除费用标准的，经区发改部门核定收费标准，由区财政、民政部门报区政府批准后执行。</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八、有关要求</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提高认识，抓好惠民政策落实。全面推行惠民殡葬政策，为逝者提供遗体接运、存放、火化、骨灰存放等基本殡葬服务，是推进基本殡葬服务均等化的重要举措，各级各有关部门要切实提高思想认识，强化组织领导，加大财政投入，切实把惠民殡葬政策作为保障和改善民生的重要内容，抓实抓好。区民政局、各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要严格按照通知要求，做好免除基本殡葬服务费用宣传工作，组织各村（居）干部和红白理事会成员进行学习并认真抓好贯彻落实。</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强化保障，加大惠民殡葬政策的资金支持力度。区民政局、区财政局要将保障群众基本殡葬需求纳入社会保障体系建设总体规划，各镇（街道）提供好惠民殡葬落实便民服务工作，建立健全殡葬公共服务投入和稳定增长机制，将惠民殡葬保障支出列入本级财政预算，足额保障好政策落实所需费用，推动各项惠民殡葬政策顺利实施。</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（三）突出重点，完善基本殡葬服务体系。各级政府要结合经济发展状况和公共财政保障能力，切实做好逝者基本殡葬服务费用的免除工作，健全覆盖全体居民的殡葬公共服务体系。</w:t>
      </w: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本实施意见自</w:t>
      </w:r>
      <w:r>
        <w:rPr>
          <w:rFonts w:hint="eastAsia" w:ascii="仿宋_GB2312" w:hAnsi="仿宋_GB2312" w:eastAsia="仿宋_GB2312" w:cs="仿宋_GB2312"/>
          <w:sz w:val="32"/>
          <w:szCs w:val="32"/>
          <w:lang w:eastAsia="zh-CN"/>
        </w:rPr>
        <w:t>发布之日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有效期至2025年12月31日。本实施意见生效前按《淄博市人民政府办公室&lt;关于进一步完善惠民殡葬政策有关事项的通知&gt;》（淄政办字</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2020</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116号）执行。</w:t>
      </w:r>
    </w:p>
    <w:p>
      <w:pPr>
        <w:widowControl/>
        <w:snapToGrid w:val="0"/>
        <w:spacing w:line="576" w:lineRule="exact"/>
        <w:ind w:firstLine="640" w:firstLineChars="200"/>
        <w:jc w:val="left"/>
        <w:rPr>
          <w:rFonts w:hint="eastAsia" w:ascii="仿宋_GB2312" w:hAnsi="仿宋_GB2312" w:eastAsia="仿宋_GB2312" w:cs="仿宋_GB2312"/>
          <w:sz w:val="32"/>
          <w:szCs w:val="32"/>
        </w:rPr>
      </w:pPr>
    </w:p>
    <w:p>
      <w:pPr>
        <w:widowControl/>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博山区免除基本殡葬服务费用申请表 </w:t>
      </w:r>
    </w:p>
    <w:p>
      <w:pPr>
        <w:widowControl/>
        <w:snapToGrid w:val="0"/>
        <w:spacing w:line="576"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博山区免除基本殡葬服务费用汇总表 </w:t>
      </w:r>
    </w:p>
    <w:p>
      <w:pPr>
        <w:widowControl/>
        <w:snapToGrid w:val="0"/>
        <w:spacing w:line="576" w:lineRule="exact"/>
        <w:jc w:val="right"/>
        <w:rPr>
          <w:rFonts w:ascii="仿宋_GB2312" w:hAnsi="仿宋_GB2312" w:eastAsia="仿宋_GB2312" w:cs="仿宋_GB2312"/>
          <w:sz w:val="32"/>
          <w:szCs w:val="32"/>
        </w:rPr>
      </w:pPr>
    </w:p>
    <w:p>
      <w:pPr>
        <w:widowControl/>
        <w:snapToGrid w:val="0"/>
        <w:spacing w:line="576"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napToGrid w:val="0"/>
        <w:spacing w:line="576" w:lineRule="exact"/>
        <w:jc w:val="left"/>
        <w:rPr>
          <w:rFonts w:ascii="仿宋_GB2312" w:hAnsi="仿宋_GB2312" w:eastAsia="仿宋_GB2312" w:cs="仿宋_GB2312"/>
          <w:sz w:val="32"/>
          <w:szCs w:val="32"/>
        </w:rPr>
      </w:pPr>
    </w:p>
    <w:p>
      <w:pPr>
        <w:widowControl/>
        <w:snapToGrid w:val="0"/>
        <w:spacing w:line="576" w:lineRule="exact"/>
        <w:jc w:val="center"/>
        <w:rPr>
          <w:rFonts w:ascii="仿宋_GB2312" w:hAnsi="仿宋_GB2312" w:eastAsia="仿宋_GB2312" w:cs="仿宋_GB2312"/>
          <w:sz w:val="32"/>
          <w:szCs w:val="32"/>
        </w:rPr>
      </w:pPr>
    </w:p>
    <w:p>
      <w:pPr>
        <w:widowControl/>
        <w:snapToGrid w:val="0"/>
        <w:spacing w:line="580" w:lineRule="exact"/>
        <w:jc w:val="center"/>
        <w:rPr>
          <w:rFonts w:ascii="仿宋_GB2312" w:hAnsi="仿宋_GB2312" w:eastAsia="仿宋_GB2312" w:cs="仿宋_GB2312"/>
          <w:sz w:val="32"/>
          <w:szCs w:val="32"/>
        </w:rPr>
      </w:pPr>
      <w:bookmarkStart w:id="0" w:name="_GoBack"/>
      <w:bookmarkEnd w:id="0"/>
    </w:p>
    <w:p>
      <w:pPr>
        <w:widowControl/>
        <w:snapToGrid w:val="0"/>
        <w:spacing w:line="580" w:lineRule="exact"/>
        <w:jc w:val="center"/>
        <w:rPr>
          <w:rFonts w:ascii="仿宋_GB2312" w:hAnsi="仿宋_GB2312" w:eastAsia="仿宋_GB2312" w:cs="仿宋_GB2312"/>
          <w:sz w:val="32"/>
          <w:szCs w:val="32"/>
        </w:rPr>
      </w:pPr>
    </w:p>
    <w:p>
      <w:pPr>
        <w:widowControl/>
        <w:snapToGrid w:val="0"/>
        <w:spacing w:line="580" w:lineRule="exact"/>
        <w:jc w:val="center"/>
        <w:rPr>
          <w:rFonts w:ascii="仿宋_GB2312" w:hAnsi="仿宋_GB2312" w:eastAsia="仿宋_GB2312" w:cs="仿宋_GB2312"/>
          <w:sz w:val="32"/>
          <w:szCs w:val="32"/>
        </w:rPr>
      </w:pPr>
    </w:p>
    <w:p>
      <w:pPr>
        <w:widowControl/>
        <w:snapToGrid w:val="0"/>
        <w:spacing w:line="580" w:lineRule="exact"/>
        <w:jc w:val="center"/>
        <w:rPr>
          <w:rFonts w:ascii="仿宋_GB2312" w:hAnsi="仿宋_GB2312" w:eastAsia="仿宋_GB2312" w:cs="仿宋_GB2312"/>
          <w:sz w:val="32"/>
          <w:szCs w:val="32"/>
        </w:rPr>
      </w:pPr>
    </w:p>
    <w:p>
      <w:pPr>
        <w:widowControl/>
        <w:snapToGrid w:val="0"/>
        <w:spacing w:line="580" w:lineRule="exact"/>
        <w:jc w:val="center"/>
        <w:rPr>
          <w:rFonts w:ascii="仿宋_GB2312" w:hAnsi="仿宋_GB2312" w:eastAsia="仿宋_GB2312" w:cs="仿宋_GB2312"/>
          <w:sz w:val="32"/>
          <w:szCs w:val="32"/>
        </w:rPr>
      </w:pPr>
    </w:p>
    <w:p>
      <w:pPr>
        <w:widowControl/>
        <w:snapToGrid w:val="0"/>
        <w:spacing w:line="580" w:lineRule="exact"/>
        <w:rPr>
          <w:rFonts w:hint="eastAsia" w:ascii="黑体" w:hAnsi="黑体" w:eastAsia="黑体" w:cs="黑体"/>
          <w:kern w:val="0"/>
          <w:sz w:val="32"/>
          <w:szCs w:val="32"/>
        </w:rPr>
      </w:pPr>
    </w:p>
    <w:p>
      <w:pPr>
        <w:widowControl/>
        <w:snapToGrid w:val="0"/>
        <w:spacing w:line="580" w:lineRule="exact"/>
        <w:rPr>
          <w:rFonts w:hint="eastAsia" w:ascii="黑体" w:hAnsi="黑体" w:eastAsia="黑体" w:cs="黑体"/>
          <w:kern w:val="0"/>
          <w:sz w:val="32"/>
          <w:szCs w:val="32"/>
        </w:rPr>
      </w:pPr>
    </w:p>
    <w:p>
      <w:pPr>
        <w:widowControl/>
        <w:snapToGrid w:val="0"/>
        <w:spacing w:line="580" w:lineRule="exact"/>
        <w:rPr>
          <w:rFonts w:hint="eastAsia" w:ascii="黑体" w:hAnsi="黑体" w:eastAsia="黑体" w:cs="黑体"/>
          <w:kern w:val="0"/>
          <w:sz w:val="32"/>
          <w:szCs w:val="32"/>
        </w:rPr>
      </w:pPr>
    </w:p>
    <w:p>
      <w:pPr>
        <w:widowControl/>
        <w:snapToGrid w:val="0"/>
        <w:spacing w:line="580" w:lineRule="exact"/>
        <w:rPr>
          <w:rFonts w:ascii="宋体" w:hAnsi="宋体" w:cs="宋体"/>
          <w:kern w:val="0"/>
          <w:sz w:val="32"/>
          <w:szCs w:val="32"/>
        </w:rPr>
      </w:pPr>
      <w:r>
        <w:rPr>
          <w:rFonts w:hint="eastAsia" w:ascii="黑体" w:hAnsi="黑体" w:eastAsia="黑体" w:cs="黑体"/>
          <w:kern w:val="0"/>
          <w:sz w:val="32"/>
          <w:szCs w:val="32"/>
        </w:rPr>
        <w:t>附件1</w:t>
      </w:r>
    </w:p>
    <w:p>
      <w:pPr>
        <w:widowControl/>
        <w:snapToGrid w:val="0"/>
        <w:spacing w:line="580" w:lineRule="exact"/>
        <w:jc w:val="center"/>
        <w:rPr>
          <w:rFonts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kern w:val="0"/>
          <w:sz w:val="44"/>
          <w:szCs w:val="44"/>
        </w:rPr>
        <w:t>博山区免除基本殡葬服务费用申请表</w:t>
      </w:r>
    </w:p>
    <w:p>
      <w:r>
        <w:rPr>
          <w:rFonts w:hint="eastAsia"/>
        </w:rPr>
        <w:t xml:space="preserve"> </w:t>
      </w:r>
    </w:p>
    <w:p>
      <w:pPr>
        <w:rPr>
          <w:rFonts w:ascii="仿宋_GB2312" w:hAnsi="黑体" w:eastAsia="仿宋_GB2312" w:cs="黑体"/>
          <w:sz w:val="32"/>
          <w:szCs w:val="32"/>
        </w:rPr>
      </w:pPr>
      <w:r>
        <w:rPr>
          <w:rFonts w:hint="eastAsia"/>
        </w:rPr>
        <w:t xml:space="preserve"> </w:t>
      </w:r>
      <w:r>
        <w:rPr>
          <w:rFonts w:hint="eastAsia" w:ascii="仿宋_GB2312" w:eastAsia="仿宋_GB2312"/>
        </w:rPr>
        <w:t>编号：                                               日期：      年    月    日</w:t>
      </w:r>
    </w:p>
    <w:tbl>
      <w:tblPr>
        <w:tblStyle w:val="7"/>
        <w:tblpPr w:leftFromText="180" w:rightFromText="180" w:topFromText="100" w:bottomFromText="100" w:vertAnchor="text" w:horzAnchor="page" w:tblpXSpec="center" w:tblpY="209"/>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902"/>
        <w:gridCol w:w="962"/>
        <w:gridCol w:w="247"/>
        <w:gridCol w:w="726"/>
        <w:gridCol w:w="415"/>
        <w:gridCol w:w="1212"/>
        <w:gridCol w:w="586"/>
        <w:gridCol w:w="653"/>
        <w:gridCol w:w="813"/>
        <w:gridCol w:w="40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逝者姓名</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户籍</w:t>
            </w:r>
          </w:p>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地址</w:t>
            </w:r>
          </w:p>
        </w:tc>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工作单位</w:t>
            </w:r>
          </w:p>
        </w:tc>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年  龄</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性别</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身份</w:t>
            </w:r>
          </w:p>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证号</w:t>
            </w:r>
          </w:p>
        </w:tc>
        <w:tc>
          <w:tcPr>
            <w:tcW w:w="3290"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ind w:left="15747"/>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免除项目</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遗体接运</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spacing w:val="-22"/>
                <w:kern w:val="0"/>
                <w:szCs w:val="21"/>
              </w:rPr>
              <w:t>含抬尸、验尸消毒</w:t>
            </w:r>
            <w:r>
              <w:rPr>
                <w:rFonts w:hint="eastAsia" w:ascii="仿宋_GB2312" w:hAnsi="宋体" w:eastAsia="仿宋_GB2312" w:cs="宋体"/>
                <w:kern w:val="0"/>
                <w:szCs w:val="21"/>
              </w:rPr>
              <w:t>）</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冷藏</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遗体火化</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骨灰寄存</w:t>
            </w:r>
          </w:p>
        </w:tc>
        <w:tc>
          <w:tcPr>
            <w:tcW w:w="121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骨灰盒</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免除金额</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1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免除金额</w:t>
            </w: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（大写）</w:t>
            </w:r>
          </w:p>
        </w:tc>
        <w:tc>
          <w:tcPr>
            <w:tcW w:w="7754" w:type="dxa"/>
            <w:gridSpan w:val="11"/>
            <w:tcBorders>
              <w:top w:val="single" w:color="auto" w:sz="4" w:space="0"/>
              <w:left w:val="single" w:color="auto" w:sz="4" w:space="0"/>
              <w:bottom w:val="single" w:color="auto" w:sz="4" w:space="0"/>
              <w:right w:val="single" w:color="auto" w:sz="6" w:space="0"/>
            </w:tcBorders>
            <w:vAlign w:val="center"/>
          </w:tcPr>
          <w:p>
            <w:pPr>
              <w:widowControl/>
              <w:spacing w:line="44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丧  事</w:t>
            </w: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经办人</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姓  名</w:t>
            </w:r>
          </w:p>
        </w:tc>
        <w:tc>
          <w:tcPr>
            <w:tcW w:w="5890" w:type="dxa"/>
            <w:gridSpan w:val="9"/>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c>
          <w:tcPr>
            <w:tcW w:w="5890" w:type="dxa"/>
            <w:gridSpan w:val="9"/>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与逝者关系</w:t>
            </w:r>
          </w:p>
        </w:tc>
        <w:tc>
          <w:tcPr>
            <w:tcW w:w="3186"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联 系 电 话</w:t>
            </w:r>
          </w:p>
        </w:tc>
        <w:tc>
          <w:tcPr>
            <w:tcW w:w="2704"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c>
          <w:tcPr>
            <w:tcW w:w="3186"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c>
          <w:tcPr>
            <w:tcW w:w="2704"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殡仪馆</w:t>
            </w: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经办人</w:t>
            </w: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837"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630" w:firstLineChars="300"/>
              <w:rPr>
                <w:rFonts w:ascii="仿宋_GB2312" w:hAnsi="宋体" w:eastAsia="仿宋_GB2312" w:cs="宋体"/>
                <w:kern w:val="0"/>
                <w:szCs w:val="21"/>
              </w:rPr>
            </w:pPr>
            <w:r>
              <w:rPr>
                <w:rFonts w:hint="eastAsia" w:ascii="仿宋_GB2312" w:hAnsi="宋体" w:eastAsia="仿宋_GB2312" w:cs="宋体"/>
                <w:kern w:val="0"/>
                <w:szCs w:val="21"/>
              </w:rPr>
              <w:t> </w:t>
            </w:r>
          </w:p>
          <w:p>
            <w:pPr>
              <w:widowControl/>
              <w:spacing w:line="440" w:lineRule="exact"/>
              <w:ind w:firstLine="630" w:firstLineChars="300"/>
              <w:rPr>
                <w:rFonts w:ascii="仿宋_GB2312" w:hAnsi="宋体" w:eastAsia="仿宋_GB2312" w:cs="宋体"/>
                <w:kern w:val="0"/>
                <w:szCs w:val="21"/>
              </w:rPr>
            </w:pPr>
            <w:r>
              <w:rPr>
                <w:rFonts w:hint="eastAsia" w:ascii="仿宋_GB2312" w:hAnsi="宋体" w:eastAsia="仿宋_GB2312" w:cs="宋体"/>
                <w:kern w:val="0"/>
                <w:szCs w:val="21"/>
              </w:rPr>
              <w:t> </w:t>
            </w:r>
          </w:p>
          <w:p>
            <w:pPr>
              <w:widowControl/>
              <w:spacing w:line="440" w:lineRule="exact"/>
              <w:ind w:firstLine="630" w:firstLineChars="300"/>
              <w:rPr>
                <w:rFonts w:ascii="仿宋_GB2312" w:hAnsi="宋体" w:eastAsia="仿宋_GB2312" w:cs="宋体"/>
                <w:kern w:val="0"/>
                <w:szCs w:val="21"/>
              </w:rPr>
            </w:pPr>
            <w:r>
              <w:rPr>
                <w:rFonts w:hint="eastAsia" w:ascii="仿宋_GB2312" w:hAnsi="宋体" w:eastAsia="仿宋_GB2312" w:cs="宋体"/>
                <w:kern w:val="0"/>
                <w:szCs w:val="21"/>
              </w:rPr>
              <w:t xml:space="preserve"> </w:t>
            </w:r>
          </w:p>
          <w:p>
            <w:pPr>
              <w:widowControl/>
              <w:spacing w:line="440" w:lineRule="exact"/>
              <w:ind w:firstLine="945" w:firstLineChars="450"/>
              <w:rPr>
                <w:rFonts w:ascii="仿宋_GB2312" w:hAnsi="宋体" w:eastAsia="仿宋_GB2312" w:cs="宋体"/>
                <w:kern w:val="0"/>
                <w:szCs w:val="21"/>
              </w:rPr>
            </w:pPr>
            <w:r>
              <w:rPr>
                <w:rFonts w:hint="eastAsia" w:ascii="仿宋_GB2312" w:hAnsi="宋体" w:eastAsia="仿宋_GB2312" w:cs="宋体"/>
                <w:kern w:val="0"/>
                <w:szCs w:val="21"/>
              </w:rPr>
              <w:t>（签字）</w:t>
            </w:r>
          </w:p>
          <w:p>
            <w:pPr>
              <w:widowControl/>
              <w:spacing w:line="440" w:lineRule="exact"/>
              <w:ind w:firstLine="630" w:firstLineChars="300"/>
              <w:rPr>
                <w:rFonts w:ascii="仿宋_GB2312" w:hAnsi="宋体" w:eastAsia="仿宋_GB2312" w:cs="宋体"/>
                <w:kern w:val="0"/>
                <w:szCs w:val="21"/>
              </w:rPr>
            </w:pPr>
            <w:r>
              <w:rPr>
                <w:rFonts w:hint="eastAsia" w:ascii="仿宋_GB2312" w:hAnsi="宋体" w:eastAsia="仿宋_GB2312" w:cs="宋体"/>
                <w:kern w:val="0"/>
                <w:szCs w:val="21"/>
              </w:rPr>
              <w:t>年   月   日</w:t>
            </w:r>
          </w:p>
        </w:tc>
        <w:tc>
          <w:tcPr>
            <w:tcW w:w="221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殡 仪 馆</w:t>
            </w:r>
          </w:p>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审核意见</w:t>
            </w:r>
          </w:p>
          <w:p>
            <w:pPr>
              <w:widowControl/>
              <w:spacing w:line="440" w:lineRule="exact"/>
              <w:jc w:val="center"/>
              <w:rPr>
                <w:rFonts w:ascii="仿宋_GB2312" w:hAnsi="宋体" w:eastAsia="仿宋_GB2312" w:cs="宋体"/>
                <w:kern w:val="0"/>
                <w:szCs w:val="21"/>
              </w:rPr>
            </w:pPr>
          </w:p>
        </w:tc>
        <w:tc>
          <w:tcPr>
            <w:tcW w:w="2704"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 </w:t>
            </w:r>
          </w:p>
          <w:p>
            <w:pPr>
              <w:widowControl/>
              <w:spacing w:line="44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 </w:t>
            </w:r>
          </w:p>
          <w:p>
            <w:pPr>
              <w:widowControl/>
              <w:spacing w:line="440" w:lineRule="exact"/>
              <w:ind w:firstLine="735" w:firstLineChars="350"/>
              <w:jc w:val="left"/>
              <w:rPr>
                <w:rFonts w:ascii="仿宋_GB2312" w:hAnsi="宋体" w:eastAsia="仿宋_GB2312" w:cs="宋体"/>
                <w:kern w:val="0"/>
                <w:szCs w:val="21"/>
              </w:rPr>
            </w:pPr>
            <w:r>
              <w:rPr>
                <w:rFonts w:hint="eastAsia" w:ascii="仿宋_GB2312" w:hAnsi="宋体" w:eastAsia="仿宋_GB2312" w:cs="宋体"/>
                <w:kern w:val="0"/>
                <w:szCs w:val="21"/>
              </w:rPr>
              <w:t>（公章）</w:t>
            </w:r>
          </w:p>
          <w:p>
            <w:pPr>
              <w:widowControl/>
              <w:spacing w:line="440" w:lineRule="exact"/>
              <w:ind w:firstLine="630" w:firstLineChars="300"/>
              <w:jc w:val="left"/>
              <w:rPr>
                <w:rFonts w:ascii="仿宋_GB2312" w:hAnsi="宋体" w:eastAsia="仿宋_GB2312" w:cs="宋体"/>
                <w:kern w:val="0"/>
                <w:szCs w:val="21"/>
              </w:rPr>
            </w:pPr>
          </w:p>
          <w:p>
            <w:pPr>
              <w:widowControl/>
              <w:spacing w:line="44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kern w:val="0"/>
                <w:szCs w:val="21"/>
              </w:rPr>
            </w:pPr>
            <w:r>
              <w:rPr>
                <w:rFonts w:hint="eastAsia" w:ascii="仿宋_GB2312" w:hAnsi="宋体" w:eastAsia="仿宋_GB2312" w:cs="宋体"/>
                <w:kern w:val="0"/>
                <w:szCs w:val="21"/>
              </w:rPr>
              <w:t>说 明</w:t>
            </w:r>
          </w:p>
        </w:tc>
        <w:tc>
          <w:tcPr>
            <w:tcW w:w="7754" w:type="dxa"/>
            <w:gridSpan w:val="11"/>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宋体" w:eastAsia="仿宋_GB2312" w:cs="宋体"/>
                <w:kern w:val="0"/>
                <w:szCs w:val="21"/>
              </w:rPr>
            </w:pPr>
            <w:r>
              <w:rPr>
                <w:rFonts w:hint="eastAsia" w:ascii="仿宋_GB2312" w:hAnsi="宋体" w:eastAsia="仿宋_GB2312" w:cs="宋体"/>
                <w:kern w:val="0"/>
                <w:szCs w:val="21"/>
              </w:rPr>
              <w:t>1.此表由殡仪馆据实填写，经办人签字，弄虚作假者追回费用，并追究责任。</w:t>
            </w:r>
          </w:p>
          <w:p>
            <w:pPr>
              <w:widowControl/>
              <w:spacing w:line="440" w:lineRule="exact"/>
              <w:jc w:val="left"/>
              <w:rPr>
                <w:rFonts w:ascii="仿宋_GB2312" w:hAnsi="宋体" w:eastAsia="仿宋_GB2312" w:cs="宋体"/>
                <w:kern w:val="0"/>
                <w:szCs w:val="21"/>
              </w:rPr>
            </w:pPr>
            <w:r>
              <w:rPr>
                <w:rFonts w:hint="eastAsia" w:ascii="仿宋_GB2312" w:hAnsi="宋体" w:eastAsia="仿宋_GB2312" w:cs="宋体"/>
                <w:kern w:val="0"/>
                <w:szCs w:val="21"/>
              </w:rPr>
              <w:t>2.未发生的免除项目不折现、不折抵。</w:t>
            </w:r>
          </w:p>
          <w:p>
            <w:pPr>
              <w:widowControl/>
              <w:spacing w:line="440" w:lineRule="exact"/>
              <w:jc w:val="left"/>
              <w:rPr>
                <w:rFonts w:ascii="仿宋_GB2312" w:hAnsi="宋体" w:eastAsia="仿宋_GB2312" w:cs="宋体"/>
                <w:kern w:val="0"/>
                <w:szCs w:val="21"/>
              </w:rPr>
            </w:pPr>
            <w:r>
              <w:rPr>
                <w:rFonts w:hint="eastAsia" w:ascii="仿宋_GB2312" w:hAnsi="宋体" w:eastAsia="仿宋_GB2312" w:cs="宋体"/>
                <w:kern w:val="0"/>
                <w:szCs w:val="21"/>
              </w:rPr>
              <w:t>3.此表一式三份，殡仪馆存档、民政审核、申请财政资金各一份。</w:t>
            </w:r>
          </w:p>
        </w:tc>
      </w:tr>
    </w:tbl>
    <w:p>
      <w:pPr>
        <w:rPr>
          <w:rFonts w:ascii="黑体" w:hAnsi="黑体" w:eastAsia="黑体" w:cs="黑体"/>
          <w:sz w:val="32"/>
          <w:szCs w:val="32"/>
        </w:rPr>
      </w:pPr>
    </w:p>
    <w:p>
      <w:pPr>
        <w:sectPr>
          <w:footerReference r:id="rId3" w:type="default"/>
          <w:footerReference r:id="rId4" w:type="even"/>
          <w:pgSz w:w="11906" w:h="16838"/>
          <w:pgMar w:top="2098" w:right="1474" w:bottom="1984" w:left="1587" w:header="851" w:footer="992" w:gutter="0"/>
          <w:cols w:space="425" w:num="1"/>
          <w:docGrid w:type="lines" w:linePitch="312" w:charSpace="0"/>
        </w:sectPr>
      </w:pPr>
    </w:p>
    <w:p>
      <w:pPr>
        <w:widowControl/>
        <w:snapToGrid w:val="0"/>
        <w:spacing w:line="360" w:lineRule="auto"/>
        <w:rPr>
          <w:sz w:val="32"/>
          <w:szCs w:val="32"/>
        </w:rPr>
      </w:pPr>
      <w:r>
        <w:rPr>
          <w:rFonts w:hint="eastAsia" w:ascii="黑体" w:hAnsi="黑体" w:eastAsia="黑体" w:cs="黑体"/>
          <w:sz w:val="32"/>
          <w:szCs w:val="32"/>
        </w:rPr>
        <w:t>附件2</w:t>
      </w:r>
    </w:p>
    <w:p>
      <w:pPr>
        <w:widowControl/>
        <w:snapToGrid w:val="0"/>
        <w:jc w:val="center"/>
        <w:rPr>
          <w:rFonts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kern w:val="0"/>
          <w:sz w:val="44"/>
          <w:szCs w:val="44"/>
        </w:rPr>
        <w:t>博山区免除基本殡葬服务费用汇总表</w:t>
      </w:r>
    </w:p>
    <w:p>
      <w:pPr>
        <w:widowControl/>
        <w:snapToGrid w:val="0"/>
        <w:jc w:val="center"/>
        <w:rPr>
          <w:rFonts w:ascii="宋体" w:hAnsi="宋体" w:eastAsia="宋体" w:cs="宋体"/>
          <w:kern w:val="0"/>
          <w:sz w:val="24"/>
        </w:rPr>
      </w:pPr>
      <w:r>
        <w:rPr>
          <w:rFonts w:hint="eastAsia" w:ascii="宋体" w:hAnsi="宋体" w:eastAsia="宋体" w:cs="宋体"/>
          <w:kern w:val="0"/>
          <w:sz w:val="24"/>
        </w:rPr>
        <w:t>（      年    月    日至      年    月    日）</w:t>
      </w:r>
    </w:p>
    <w:p>
      <w:pPr>
        <w:widowControl/>
        <w:snapToGrid w:val="0"/>
        <w:jc w:val="center"/>
        <w:rPr>
          <w:rFonts w:ascii="宋体" w:hAnsi="宋体" w:eastAsia="宋体" w:cs="宋体"/>
          <w:kern w:val="0"/>
          <w:sz w:val="24"/>
        </w:rPr>
      </w:pPr>
    </w:p>
    <w:tbl>
      <w:tblPr>
        <w:tblStyle w:val="7"/>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50"/>
        <w:gridCol w:w="418"/>
        <w:gridCol w:w="167"/>
        <w:gridCol w:w="1575"/>
        <w:gridCol w:w="1138"/>
        <w:gridCol w:w="900"/>
        <w:gridCol w:w="1539"/>
        <w:gridCol w:w="776"/>
        <w:gridCol w:w="726"/>
        <w:gridCol w:w="1320"/>
        <w:gridCol w:w="975"/>
        <w:gridCol w:w="855"/>
        <w:gridCol w:w="13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逝者姓名</w:t>
            </w:r>
          </w:p>
        </w:tc>
        <w:tc>
          <w:tcPr>
            <w:tcW w:w="5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身份证号</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人员类别代码</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55" w:rightChars="26"/>
              <w:jc w:val="center"/>
              <w:rPr>
                <w:rFonts w:ascii="宋体" w:hAnsi="宋体" w:eastAsia="宋体" w:cs="宋体"/>
                <w:kern w:val="0"/>
                <w:szCs w:val="21"/>
              </w:rPr>
            </w:pPr>
            <w:r>
              <w:rPr>
                <w:rFonts w:hint="eastAsia" w:ascii="宋体" w:hAnsi="宋体" w:eastAsia="宋体" w:cs="宋体"/>
                <w:kern w:val="0"/>
                <w:szCs w:val="21"/>
              </w:rPr>
              <w:t>火化日期</w:t>
            </w:r>
          </w:p>
        </w:tc>
        <w:tc>
          <w:tcPr>
            <w:tcW w:w="6191"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免除项目及金额</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审请表编号</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5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接运（含抬尸、验尸消毒）</w:t>
            </w:r>
          </w:p>
        </w:tc>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冷藏</w:t>
            </w:r>
          </w:p>
        </w:tc>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火化</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骨灰寄存</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骨灰盒</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合计</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585"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 </w:t>
            </w:r>
          </w:p>
        </w:tc>
        <w:tc>
          <w:tcPr>
            <w:tcW w:w="1575"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 </w:t>
            </w:r>
          </w:p>
        </w:tc>
        <w:tc>
          <w:tcPr>
            <w:tcW w:w="1138"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0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539"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7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2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132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7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8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13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94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585" w:type="dxa"/>
            <w:gridSpan w:val="2"/>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57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138"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0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539"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7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2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132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7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8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3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4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585" w:type="dxa"/>
            <w:gridSpan w:val="2"/>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57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138"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0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539"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7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726"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p>
        </w:tc>
        <w:tc>
          <w:tcPr>
            <w:tcW w:w="132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7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85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1350"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c>
          <w:tcPr>
            <w:tcW w:w="945" w:type="dxa"/>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03"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免  除  金  额  合  计</w:t>
            </w:r>
          </w:p>
        </w:tc>
        <w:tc>
          <w:tcPr>
            <w:tcW w:w="1539"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 </w:t>
            </w:r>
          </w:p>
        </w:tc>
        <w:tc>
          <w:tcPr>
            <w:tcW w:w="776"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 </w:t>
            </w:r>
          </w:p>
        </w:tc>
        <w:tc>
          <w:tcPr>
            <w:tcW w:w="726"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p>
        </w:tc>
        <w:tc>
          <w:tcPr>
            <w:tcW w:w="1320"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 </w:t>
            </w:r>
          </w:p>
        </w:tc>
        <w:tc>
          <w:tcPr>
            <w:tcW w:w="975"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p>
        </w:tc>
        <w:tc>
          <w:tcPr>
            <w:tcW w:w="855"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eastAsia="宋体" w:cs="宋体"/>
                <w:kern w:val="0"/>
                <w:szCs w:val="21"/>
              </w:rPr>
            </w:pPr>
          </w:p>
        </w:tc>
        <w:tc>
          <w:tcPr>
            <w:tcW w:w="2295" w:type="dxa"/>
            <w:gridSpan w:val="2"/>
            <w:tcBorders>
              <w:top w:val="single" w:color="auto" w:sz="4" w:space="0"/>
              <w:left w:val="single" w:color="auto" w:sz="4" w:space="0"/>
              <w:bottom w:val="single" w:color="auto" w:sz="4" w:space="0"/>
              <w:right w:val="single" w:color="auto" w:sz="4" w:space="0"/>
            </w:tcBorders>
          </w:tcPr>
          <w:p>
            <w:pPr>
              <w:widowControl/>
              <w:spacing w:line="310" w:lineRule="exact"/>
              <w:jc w:val="left"/>
              <w:rPr>
                <w:rFonts w:ascii="宋体" w:hAnsi="宋体" w:eastAsia="宋体" w:cs="宋体"/>
                <w:kern w:val="0"/>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72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填报单位意见</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p>
            <w:pPr>
              <w:widowControl/>
              <w:spacing w:line="280" w:lineRule="exact"/>
              <w:jc w:val="center"/>
              <w:rPr>
                <w:rFonts w:ascii="宋体" w:hAnsi="宋体" w:eastAsia="宋体" w:cs="宋体"/>
                <w:kern w:val="0"/>
                <w:szCs w:val="21"/>
              </w:rPr>
            </w:pP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年   月   日</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区县民政</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部门意见</w:t>
            </w:r>
          </w:p>
        </w:tc>
        <w:tc>
          <w:tcPr>
            <w:tcW w:w="282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p>
            <w:pPr>
              <w:widowControl/>
              <w:spacing w:line="280" w:lineRule="exact"/>
              <w:jc w:val="center"/>
              <w:rPr>
                <w:rFonts w:ascii="宋体" w:hAnsi="宋体" w:eastAsia="宋体" w:cs="宋体"/>
                <w:kern w:val="0"/>
                <w:szCs w:val="21"/>
              </w:rPr>
            </w:pP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年   月    日</w:t>
            </w:r>
          </w:p>
          <w:p>
            <w:pPr>
              <w:widowControl/>
              <w:spacing w:line="280" w:lineRule="exact"/>
              <w:jc w:val="center"/>
              <w:rPr>
                <w:rFonts w:ascii="宋体" w:hAnsi="宋体" w:eastAsia="宋体" w:cs="宋体"/>
                <w:kern w:val="0"/>
                <w:szCs w:val="21"/>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区县财政</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部门意见</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p>
            <w:pPr>
              <w:widowControl/>
              <w:spacing w:line="280" w:lineRule="exact"/>
              <w:jc w:val="center"/>
              <w:rPr>
                <w:rFonts w:ascii="宋体" w:hAnsi="宋体" w:eastAsia="宋体" w:cs="宋体"/>
                <w:kern w:val="0"/>
                <w:szCs w:val="21"/>
              </w:rPr>
            </w:pP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年    月    日</w:t>
            </w:r>
          </w:p>
        </w:tc>
      </w:tr>
    </w:tbl>
    <w:p>
      <w:pPr>
        <w:widowControl/>
        <w:snapToGrid w:val="0"/>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人员类别代码：1.博山区户籍居民。2.尚未登记博山区户口的新生儿及本区社会福利机构抚养的儿童。3.在博山区救助管理机构死亡且经相关部门确认无法查明身份的受助人员。4.驻博山区大中专院校全日制学生。5.区公安部门认定的未知名尸体。</w:t>
      </w:r>
    </w:p>
    <w:p>
      <w:pPr>
        <w:rPr>
          <w:rFonts w:hint="eastAsia" w:ascii="宋体" w:hAnsi="宋体" w:eastAsia="宋体" w:cs="宋体"/>
          <w:kern w:val="0"/>
          <w:szCs w:val="21"/>
        </w:rPr>
      </w:pPr>
    </w:p>
    <w:p>
      <w:pPr>
        <w:pStyle w:val="2"/>
        <w:rPr>
          <w:rFonts w:hint="eastAsia" w:ascii="宋体" w:hAnsi="宋体" w:eastAsia="宋体" w:cs="宋体"/>
          <w:kern w:val="0"/>
          <w:szCs w:val="21"/>
        </w:rPr>
      </w:pPr>
    </w:p>
    <w:p>
      <w:pPr>
        <w:rPr>
          <w:rFonts w:hint="eastAsia" w:ascii="宋体" w:hAnsi="宋体" w:eastAsia="宋体" w:cs="宋体"/>
          <w:kern w:val="0"/>
          <w:szCs w:val="21"/>
        </w:rPr>
        <w:sectPr>
          <w:footerReference r:id="rId5" w:type="default"/>
          <w:footerReference r:id="rId6" w:type="even"/>
          <w:pgSz w:w="16838" w:h="11906" w:orient="landscape"/>
          <w:pgMar w:top="1803" w:right="1440" w:bottom="1803" w:left="1440" w:header="851" w:footer="992" w:gutter="0"/>
          <w:pgNumType w:fmt="decimal"/>
          <w:cols w:space="0" w:num="1"/>
          <w:docGrid w:type="lines" w:linePitch="319" w:charSpace="0"/>
        </w:sect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pPr>
    </w:p>
    <w:p>
      <w:pPr>
        <w:keepNext w:val="0"/>
        <w:keepLines w:val="0"/>
        <w:pageBreakBefore w:val="0"/>
        <w:widowControl w:val="0"/>
        <w:kinsoku/>
        <w:wordWrap/>
        <w:overflowPunct/>
        <w:topLinePunct w:val="0"/>
        <w:autoSpaceDE/>
        <w:autoSpaceDN/>
        <w:bidi w:val="0"/>
        <w:adjustRightInd/>
        <w:snapToGrid/>
        <w:spacing w:line="550" w:lineRule="exact"/>
        <w:ind w:firstLine="280" w:firstLineChars="1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397510</wp:posOffset>
                </wp:positionV>
                <wp:extent cx="5616575"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1.3pt;height:0.1pt;width:442.25pt;mso-position-horizontal:center;z-index:251658240;mso-width-relative:page;mso-height-relative:page;" filled="f" stroked="t" coordsize="21600,21600" o:gfxdata="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LWAXUAAAABgEAAA8AAAAAAAAAAQAgAAAAIgAAAGRycy9kb3ducmV2&#10;LnhtbFBLAQIUABQAAAAIAIdO4kAZgKueAAIAAPE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44450</wp:posOffset>
                </wp:positionV>
                <wp:extent cx="5616575" cy="127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5pt;height:0.1pt;width:442.25pt;mso-position-horizontal:center;z-index:251659264;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P309MAAAAEAQAADwAAAAAAAAABACAAAAAiAAAAZHJzL2Rvd25yZXYu&#10;eG1sUEsBAhQAFAAAAAgAh07iQDpd7moAAgAA8QMAAA4AAAAAAAAAAQAgAAAAIg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博山区人民政府办公室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印发</w:t>
      </w:r>
    </w:p>
    <w:sectPr>
      <w:footerReference r:id="rId7" w:type="default"/>
      <w:footerReference r:id="rId8"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566078319"/>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sz w:val="28"/>
        <w:szCs w:val="28"/>
      </w:rPr>
      <w:t xml:space="preserve">— </w:t>
    </w:r>
    <w:sdt>
      <w:sdtPr>
        <w:rPr>
          <w:rFonts w:asciiTheme="minorEastAsia" w:hAnsiTheme="minorEastAsia"/>
          <w:sz w:val="28"/>
          <w:szCs w:val="28"/>
        </w:rPr>
        <w:id w:val="1689103140"/>
        <w:docPartObj>
          <w:docPartGallery w:val="autotext"/>
        </w:docPartObj>
      </w:sdtPr>
      <w:sdtEndPr>
        <w:rPr>
          <w:rFonts w:asciiTheme="minorHAnsi" w:hAnsiTheme="minorHAnsi"/>
          <w:sz w:val="18"/>
          <w:szCs w:val="24"/>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566078319"/>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lang w:val="en-US" w:eastAsia="zh-CN"/>
                                </w:rPr>
                                <w:t xml:space="preserve">9 </w:t>
                              </w:r>
                              <w:r>
                                <w:rPr>
                                  <w:rFonts w:hint="eastAsia" w:asciiTheme="majorEastAsia" w:hAnsiTheme="majorEastAsia" w:eastAsiaTheme="maj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566078319"/>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lang w:val="en-US" w:eastAsia="zh-CN"/>
                          </w:rPr>
                          <w:t xml:space="preserve">9 </w:t>
                        </w:r>
                        <w:r>
                          <w:rPr>
                            <w:rFonts w:hint="eastAsia" w:asciiTheme="majorEastAsia" w:hAnsiTheme="majorEastAsia" w:eastAsiaTheme="majorEastAsia"/>
                            <w:sz w:val="28"/>
                            <w:szCs w:val="28"/>
                          </w:rPr>
                          <w:t>—</w:t>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sz w:val="28"/>
                              <w:szCs w:val="28"/>
                            </w:rPr>
                            <w:t xml:space="preserve">— </w:t>
                          </w:r>
                          <w:sdt>
                            <w:sdtPr>
                              <w:rPr>
                                <w:rFonts w:asciiTheme="minorEastAsia" w:hAnsiTheme="minorEastAsia"/>
                                <w:sz w:val="28"/>
                                <w:szCs w:val="28"/>
                              </w:rPr>
                              <w:id w:val="1689103140"/>
                              <w:docPartObj>
                                <w:docPartGallery w:val="autotext"/>
                              </w:docPartObj>
                            </w:sdtPr>
                            <w:sdtEndPr>
                              <w:rPr>
                                <w:rFonts w:asciiTheme="minorHAnsi" w:hAnsiTheme="minorHAnsi"/>
                                <w:sz w:val="18"/>
                                <w:szCs w:val="24"/>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sz w:val="28"/>
                        <w:szCs w:val="28"/>
                      </w:rPr>
                      <w:t xml:space="preserve">— </w:t>
                    </w:r>
                    <w:sdt>
                      <w:sdtPr>
                        <w:rPr>
                          <w:rFonts w:asciiTheme="minorEastAsia" w:hAnsiTheme="minorEastAsia"/>
                          <w:sz w:val="28"/>
                          <w:szCs w:val="28"/>
                        </w:rPr>
                        <w:id w:val="1689103140"/>
                        <w:docPartObj>
                          <w:docPartGallery w:val="autotext"/>
                        </w:docPartObj>
                      </w:sdtPr>
                      <w:sdtEndPr>
                        <w:rPr>
                          <w:rFonts w:asciiTheme="minorHAnsi" w:hAnsiTheme="minorHAnsi"/>
                          <w:sz w:val="18"/>
                          <w:szCs w:val="24"/>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ajorEastAsia" w:hAnsiTheme="majorEastAsia" w:eastAsiaTheme="maj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F65BD"/>
    <w:rsid w:val="00002A66"/>
    <w:rsid w:val="00004E03"/>
    <w:rsid w:val="00012EE6"/>
    <w:rsid w:val="00032A28"/>
    <w:rsid w:val="00044901"/>
    <w:rsid w:val="000B259A"/>
    <w:rsid w:val="000D39B1"/>
    <w:rsid w:val="001223CE"/>
    <w:rsid w:val="00144639"/>
    <w:rsid w:val="001446E0"/>
    <w:rsid w:val="0019751A"/>
    <w:rsid w:val="00206167"/>
    <w:rsid w:val="00235CFC"/>
    <w:rsid w:val="00275BD7"/>
    <w:rsid w:val="002E7B09"/>
    <w:rsid w:val="00302286"/>
    <w:rsid w:val="003022B0"/>
    <w:rsid w:val="00397DA0"/>
    <w:rsid w:val="003E3197"/>
    <w:rsid w:val="00425290"/>
    <w:rsid w:val="00426159"/>
    <w:rsid w:val="004745BF"/>
    <w:rsid w:val="004919F4"/>
    <w:rsid w:val="00527525"/>
    <w:rsid w:val="005558C9"/>
    <w:rsid w:val="00564CB7"/>
    <w:rsid w:val="005B578C"/>
    <w:rsid w:val="005B7784"/>
    <w:rsid w:val="005D227D"/>
    <w:rsid w:val="005E1151"/>
    <w:rsid w:val="005E7785"/>
    <w:rsid w:val="00647CB1"/>
    <w:rsid w:val="00684E03"/>
    <w:rsid w:val="00695F1E"/>
    <w:rsid w:val="006A60C3"/>
    <w:rsid w:val="006C05E6"/>
    <w:rsid w:val="006E44D9"/>
    <w:rsid w:val="00700EEB"/>
    <w:rsid w:val="00702126"/>
    <w:rsid w:val="007567E4"/>
    <w:rsid w:val="00756CD5"/>
    <w:rsid w:val="007863ED"/>
    <w:rsid w:val="007952F0"/>
    <w:rsid w:val="007E3D9F"/>
    <w:rsid w:val="008048A2"/>
    <w:rsid w:val="008A63E2"/>
    <w:rsid w:val="008B1A3C"/>
    <w:rsid w:val="008F7054"/>
    <w:rsid w:val="0090087B"/>
    <w:rsid w:val="00923A09"/>
    <w:rsid w:val="00926A23"/>
    <w:rsid w:val="0093004C"/>
    <w:rsid w:val="009745B7"/>
    <w:rsid w:val="009745CD"/>
    <w:rsid w:val="00A139FD"/>
    <w:rsid w:val="00A20438"/>
    <w:rsid w:val="00A32C75"/>
    <w:rsid w:val="00A718C2"/>
    <w:rsid w:val="00A93FEE"/>
    <w:rsid w:val="00AA2F68"/>
    <w:rsid w:val="00AC61F4"/>
    <w:rsid w:val="00AC6538"/>
    <w:rsid w:val="00AE05F6"/>
    <w:rsid w:val="00AE2DFA"/>
    <w:rsid w:val="00B12820"/>
    <w:rsid w:val="00B227EB"/>
    <w:rsid w:val="00B56134"/>
    <w:rsid w:val="00B702CF"/>
    <w:rsid w:val="00BF3FDE"/>
    <w:rsid w:val="00C444C9"/>
    <w:rsid w:val="00C639F3"/>
    <w:rsid w:val="00C76737"/>
    <w:rsid w:val="00C96E8B"/>
    <w:rsid w:val="00CC0C8D"/>
    <w:rsid w:val="00CF40A2"/>
    <w:rsid w:val="00CF6F2A"/>
    <w:rsid w:val="00D1472A"/>
    <w:rsid w:val="00D339A5"/>
    <w:rsid w:val="00D76558"/>
    <w:rsid w:val="00DB1EDF"/>
    <w:rsid w:val="00E1455C"/>
    <w:rsid w:val="00E31288"/>
    <w:rsid w:val="00E405E8"/>
    <w:rsid w:val="00E52F92"/>
    <w:rsid w:val="00ED1B46"/>
    <w:rsid w:val="00F07604"/>
    <w:rsid w:val="00F376D9"/>
    <w:rsid w:val="00F37FF4"/>
    <w:rsid w:val="00F5620B"/>
    <w:rsid w:val="00FC2660"/>
    <w:rsid w:val="00FF2B02"/>
    <w:rsid w:val="0127455D"/>
    <w:rsid w:val="049E5313"/>
    <w:rsid w:val="04B453CA"/>
    <w:rsid w:val="10070F31"/>
    <w:rsid w:val="152F42A7"/>
    <w:rsid w:val="16A65094"/>
    <w:rsid w:val="18947EC8"/>
    <w:rsid w:val="1E8C18BA"/>
    <w:rsid w:val="1E92067B"/>
    <w:rsid w:val="1EA52DF9"/>
    <w:rsid w:val="1F5E56B5"/>
    <w:rsid w:val="21A90DF4"/>
    <w:rsid w:val="228C04D2"/>
    <w:rsid w:val="22EF7DB2"/>
    <w:rsid w:val="235A514F"/>
    <w:rsid w:val="25721586"/>
    <w:rsid w:val="263C2081"/>
    <w:rsid w:val="28C83133"/>
    <w:rsid w:val="2D87485A"/>
    <w:rsid w:val="30BD490C"/>
    <w:rsid w:val="348A536A"/>
    <w:rsid w:val="34AE4AF1"/>
    <w:rsid w:val="354014F9"/>
    <w:rsid w:val="3DE6608B"/>
    <w:rsid w:val="3F2C45C7"/>
    <w:rsid w:val="42825A3B"/>
    <w:rsid w:val="473442CA"/>
    <w:rsid w:val="49244D6E"/>
    <w:rsid w:val="49D314CB"/>
    <w:rsid w:val="4B530C98"/>
    <w:rsid w:val="4CB213A8"/>
    <w:rsid w:val="4D763DBE"/>
    <w:rsid w:val="4FD06820"/>
    <w:rsid w:val="50E66480"/>
    <w:rsid w:val="51086014"/>
    <w:rsid w:val="51341011"/>
    <w:rsid w:val="515C1972"/>
    <w:rsid w:val="520773CD"/>
    <w:rsid w:val="547B3A5B"/>
    <w:rsid w:val="549817FC"/>
    <w:rsid w:val="54C639E5"/>
    <w:rsid w:val="54D92F1D"/>
    <w:rsid w:val="602F65BD"/>
    <w:rsid w:val="60A31632"/>
    <w:rsid w:val="62881F79"/>
    <w:rsid w:val="65476842"/>
    <w:rsid w:val="66321700"/>
    <w:rsid w:val="6B1838A0"/>
    <w:rsid w:val="6B7B11E7"/>
    <w:rsid w:val="6D2E4665"/>
    <w:rsid w:val="6E5266CF"/>
    <w:rsid w:val="718B15F5"/>
    <w:rsid w:val="73265866"/>
    <w:rsid w:val="736B0B80"/>
    <w:rsid w:val="79DA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800080"/>
      <w:u w:val="none"/>
    </w:rPr>
  </w:style>
  <w:style w:type="character" w:styleId="12">
    <w:name w:val="Hyperlink"/>
    <w:basedOn w:val="8"/>
    <w:qFormat/>
    <w:uiPriority w:val="0"/>
    <w:rPr>
      <w:color w:val="0000FF"/>
      <w:u w:val="single"/>
    </w:rPr>
  </w:style>
  <w:style w:type="character" w:customStyle="1" w:styleId="13">
    <w:name w:val="页脚 Char"/>
    <w:basedOn w:val="8"/>
    <w:link w:val="4"/>
    <w:qFormat/>
    <w:uiPriority w:val="99"/>
    <w:rPr>
      <w:rFonts w:asciiTheme="minorHAnsi" w:hAnsiTheme="minorHAnsi" w:eastAsiaTheme="minorEastAsia" w:cstheme="minorBidi"/>
      <w:kern w:val="2"/>
      <w:sz w:val="18"/>
      <w:szCs w:val="24"/>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3066</Words>
  <Characters>3138</Characters>
  <Lines>26</Lines>
  <Paragraphs>7</Paragraphs>
  <TotalTime>1591</TotalTime>
  <ScaleCrop>false</ScaleCrop>
  <LinksUpToDate>false</LinksUpToDate>
  <CharactersWithSpaces>3534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2021-01-22T10:00:00Z</dcterms:created>
  <dc:creator>onlyyou</dc:creator>
  <cp:lastModifiedBy>admin</cp:lastModifiedBy>
  <cp:lastPrinted>2021-03-01T07:07:00Z</cp:lastPrinted>
  <dcterms:modified xsi:type="dcterms:W3CDTF">2021-03-02T03:30:56Z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