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关于《博山区国民经济和社会发展第十四个五年规划和2035年远景目标纲要》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“十三五”</w:t>
      </w:r>
      <w:r>
        <w:rPr>
          <w:rFonts w:ascii="Times New Roman" w:hAnsi="Times New Roman" w:eastAsia="仿宋_GB2312"/>
          <w:sz w:val="32"/>
          <w:szCs w:val="32"/>
        </w:rPr>
        <w:t>以来，全区上下坚持以习近平新时代中国特色社会主义思想为指导，紧紧围绕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五位一体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总体布局，坚持稳中求进工作总基调，聚力建设工业强区、文旅之都、生态城市，基本完成</w:t>
      </w:r>
      <w:r>
        <w:rPr>
          <w:rFonts w:hint="eastAsia" w:ascii="Times New Roman" w:hAnsi="Times New Roman" w:eastAsia="仿宋_GB2312"/>
          <w:sz w:val="32"/>
          <w:szCs w:val="32"/>
        </w:rPr>
        <w:t>“十三五”</w:t>
      </w:r>
      <w:r>
        <w:rPr>
          <w:rFonts w:ascii="Times New Roman" w:hAnsi="Times New Roman" w:eastAsia="仿宋_GB2312"/>
          <w:sz w:val="32"/>
          <w:szCs w:val="32"/>
        </w:rPr>
        <w:t>规划确定的目标任务，</w:t>
      </w:r>
      <w:r>
        <w:rPr>
          <w:rFonts w:hint="eastAsia" w:ascii="Times New Roman" w:hAnsi="Times New Roman" w:eastAsia="仿宋_GB2312"/>
          <w:sz w:val="32"/>
          <w:szCs w:val="32"/>
        </w:rPr>
        <w:t>胜利实现全面建成小康社会目标，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博山区开启社会主义现代化建设事业新征程</w:t>
      </w:r>
      <w:r>
        <w:rPr>
          <w:rFonts w:ascii="Times New Roman" w:hAnsi="Times New Roman" w:eastAsia="仿宋_GB2312"/>
          <w:sz w:val="32"/>
          <w:szCs w:val="32"/>
        </w:rPr>
        <w:t>奠定了坚实基础。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textAlignment w:val="auto"/>
      </w:pPr>
      <w:r>
        <w:rPr>
          <w:rFonts w:hint="eastAsia"/>
        </w:rPr>
        <w:t>区委、区政府高度重视《</w:t>
      </w:r>
      <w:r>
        <w:rPr>
          <w:rFonts w:hint="eastAsia"/>
          <w:lang w:val="en-US" w:eastAsia="zh-CN"/>
        </w:rPr>
        <w:t>博山</w:t>
      </w:r>
      <w:r>
        <w:rPr>
          <w:rFonts w:hint="eastAsia"/>
        </w:rPr>
        <w:t>区国民经济和社会发展第十四个五年规划和2035年远景目标纲要》（以下简称《纲要》）起草工作，专门成立了领导小组，区委、区政府主要领导同志亲自谋划、亲自推动，多次召开区委常委会、区政府常务会议，认真学习贯彻习近平总书记关于“十四五”规划编制的重要讲话和重要指示精神，就规划编制中的一些重大问题提出明确要求。针对未来发展涉及的重点领域、重要工作，谋划提出了一批“十四五”需安排的重大事项、重大项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启动编制重点专项规划，构建统一规划体系。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》编制主要遵循以下思路：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人民为中心。以提高城乡居民生活质量为落脚点，坚持成果人民共享，切实保障人民权益、增进人民福祉，拓宽城乡居民就业渠道，完善收入分配调节机制，提高民生支出比重，推进基本公共服务均等化，不断实现人民对美好生活的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新发展理念。把新发展理念贯穿发展全过程和各领域，构建新发展格局，切实转变发展方式，推动质量变革、效率变革、动力变革，实现更高质量、更有效率、更加公平、更可持续、更为安全的发展。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三是《纲要》聚焦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化改革开放。坚定不移推进改革，坚定不移扩大开放，加强治理体系和治理能力现代化建设，破除制约高质量发展、高品质生活的体制机制障碍，强化有利于提高资源配置效率、有利于调动全社会积极性的重大改革开放举措，持续增强发展动力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四是《纲要》聚焦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系统观念。加强对各领域发展的前瞻性思考、全局性谋划、战略性布局、整体性推进，加强政策协调配合，更好发挥各方面积极性，着力固根基、扬优势、补短板、强弱项，注重防范化解重大风险挑战，实现发展质量、结构、规模、速度、效益、安全相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个章节，约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《第一章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》总结了十三五时期全区经济社会发展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，深入分析了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新发展阶段面临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新机遇新挑战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，对2035</w:t>
      </w:r>
      <w:r>
        <w:rPr>
          <w:rFonts w:hint="eastAsia" w:ascii="Times New Roman" w:hAnsi="Times New Roman" w:eastAsia="仿宋_GB2312"/>
          <w:sz w:val="32"/>
          <w:szCs w:val="32"/>
        </w:rPr>
        <w:t>年全区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实现跨越发展，在社会主义现代化建设新征程中走在前列进行了美好展望。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》提出了十四五时期全区经济社会发展的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指导思想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基本原则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奋斗目标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，突出以新发展理念引领高质量发展，聚力打造新经济策源地和活跃区、科创智造产业高地、文旅康养休闲胜地和山水园林生态城市。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ind w:firstLine="720"/>
        <w:textAlignment w:val="auto"/>
        <w:rPr>
          <w:rFonts w:hint="eastAsia" w:ascii="Times New Roman" w:hAnsi="Times New Roman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《第三章》至《第十二章》主要围绕完成发展目标，提出我区“十四五”时期经济社会发展的主要任务，</w:t>
      </w:r>
      <w:r>
        <w:rPr>
          <w:rFonts w:ascii="Times New Roman" w:hAnsi="Times New Roman" w:eastAsia="仿宋_GB2312" w:cs="Times New Roman"/>
        </w:rPr>
        <w:t>以推动</w:t>
      </w:r>
      <w:r>
        <w:rPr>
          <w:rFonts w:hint="eastAsia" w:ascii="Times New Roman" w:hAnsi="Times New Roman" w:eastAsia="仿宋_GB2312" w:cs="Times New Roman"/>
        </w:rPr>
        <w:t>高质量发展</w:t>
      </w:r>
      <w:r>
        <w:rPr>
          <w:rFonts w:ascii="Times New Roman" w:hAnsi="Times New Roman" w:eastAsia="仿宋_GB2312" w:cs="Times New Roman"/>
        </w:rPr>
        <w:t>为主题，以深化供给侧结构性改革为主线，以改革创新为根本动力，以满足人民日益增长的美好生活需要为根本目的，持续推进</w:t>
      </w:r>
      <w:r>
        <w:rPr>
          <w:rFonts w:hint="eastAsia" w:ascii="Times New Roman" w:hAnsi="Times New Roman" w:eastAsia="仿宋_GB2312" w:cs="Times New Roman"/>
        </w:rPr>
        <w:t>“</w:t>
      </w:r>
      <w:r>
        <w:rPr>
          <w:rFonts w:ascii="Times New Roman" w:hAnsi="Times New Roman" w:eastAsia="仿宋_GB2312" w:cs="Times New Roman"/>
        </w:rPr>
        <w:t>六大赋能</w:t>
      </w:r>
      <w:r>
        <w:rPr>
          <w:rFonts w:hint="eastAsia" w:ascii="Times New Roman" w:hAnsi="Times New Roman" w:eastAsia="仿宋_GB2312" w:cs="Times New Roman"/>
        </w:rPr>
        <w:t>”</w:t>
      </w:r>
      <w:r>
        <w:rPr>
          <w:rFonts w:ascii="Times New Roman" w:hAnsi="Times New Roman" w:eastAsia="仿宋_GB2312" w:cs="Times New Roman"/>
        </w:rPr>
        <w:t>行动，</w:t>
      </w:r>
      <w:r>
        <w:rPr>
          <w:rFonts w:hint="eastAsia" w:ascii="Times New Roman" w:hAnsi="Times New Roman" w:eastAsia="仿宋_GB2312" w:cs="Times New Roman"/>
        </w:rPr>
        <w:t>以数字化引领产业高端化、集聚化发展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/>
        </w:rPr>
        <w:t>努力在构建新发展格局中展现新作为，奋力谱写博山革故鼎新、涅</w:t>
      </w:r>
      <w:r>
        <w:rPr>
          <w:rFonts w:hint="eastAsia" w:ascii="仿宋" w:hAnsi="仿宋" w:cs="仿宋"/>
        </w:rPr>
        <w:t>槃</w:t>
      </w:r>
      <w:r>
        <w:rPr>
          <w:rFonts w:hint="eastAsia" w:ascii="Times New Roman" w:hAnsi="Times New Roman" w:eastAsia="仿宋_GB2312"/>
        </w:rPr>
        <w:t>崛起发展新篇章。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《第十三章》对《纲要》实施管理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协调、考核评估、宣传监督等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保障措施。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解读单位：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区发展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改革局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政策咨询电话：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4180046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1840"/>
    <w:rsid w:val="1D312548"/>
    <w:rsid w:val="27F02351"/>
    <w:rsid w:val="32054C04"/>
    <w:rsid w:val="35951EA0"/>
    <w:rsid w:val="3ADA5F8D"/>
    <w:rsid w:val="46574723"/>
    <w:rsid w:val="587C1840"/>
    <w:rsid w:val="5DD306E1"/>
    <w:rsid w:val="6B115C90"/>
    <w:rsid w:val="798B6A1D"/>
    <w:rsid w:val="7CD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 w:line="240" w:lineRule="auto"/>
      <w:ind w:left="0" w:leftChars="0" w:firstLine="40" w:firstLineChars="225"/>
    </w:pPr>
    <w:rPr>
      <w:rFonts w:ascii="仿宋_GB2312" w:hAnsi="仿宋_GB2312" w:eastAsia="仿宋" w:cs="仿宋_GB2312"/>
      <w:kern w:val="2"/>
      <w:sz w:val="32"/>
      <w:szCs w:val="32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  <w:rPr>
      <w:rFonts w:ascii="Calibri" w:hAnsi="Calibri" w:eastAsia="宋体" w:cs="Times New Roman"/>
      <w:kern w:val="2"/>
      <w:sz w:val="21"/>
      <w:szCs w:val="22"/>
    </w:rPr>
  </w:style>
  <w:style w:type="paragraph" w:styleId="4">
    <w:name w:val="toc 1"/>
    <w:basedOn w:val="1"/>
    <w:next w:val="1"/>
    <w:qFormat/>
    <w:uiPriority w:val="0"/>
    <w:rPr>
      <w:rFonts w:eastAsia="仿宋"/>
      <w:b/>
      <w:sz w:val="2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eastAsia="仿宋"/>
      <w:sz w:val="2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1345</Characters>
  <Lines>0</Lines>
  <Paragraphs>0</Paragraphs>
  <TotalTime>0</TotalTime>
  <ScaleCrop>false</ScaleCrop>
  <LinksUpToDate>false</LinksUpToDate>
  <CharactersWithSpaces>1351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2021-10-19T04:48:00Z</dcterms:created>
  <dc:creator>Admin</dc:creator>
  <cp:lastModifiedBy>Administrator</cp:lastModifiedBy>
  <dcterms:modified xsi:type="dcterms:W3CDTF">2021-12-09T01:18:45Z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D4D48F7E37D7494BBF0E99A576C1050C</vt:lpwstr>
  </property>
</Properties>
</file>