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jc w:val="center"/>
        <w:textAlignment w:val="auto"/>
        <w:rPr>
          <w:rFonts w:hint="eastAsia" w:ascii="方正小标宋简体" w:hAnsi="宋体" w:eastAsia="方正小标宋简体"/>
          <w:b/>
          <w:snapToGrid w:val="0"/>
          <w:spacing w:val="0"/>
          <w:kern w:val="0"/>
          <w:sz w:val="44"/>
          <w:szCs w:val="44"/>
        </w:rPr>
      </w:pPr>
      <w:bookmarkStart w:id="0" w:name="_GoBack"/>
      <w:r>
        <w:rPr>
          <w:rFonts w:hint="eastAsia" w:eastAsia="方正小标宋简体" w:cs="Times New Roman"/>
          <w:snapToGrid w:val="0"/>
          <w:color w:val="000000"/>
          <w:spacing w:val="0"/>
          <w:kern w:val="0"/>
          <w:sz w:val="44"/>
          <w:szCs w:val="44"/>
          <w:lang w:eastAsia="zh-CN"/>
        </w:rPr>
        <w:t>《</w:t>
      </w:r>
      <w:r>
        <w:rPr>
          <w:rFonts w:hint="eastAsia" w:ascii="Times New Roman" w:hAnsi="Times New Roman" w:eastAsia="方正小标宋简体" w:cs="Times New Roman"/>
          <w:snapToGrid w:val="0"/>
          <w:color w:val="000000"/>
          <w:spacing w:val="0"/>
          <w:kern w:val="0"/>
          <w:sz w:val="44"/>
          <w:szCs w:val="44"/>
        </w:rPr>
        <w:t>政府工作报告》词语解释</w:t>
      </w:r>
    </w:p>
    <w:bookmarkEnd w:id="0"/>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Times New Roman" w:hAnsi="Times New Roman" w:eastAsia="楷体_GB2312"/>
          <w:b/>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3" w:firstLineChars="200"/>
        <w:jc w:val="both"/>
        <w:textAlignment w:val="auto"/>
        <w:outlineLvl w:val="9"/>
        <w:rPr>
          <w:rFonts w:hint="eastAsia" w:ascii="Times New Roman" w:hAnsi="Times New Roman" w:eastAsia="仿宋_GB2312" w:cs="仿宋_GB2312"/>
          <w:color w:val="000000"/>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bidi="ar-SA"/>
        </w:rPr>
        <w:t>六大赋能行动：</w:t>
      </w:r>
      <w:r>
        <w:rPr>
          <w:rFonts w:hint="eastAsia" w:ascii="Times New Roman" w:hAnsi="Times New Roman" w:eastAsia="仿宋_GB2312" w:cs="仿宋_GB2312"/>
          <w:color w:val="000000"/>
          <w:spacing w:val="0"/>
          <w:kern w:val="0"/>
          <w:sz w:val="32"/>
          <w:szCs w:val="32"/>
          <w:lang w:val="en-US" w:eastAsia="zh-CN" w:bidi="ar-SA"/>
        </w:rPr>
        <w:t>市委市政府为全面贯彻党的十九届四中全会精神，在中共淄博市第十二届委员会第九次全体会议上，围绕产业转型升级、推动高质量发展，提出六大赋能行动：产业赋能、科教创新赋能、金融赋能、改革开放赋能、文化赋能、生态赋能。</w:t>
      </w:r>
    </w:p>
    <w:p>
      <w:pPr>
        <w:pStyle w:val="2"/>
        <w:keepNext w:val="0"/>
        <w:keepLines w:val="0"/>
        <w:pageBreakBefore w:val="0"/>
        <w:widowControl w:val="0"/>
        <w:kinsoku/>
        <w:wordWrap/>
        <w:overflowPunct/>
        <w:topLinePunct w:val="0"/>
        <w:autoSpaceDE/>
        <w:autoSpaceDN/>
        <w:bidi w:val="0"/>
        <w:adjustRightInd w:val="0"/>
        <w:snapToGrid w:val="0"/>
        <w:spacing w:after="0" w:afterLines="0" w:line="576" w:lineRule="exact"/>
        <w:ind w:left="0" w:leftChars="0" w:firstLine="643" w:firstLineChars="200"/>
        <w:jc w:val="both"/>
        <w:textAlignment w:val="auto"/>
        <w:rPr>
          <w:rFonts w:hint="eastAsia" w:ascii="Times New Roman" w:hAnsi="Times New Roman" w:eastAsia="仿宋_GB2312" w:cs="仿宋_GB2312"/>
          <w:color w:val="000000"/>
          <w:spacing w:val="0"/>
          <w:kern w:val="0"/>
          <w:sz w:val="32"/>
          <w:szCs w:val="32"/>
          <w:lang w:val="en-US" w:eastAsia="zh-CN" w:bidi="ar-SA"/>
        </w:rPr>
      </w:pPr>
      <w:r>
        <w:rPr>
          <w:rFonts w:hint="eastAsia" w:ascii="楷体_GB2312" w:hAnsi="楷体_GB2312" w:eastAsia="楷体_GB2312" w:cs="楷体_GB2312"/>
          <w:b/>
          <w:bCs/>
          <w:color w:val="000000"/>
          <w:spacing w:val="0"/>
          <w:kern w:val="0"/>
          <w:sz w:val="32"/>
          <w:szCs w:val="32"/>
          <w:lang w:val="en-US" w:eastAsia="zh-CN" w:bidi="ar-SA"/>
        </w:rPr>
        <w:t>十二大攻坚行动：</w:t>
      </w:r>
      <w:r>
        <w:rPr>
          <w:rFonts w:hint="eastAsia" w:ascii="Times New Roman" w:hAnsi="Times New Roman" w:eastAsia="仿宋_GB2312" w:cs="仿宋_GB2312"/>
          <w:color w:val="000000"/>
          <w:spacing w:val="0"/>
          <w:kern w:val="0"/>
          <w:sz w:val="32"/>
          <w:szCs w:val="32"/>
          <w:lang w:val="en-US" w:eastAsia="zh-CN" w:bidi="ar-SA"/>
        </w:rPr>
        <w:t>市委市政府今年把重大项目建设、产业攀登、双招双引和对外开放、科教创新、打造区域性科创产业金融高地、文旅融合发展、精准扶贫和乡村振兴、城市品质活力提升、生态环境质量提升、社会治理、重点改革、干部作风建设列为高质量发展“十二大攻坚行动”。</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Times New Roman" w:hAnsi="Times New Roman" w:eastAsia="仿宋_GB2312" w:cs="仿宋_GB2312"/>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bidi="ar-SA"/>
        </w:rPr>
        <w:t>十五大重点改革攻坚事项：</w:t>
      </w:r>
      <w:r>
        <w:rPr>
          <w:rFonts w:hint="eastAsia" w:ascii="Times New Roman" w:hAnsi="Times New Roman" w:eastAsia="仿宋_GB2312" w:cs="仿宋_GB2312"/>
          <w:spacing w:val="0"/>
          <w:kern w:val="0"/>
          <w:sz w:val="32"/>
          <w:szCs w:val="32"/>
          <w:lang w:val="en-US" w:eastAsia="zh-CN"/>
        </w:rPr>
        <w:t>在全市重点改革攻坚动员会上，印发的《中共淄博市委淄博市人民政府关于全市重点改革攻坚实施意见》部署了十五大重点改革攻坚事项：实施“一号改革工程”对标学习深圳优化营商环境改革攻坚、调整优化部分功能区管理范围和机构设置改革攻坚、以市场化理念变革产业组织方式改革攻坚、老工业城市产业转型升级示范区改革攻坚、打造区域性科创产业金融高地改革攻坚、打造对外开放高地改革攻坚、“六个一”平台招引机制改革攻坚、开发区体制机制改革攻坚、持续深化国有企业改革攻坚、城乡融合发展试验区改革攻坚、“全员环保”体制机制改革攻坚、市域社会治理现代化改革攻坚、公共卫生服务体系改革攻坚、健全完善党管干部选贤任能制度体系改革攻坚、构建政治生态评价体系改革攻坚。</w:t>
      </w:r>
    </w:p>
    <w:p>
      <w:pPr>
        <w:pStyle w:val="2"/>
        <w:keepNext w:val="0"/>
        <w:keepLines w:val="0"/>
        <w:pageBreakBefore w:val="0"/>
        <w:widowControl w:val="0"/>
        <w:kinsoku/>
        <w:wordWrap/>
        <w:overflowPunct/>
        <w:topLinePunct w:val="0"/>
        <w:autoSpaceDE/>
        <w:autoSpaceDN/>
        <w:bidi w:val="0"/>
        <w:adjustRightInd w:val="0"/>
        <w:snapToGrid w:val="0"/>
        <w:spacing w:after="0" w:afterLines="0" w:line="576" w:lineRule="exact"/>
        <w:ind w:firstLine="643" w:firstLineChars="200"/>
        <w:jc w:val="both"/>
        <w:textAlignment w:val="auto"/>
        <w:rPr>
          <w:rFonts w:hint="eastAsia" w:ascii="Times New Roman" w:hAnsi="Times New Roman" w:eastAsia="仿宋_GB2312" w:cs="仿宋_GB2312"/>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bidi="ar-SA"/>
        </w:rPr>
        <w:t>一个目标、三个聚力：</w:t>
      </w:r>
      <w:r>
        <w:rPr>
          <w:rFonts w:hint="eastAsia" w:ascii="Times New Roman" w:hAnsi="Times New Roman" w:eastAsia="仿宋_GB2312" w:cs="仿宋_GB2312"/>
          <w:color w:val="000000"/>
          <w:spacing w:val="0"/>
          <w:kern w:val="0"/>
          <w:sz w:val="32"/>
          <w:szCs w:val="32"/>
        </w:rPr>
        <w:t>以走到全市前列为目标定位，聚力建设工业强区、文旅之都、生态城市</w:t>
      </w:r>
      <w:r>
        <w:rPr>
          <w:rFonts w:hint="eastAsia" w:ascii="Times New Roman" w:hAnsi="Times New Roman" w:eastAsia="仿宋_GB2312" w:cs="仿宋_GB2312"/>
          <w:color w:val="000000"/>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Times New Roman" w:hAnsi="Times New Roman" w:eastAsia="仿宋_GB2312" w:cs="仿宋_GB2312"/>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bidi="ar-SA"/>
        </w:rPr>
        <w:t>七个方面、十六项重点工作：</w:t>
      </w:r>
      <w:r>
        <w:rPr>
          <w:rFonts w:hint="eastAsia" w:ascii="Times New Roman" w:hAnsi="Times New Roman" w:eastAsia="仿宋_GB2312" w:cs="仿宋_GB2312"/>
          <w:spacing w:val="0"/>
          <w:kern w:val="0"/>
          <w:sz w:val="32"/>
          <w:szCs w:val="32"/>
          <w:lang w:val="en-US" w:eastAsia="zh-CN"/>
        </w:rPr>
        <w:t>七个方面是，用心用力抓好党的建设、用心用力抓好动能转换、用心用力抓好文旅融合、用心用力抓好城市建设、用心用力抓好乡村振兴、用心用力抓好财税金融、用心用力抓好民生事业。十六项重点工作是，聚焦聚力干部作风建设、聚焦聚力基层党组织建设、聚焦聚力重大项目建设、聚焦聚力博山工业“产业攀登”、聚焦聚力“双招双引”六大新攻势、聚焦聚力科教创新、聚焦聚力园区经济高质量发展、聚焦聚力文旅融合发展、聚焦聚力城市品质活力提升、聚焦聚力生态环境质量提升、聚焦聚力产业新城建设、聚焦聚力精准扶贫和乡村振兴、聚焦聚力打造科创金融高地、聚焦聚力财税创新工作、聚焦聚力社会治理、聚焦聚力群众满意度提升。</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Times New Roman" w:hAnsi="Times New Roman" w:eastAsia="仿宋_GB2312" w:cs="仿宋_GB2312"/>
          <w:spacing w:val="0"/>
          <w:kern w:val="0"/>
          <w:sz w:val="32"/>
          <w:szCs w:val="32"/>
        </w:rPr>
      </w:pPr>
      <w:r>
        <w:rPr>
          <w:rFonts w:hint="eastAsia" w:ascii="楷体_GB2312" w:hAnsi="楷体_GB2312" w:eastAsia="楷体_GB2312" w:cs="楷体_GB2312"/>
          <w:b/>
          <w:bCs/>
          <w:color w:val="000000"/>
          <w:spacing w:val="0"/>
          <w:kern w:val="0"/>
          <w:sz w:val="32"/>
          <w:szCs w:val="32"/>
          <w:lang w:val="en-US" w:eastAsia="zh-CN" w:bidi="ar-SA"/>
        </w:rPr>
        <w:t>四换三名：</w:t>
      </w:r>
      <w:r>
        <w:rPr>
          <w:rFonts w:hint="eastAsia" w:ascii="Times New Roman" w:hAnsi="Times New Roman" w:eastAsia="仿宋_GB2312" w:cs="仿宋_GB2312"/>
          <w:spacing w:val="0"/>
          <w:kern w:val="0"/>
          <w:sz w:val="32"/>
          <w:szCs w:val="32"/>
          <w:lang w:eastAsia="zh-CN"/>
        </w:rPr>
        <w:t>“</w:t>
      </w:r>
      <w:r>
        <w:rPr>
          <w:rFonts w:hint="eastAsia" w:ascii="Times New Roman" w:hAnsi="Times New Roman" w:eastAsia="仿宋_GB2312" w:cs="仿宋_GB2312"/>
          <w:spacing w:val="0"/>
          <w:kern w:val="0"/>
          <w:sz w:val="32"/>
          <w:szCs w:val="32"/>
        </w:rPr>
        <w:t>四换</w:t>
      </w:r>
      <w:r>
        <w:rPr>
          <w:rFonts w:hint="eastAsia" w:ascii="Times New Roman" w:hAnsi="Times New Roman" w:eastAsia="仿宋_GB2312" w:cs="仿宋_GB2312"/>
          <w:spacing w:val="0"/>
          <w:kern w:val="0"/>
          <w:sz w:val="32"/>
          <w:szCs w:val="32"/>
          <w:lang w:eastAsia="zh-CN"/>
        </w:rPr>
        <w:t>”</w:t>
      </w:r>
      <w:r>
        <w:rPr>
          <w:rFonts w:hint="eastAsia" w:ascii="Times New Roman" w:hAnsi="Times New Roman" w:eastAsia="仿宋_GB2312" w:cs="仿宋_GB2312"/>
          <w:spacing w:val="0"/>
          <w:kern w:val="0"/>
          <w:sz w:val="32"/>
          <w:szCs w:val="32"/>
        </w:rPr>
        <w:t>，一是腾笼换鸟，就是积极发展战略性新兴产业、高新技术产业以及能支撑未来发展的大产业，加快淘汰改造高耗能、重污染企业，着力改变过多依赖低端产业的状况；二是机器换人，就是加强企业技术改造，利用先进装备替代低端劳动力，着力改变过多依赖低成本劳动力的现状；三是空间换地，核心是推进土地节约集约利用，不断提高单位土地、能源、环境容量等要素产出率，着力改变过多依赖资源环境消耗的状况；四是电商换市，就是大力发展电子商务，积极推进电子商务向各领域拓展，促进企业商业模式创新，着力改变过多依赖传统市场和传统营销方式的状况。</w:t>
      </w:r>
      <w:r>
        <w:rPr>
          <w:rFonts w:hint="eastAsia" w:ascii="Times New Roman" w:hAnsi="Times New Roman" w:eastAsia="仿宋_GB2312" w:cs="仿宋_GB2312"/>
          <w:spacing w:val="0"/>
          <w:kern w:val="0"/>
          <w:sz w:val="32"/>
          <w:szCs w:val="32"/>
          <w:lang w:eastAsia="zh-CN"/>
        </w:rPr>
        <w:t>“</w:t>
      </w:r>
      <w:r>
        <w:rPr>
          <w:rFonts w:hint="eastAsia" w:ascii="Times New Roman" w:hAnsi="Times New Roman" w:eastAsia="仿宋_GB2312" w:cs="仿宋_GB2312"/>
          <w:spacing w:val="0"/>
          <w:kern w:val="0"/>
          <w:sz w:val="32"/>
          <w:szCs w:val="32"/>
        </w:rPr>
        <w:t>三名</w:t>
      </w:r>
      <w:r>
        <w:rPr>
          <w:rFonts w:hint="eastAsia" w:ascii="Times New Roman" w:hAnsi="Times New Roman" w:eastAsia="仿宋_GB2312" w:cs="仿宋_GB2312"/>
          <w:spacing w:val="0"/>
          <w:kern w:val="0"/>
          <w:sz w:val="32"/>
          <w:szCs w:val="32"/>
          <w:lang w:eastAsia="zh-CN"/>
        </w:rPr>
        <w:t>”</w:t>
      </w:r>
      <w:r>
        <w:rPr>
          <w:rFonts w:hint="eastAsia" w:ascii="Times New Roman" w:hAnsi="Times New Roman" w:eastAsia="仿宋_GB2312" w:cs="仿宋_GB2312"/>
          <w:spacing w:val="0"/>
          <w:kern w:val="0"/>
          <w:sz w:val="32"/>
          <w:szCs w:val="32"/>
        </w:rPr>
        <w:t>，即着力培养名企、名品、名家，打造行业龙头。</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Times New Roman" w:hAnsi="Times New Roman" w:eastAsia="仿宋_GB2312" w:cs="仿宋_GB2312"/>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bidi="ar-SA"/>
        </w:rPr>
        <w:t>亩产效益综合评价改革：</w:t>
      </w:r>
      <w:r>
        <w:rPr>
          <w:rFonts w:hint="eastAsia" w:ascii="Times New Roman" w:hAnsi="Times New Roman" w:eastAsia="仿宋_GB2312" w:cs="仿宋_GB2312"/>
          <w:spacing w:val="0"/>
          <w:kern w:val="0"/>
          <w:sz w:val="32"/>
          <w:szCs w:val="32"/>
          <w:lang w:val="en-US" w:eastAsia="zh-CN"/>
        </w:rPr>
        <w:t>将农业领域“亩产”概念引入工业领域，通过单位用地税收、单位用地销售收入等指标，进行工业企业亩产效益分类评价，实施差异化的资源要素配置政策，扶持优质企业做大做强，促进低效企业转型升级，以最小的资源环境代价，获得最大的效益产出。</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Times New Roman" w:hAnsi="Times New Roman" w:eastAsia="仿宋_GB2312" w:cs="仿宋_GB2312"/>
          <w:snapToGrid w:val="0"/>
          <w:spacing w:val="0"/>
          <w:kern w:val="0"/>
          <w:sz w:val="32"/>
          <w:szCs w:val="32"/>
          <w:lang w:eastAsia="zh-CN"/>
        </w:rPr>
      </w:pPr>
      <w:r>
        <w:rPr>
          <w:rFonts w:hint="eastAsia" w:ascii="楷体_GB2312" w:hAnsi="楷体_GB2312" w:eastAsia="楷体_GB2312" w:cs="楷体_GB2312"/>
          <w:b/>
          <w:bCs/>
          <w:color w:val="000000"/>
          <w:spacing w:val="0"/>
          <w:kern w:val="0"/>
          <w:sz w:val="32"/>
          <w:szCs w:val="32"/>
          <w:lang w:val="en-US" w:eastAsia="zh-CN" w:bidi="ar-SA"/>
        </w:rPr>
        <w:t>放管服：</w:t>
      </w:r>
      <w:r>
        <w:rPr>
          <w:rFonts w:hint="eastAsia" w:ascii="Times New Roman" w:hAnsi="Times New Roman" w:eastAsia="仿宋_GB2312" w:cs="仿宋_GB2312"/>
          <w:snapToGrid w:val="0"/>
          <w:spacing w:val="0"/>
          <w:kern w:val="0"/>
          <w:sz w:val="32"/>
          <w:szCs w:val="32"/>
        </w:rPr>
        <w:t>是</w:t>
      </w:r>
      <w:r>
        <w:rPr>
          <w:rFonts w:hint="eastAsia" w:ascii="Times New Roman" w:hAnsi="Times New Roman" w:eastAsia="仿宋_GB2312" w:cs="仿宋_GB2312"/>
          <w:snapToGrid w:val="0"/>
          <w:spacing w:val="0"/>
          <w:kern w:val="0"/>
          <w:sz w:val="32"/>
          <w:szCs w:val="32"/>
        </w:rPr>
        <w:fldChar w:fldCharType="begin"/>
      </w:r>
      <w:r>
        <w:rPr>
          <w:rFonts w:hint="eastAsia" w:ascii="Times New Roman" w:hAnsi="Times New Roman" w:eastAsia="仿宋_GB2312" w:cs="仿宋_GB2312"/>
          <w:snapToGrid w:val="0"/>
          <w:spacing w:val="0"/>
          <w:kern w:val="0"/>
          <w:sz w:val="32"/>
          <w:szCs w:val="32"/>
        </w:rPr>
        <w:instrText xml:space="preserve"> HYPERLINK "http://baike.baidu.com/view/863107.htm" \t "_blank" </w:instrText>
      </w:r>
      <w:r>
        <w:rPr>
          <w:rFonts w:hint="eastAsia" w:ascii="Times New Roman" w:hAnsi="Times New Roman" w:eastAsia="仿宋_GB2312" w:cs="仿宋_GB2312"/>
          <w:snapToGrid w:val="0"/>
          <w:spacing w:val="0"/>
          <w:kern w:val="0"/>
          <w:sz w:val="32"/>
          <w:szCs w:val="32"/>
        </w:rPr>
        <w:fldChar w:fldCharType="separate"/>
      </w:r>
      <w:r>
        <w:rPr>
          <w:rStyle w:val="6"/>
          <w:rFonts w:hint="eastAsia" w:ascii="Times New Roman" w:hAnsi="Times New Roman" w:eastAsia="仿宋_GB2312" w:cs="仿宋_GB2312"/>
          <w:snapToGrid w:val="0"/>
          <w:color w:val="auto"/>
          <w:spacing w:val="0"/>
          <w:kern w:val="0"/>
          <w:sz w:val="32"/>
          <w:szCs w:val="32"/>
          <w:u w:val="none"/>
        </w:rPr>
        <w:t>简政放权</w:t>
      </w:r>
      <w:r>
        <w:rPr>
          <w:rFonts w:hint="eastAsia" w:ascii="Times New Roman" w:hAnsi="Times New Roman" w:eastAsia="仿宋_GB2312" w:cs="仿宋_GB2312"/>
          <w:snapToGrid w:val="0"/>
          <w:spacing w:val="0"/>
          <w:kern w:val="0"/>
          <w:sz w:val="32"/>
          <w:szCs w:val="32"/>
        </w:rPr>
        <w:fldChar w:fldCharType="end"/>
      </w:r>
      <w:r>
        <w:rPr>
          <w:rFonts w:hint="eastAsia" w:ascii="Times New Roman" w:hAnsi="Times New Roman" w:eastAsia="仿宋_GB2312" w:cs="仿宋_GB2312"/>
          <w:snapToGrid w:val="0"/>
          <w:spacing w:val="0"/>
          <w:kern w:val="0"/>
          <w:sz w:val="32"/>
          <w:szCs w:val="32"/>
        </w:rPr>
        <w:t>、放管结合、优化服务的简称</w:t>
      </w:r>
      <w:r>
        <w:rPr>
          <w:rFonts w:hint="eastAsia" w:ascii="Times New Roman" w:hAnsi="Times New Roman" w:eastAsia="仿宋_GB2312" w:cs="仿宋_GB2312"/>
          <w:snapToGrid w:val="0"/>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Times New Roman" w:hAnsi="Times New Roman" w:eastAsia="仿宋_GB2312" w:cs="仿宋_GB2312"/>
          <w:spacing w:val="0"/>
          <w:kern w:val="0"/>
          <w:sz w:val="32"/>
          <w:szCs w:val="32"/>
          <w:lang w:val="en-US" w:eastAsia="zh-CN" w:bidi="ar-SA"/>
        </w:rPr>
      </w:pPr>
      <w:r>
        <w:rPr>
          <w:rFonts w:hint="eastAsia" w:ascii="楷体_GB2312" w:hAnsi="楷体_GB2312" w:eastAsia="楷体_GB2312" w:cs="楷体_GB2312"/>
          <w:b/>
          <w:bCs/>
          <w:color w:val="000000"/>
          <w:spacing w:val="0"/>
          <w:kern w:val="0"/>
          <w:sz w:val="32"/>
          <w:szCs w:val="32"/>
          <w:lang w:val="en-US" w:eastAsia="zh-CN" w:bidi="ar-SA"/>
        </w:rPr>
        <w:t>国家“万人计划”：</w:t>
      </w:r>
      <w:r>
        <w:rPr>
          <w:rFonts w:hint="eastAsia" w:ascii="Times New Roman" w:hAnsi="Times New Roman" w:eastAsia="仿宋_GB2312" w:cs="仿宋_GB2312"/>
          <w:spacing w:val="0"/>
          <w:kern w:val="0"/>
          <w:sz w:val="32"/>
          <w:szCs w:val="32"/>
          <w:lang w:val="en-US" w:eastAsia="zh-CN" w:bidi="ar-SA"/>
        </w:rPr>
        <w:t>2012年8月17日，经党中央、国务院领导批准，由中组部等11个部门和单位联合印发，目标是用10年时间，遴选1万名左右自然科学、工程技术和哲学社会科学领域的杰出人才、领军人才和青年拔尖人才，给予特殊支持。</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Times New Roman" w:hAnsi="Times New Roman" w:eastAsia="仿宋_GB2312" w:cs="仿宋_GB2312"/>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bidi="ar-SA"/>
        </w:rPr>
        <w:t>全员环保：</w:t>
      </w:r>
      <w:r>
        <w:rPr>
          <w:rFonts w:hint="eastAsia" w:ascii="Times New Roman" w:hAnsi="Times New Roman" w:eastAsia="仿宋_GB2312" w:cs="仿宋_GB2312"/>
          <w:spacing w:val="0"/>
          <w:kern w:val="0"/>
          <w:sz w:val="32"/>
          <w:szCs w:val="32"/>
          <w:lang w:val="en-US" w:eastAsia="zh-CN"/>
        </w:rPr>
        <w:t>市委、市政府为抓好污染防治攻坚工作，全力建立并推广的一项工作制度机制。</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Times New Roman" w:hAnsi="Times New Roman" w:eastAsia="仿宋_GB2312" w:cs="仿宋_GB2312"/>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bidi="ar-SA"/>
        </w:rPr>
        <w:t>“散乱污”企业：</w:t>
      </w:r>
      <w:r>
        <w:rPr>
          <w:rFonts w:hint="eastAsia" w:ascii="Times New Roman" w:hAnsi="Times New Roman" w:eastAsia="仿宋_GB2312" w:cs="仿宋_GB2312"/>
          <w:color w:val="000000"/>
          <w:spacing w:val="0"/>
          <w:kern w:val="0"/>
          <w:sz w:val="32"/>
          <w:szCs w:val="32"/>
          <w:lang w:val="en-US" w:eastAsia="zh-CN" w:bidi="ar-SA"/>
        </w:rPr>
        <w:t>不符合产业政策，不符合当地产业布局规划，未办理发改、土地、规划、环保、质监、安监、电力等相关审批手续，不能稳定达标排放的企业。</w:t>
      </w:r>
    </w:p>
    <w:p>
      <w:pPr>
        <w:pStyle w:val="2"/>
        <w:keepNext w:val="0"/>
        <w:keepLines w:val="0"/>
        <w:pageBreakBefore w:val="0"/>
        <w:widowControl w:val="0"/>
        <w:kinsoku/>
        <w:wordWrap/>
        <w:overflowPunct/>
        <w:topLinePunct w:val="0"/>
        <w:autoSpaceDE/>
        <w:autoSpaceDN/>
        <w:bidi w:val="0"/>
        <w:adjustRightInd w:val="0"/>
        <w:snapToGrid w:val="0"/>
        <w:spacing w:after="0" w:afterLines="0" w:line="576" w:lineRule="exact"/>
        <w:ind w:firstLine="643" w:firstLineChars="200"/>
        <w:jc w:val="both"/>
        <w:textAlignment w:val="auto"/>
        <w:rPr>
          <w:rFonts w:hint="eastAsia" w:ascii="Times New Roman" w:hAnsi="Times New Roman" w:eastAsia="仿宋_GB2312" w:cs="仿宋_GB2312"/>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bidi="ar-SA"/>
        </w:rPr>
        <w:t>刑责治污：</w:t>
      </w:r>
      <w:r>
        <w:rPr>
          <w:rFonts w:hint="eastAsia" w:ascii="Times New Roman" w:hAnsi="Times New Roman" w:eastAsia="仿宋_GB2312" w:cs="仿宋_GB2312"/>
          <w:spacing w:val="0"/>
          <w:kern w:val="0"/>
          <w:sz w:val="32"/>
          <w:szCs w:val="32"/>
          <w:lang w:val="en-US" w:eastAsia="zh-CN"/>
        </w:rPr>
        <w:t>为严厉打击环境违法行为，将环境执法与刑事司法对接，提高环境污染违法犯罪案件查办、起诉和判决效率，构建刑责治污新体系，全面提升环境保护执法水平，高效打击环境污染违法犯罪活动。</w:t>
      </w:r>
    </w:p>
    <w:p>
      <w:pPr>
        <w:pStyle w:val="2"/>
        <w:keepNext w:val="0"/>
        <w:keepLines w:val="0"/>
        <w:pageBreakBefore w:val="0"/>
        <w:widowControl w:val="0"/>
        <w:kinsoku/>
        <w:wordWrap/>
        <w:overflowPunct/>
        <w:topLinePunct w:val="0"/>
        <w:autoSpaceDE/>
        <w:autoSpaceDN/>
        <w:bidi w:val="0"/>
        <w:adjustRightInd w:val="0"/>
        <w:snapToGrid w:val="0"/>
        <w:spacing w:after="0" w:afterLines="0" w:line="576" w:lineRule="exact"/>
        <w:ind w:firstLine="643" w:firstLineChars="200"/>
        <w:jc w:val="both"/>
        <w:textAlignment w:val="auto"/>
        <w:rPr>
          <w:rFonts w:hint="eastAsia" w:ascii="Times New Roman" w:hAnsi="Times New Roman" w:eastAsia="仿宋_GB2312" w:cs="仿宋_GB2312"/>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bidi="ar-SA"/>
        </w:rPr>
        <w:t>四减四增：</w:t>
      </w:r>
      <w:r>
        <w:rPr>
          <w:rFonts w:hint="eastAsia" w:ascii="Times New Roman" w:hAnsi="Times New Roman" w:eastAsia="仿宋_GB2312" w:cs="仿宋_GB2312"/>
          <w:color w:val="000000"/>
          <w:spacing w:val="0"/>
          <w:kern w:val="0"/>
          <w:sz w:val="32"/>
          <w:szCs w:val="32"/>
          <w:lang w:val="en-US" w:eastAsia="zh-CN"/>
        </w:rPr>
        <w:t>调整产业结构，减少过剩和落后产业，增加新的增长动能；调整能源结构，减少煤炭消费，增加清洁能源使用；调整运输结构，减少公路运输量，增加铁路运输量；调整农业投入结构，减少化肥农药使用量，增加有机肥使用量。</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Times New Roman" w:hAnsi="Times New Roman" w:eastAsia="仿宋_GB2312" w:cs="仿宋_GB2312"/>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bidi="ar-SA"/>
        </w:rPr>
        <w:t>绿盾行动：</w:t>
      </w:r>
      <w:r>
        <w:rPr>
          <w:rFonts w:hint="eastAsia" w:ascii="Times New Roman" w:hAnsi="Times New Roman" w:eastAsia="仿宋_GB2312" w:cs="仿宋_GB2312"/>
          <w:spacing w:val="0"/>
          <w:kern w:val="0"/>
          <w:sz w:val="32"/>
          <w:szCs w:val="32"/>
          <w:lang w:val="en-US" w:eastAsia="zh-CN"/>
        </w:rPr>
        <w:t>由生态环境部组织七部门联合开展的自然保护区监督检查专项行动。</w:t>
      </w:r>
    </w:p>
    <w:p>
      <w:pPr>
        <w:pStyle w:val="2"/>
        <w:keepNext w:val="0"/>
        <w:keepLines w:val="0"/>
        <w:pageBreakBefore w:val="0"/>
        <w:widowControl w:val="0"/>
        <w:kinsoku/>
        <w:wordWrap/>
        <w:overflowPunct/>
        <w:topLinePunct w:val="0"/>
        <w:autoSpaceDE/>
        <w:autoSpaceDN/>
        <w:bidi w:val="0"/>
        <w:adjustRightInd w:val="0"/>
        <w:snapToGrid w:val="0"/>
        <w:spacing w:after="0" w:afterLines="0" w:line="576" w:lineRule="exact"/>
        <w:ind w:firstLine="643" w:firstLineChars="200"/>
        <w:jc w:val="both"/>
        <w:textAlignment w:val="auto"/>
        <w:rPr>
          <w:rFonts w:hint="eastAsia" w:ascii="Times New Roman" w:hAnsi="Times New Roman" w:eastAsia="仿宋_GB2312" w:cs="仿宋_GB2312"/>
          <w:color w:val="000000"/>
          <w:spacing w:val="0"/>
          <w:kern w:val="0"/>
          <w:sz w:val="32"/>
          <w:szCs w:val="32"/>
        </w:rPr>
      </w:pPr>
      <w:r>
        <w:rPr>
          <w:rFonts w:hint="eastAsia" w:ascii="楷体_GB2312" w:hAnsi="楷体_GB2312" w:eastAsia="楷体_GB2312" w:cs="楷体_GB2312"/>
          <w:b/>
          <w:bCs/>
          <w:color w:val="000000"/>
          <w:spacing w:val="0"/>
          <w:kern w:val="0"/>
          <w:sz w:val="32"/>
          <w:szCs w:val="32"/>
          <w:lang w:val="en-US" w:eastAsia="zh-CN" w:bidi="ar-SA"/>
        </w:rPr>
        <w:t>两不愁三保障：</w:t>
      </w:r>
      <w:r>
        <w:rPr>
          <w:rFonts w:hint="eastAsia" w:ascii="Times New Roman" w:hAnsi="Times New Roman" w:eastAsia="仿宋_GB2312" w:cs="仿宋_GB2312"/>
          <w:color w:val="000000"/>
          <w:spacing w:val="0"/>
          <w:kern w:val="0"/>
          <w:sz w:val="32"/>
          <w:szCs w:val="32"/>
        </w:rPr>
        <w:t>不愁吃、不愁穿，义务教育、基本医疗、住房</w:t>
      </w:r>
      <w:r>
        <w:rPr>
          <w:rFonts w:hint="eastAsia" w:ascii="Times New Roman" w:hAnsi="Times New Roman" w:eastAsia="仿宋_GB2312" w:cs="仿宋_GB2312"/>
          <w:color w:val="000000"/>
          <w:spacing w:val="0"/>
          <w:kern w:val="0"/>
          <w:sz w:val="32"/>
          <w:szCs w:val="32"/>
          <w:lang w:eastAsia="zh-CN"/>
        </w:rPr>
        <w:t>及饮水</w:t>
      </w:r>
      <w:r>
        <w:rPr>
          <w:rFonts w:hint="eastAsia" w:ascii="Times New Roman" w:hAnsi="Times New Roman" w:eastAsia="仿宋_GB2312" w:cs="仿宋_GB2312"/>
          <w:color w:val="000000"/>
          <w:spacing w:val="0"/>
          <w:kern w:val="0"/>
          <w:sz w:val="32"/>
          <w:szCs w:val="32"/>
        </w:rPr>
        <w:t>安全有保障。</w:t>
      </w:r>
    </w:p>
    <w:p>
      <w:pPr>
        <w:pStyle w:val="2"/>
        <w:keepNext w:val="0"/>
        <w:keepLines w:val="0"/>
        <w:pageBreakBefore w:val="0"/>
        <w:widowControl w:val="0"/>
        <w:kinsoku/>
        <w:wordWrap/>
        <w:overflowPunct/>
        <w:topLinePunct w:val="0"/>
        <w:autoSpaceDE/>
        <w:autoSpaceDN/>
        <w:bidi w:val="0"/>
        <w:adjustRightInd w:val="0"/>
        <w:snapToGrid w:val="0"/>
        <w:spacing w:after="0" w:afterLines="0" w:line="576" w:lineRule="exact"/>
        <w:ind w:firstLine="643" w:firstLineChars="200"/>
        <w:jc w:val="both"/>
        <w:textAlignment w:val="auto"/>
        <w:rPr>
          <w:rFonts w:hint="eastAsia" w:ascii="Times New Roman" w:hAnsi="Times New Roman" w:eastAsia="仿宋_GB2312" w:cs="仿宋_GB2312"/>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bidi="ar-SA"/>
        </w:rPr>
        <w:t>紧密型医共体：</w:t>
      </w:r>
      <w:r>
        <w:rPr>
          <w:rFonts w:hint="eastAsia" w:ascii="Times New Roman" w:hAnsi="Times New Roman" w:eastAsia="仿宋_GB2312" w:cs="仿宋_GB2312"/>
          <w:color w:val="000000"/>
          <w:spacing w:val="0"/>
          <w:kern w:val="0"/>
          <w:sz w:val="32"/>
          <w:szCs w:val="32"/>
          <w:lang w:val="en-US" w:eastAsia="zh-CN" w:bidi="ar-SA"/>
        </w:rPr>
        <w:t>整合区、镇（街道、开发区）、村（社区）三级医疗服务机构的资源而建立的分工协作、一体化管理、为群众提供全方位服务的新型基层医疗卫生服务体系。能够实现优质医疗资源不断下沉，实现“小病不出村，常见病不出镇，大病不出县，疑难危重病再转诊”的就医新模式。</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Times New Roman" w:hAnsi="Times New Roman" w:eastAsia="仿宋_GB2312" w:cs="仿宋_GB2312"/>
          <w:spacing w:val="0"/>
          <w:kern w:val="0"/>
          <w:sz w:val="32"/>
          <w:szCs w:val="32"/>
        </w:rPr>
      </w:pPr>
      <w:r>
        <w:rPr>
          <w:rFonts w:hint="eastAsia" w:ascii="楷体_GB2312" w:hAnsi="楷体_GB2312" w:eastAsia="楷体_GB2312" w:cs="楷体_GB2312"/>
          <w:b/>
          <w:bCs/>
          <w:color w:val="000000"/>
          <w:spacing w:val="0"/>
          <w:kern w:val="0"/>
          <w:sz w:val="32"/>
          <w:szCs w:val="32"/>
          <w:lang w:val="en-US" w:eastAsia="zh-CN" w:bidi="ar-SA"/>
        </w:rPr>
        <w:t>五个优化：</w:t>
      </w:r>
      <w:r>
        <w:rPr>
          <w:rFonts w:hint="eastAsia" w:ascii="Times New Roman" w:hAnsi="Times New Roman" w:eastAsia="仿宋_GB2312" w:cs="仿宋_GB2312"/>
          <w:spacing w:val="0"/>
          <w:kern w:val="0"/>
          <w:sz w:val="32"/>
          <w:szCs w:val="32"/>
        </w:rPr>
        <w:t>优化技术工艺、优化产品体系、优化产品质量、优化产业链条、优化经济效益。</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Times New Roman" w:hAnsi="Times New Roman" w:eastAsia="仿宋_GB2312" w:cs="仿宋_GB2312"/>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bidi="ar-SA"/>
        </w:rPr>
        <w:t>瞪羚企业：</w:t>
      </w:r>
      <w:r>
        <w:rPr>
          <w:rFonts w:hint="eastAsia" w:ascii="Times New Roman" w:hAnsi="Times New Roman" w:eastAsia="仿宋_GB2312" w:cs="仿宋_GB2312"/>
          <w:spacing w:val="0"/>
          <w:kern w:val="0"/>
          <w:sz w:val="32"/>
          <w:szCs w:val="32"/>
          <w:lang w:val="en-US" w:eastAsia="zh-CN"/>
        </w:rPr>
        <w:t>跨过创业“死亡谷”，以科技创新或商业模式创新为支撑进入爆发式增长的创新型企业，具有成长速度快、创新能力强、专业领域新、发展潜力大等特征。</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Times New Roman" w:hAnsi="Times New Roman" w:eastAsia="仿宋_GB2312" w:cs="仿宋_GB2312"/>
          <w:b w:val="0"/>
          <w:bCs w:val="0"/>
          <w:color w:val="000000"/>
          <w:spacing w:val="0"/>
          <w:kern w:val="0"/>
          <w:sz w:val="32"/>
          <w:szCs w:val="32"/>
          <w:u w:val="none"/>
          <w:lang w:val="en-US" w:eastAsia="zh-CN" w:bidi="ar-SA"/>
        </w:rPr>
      </w:pPr>
      <w:r>
        <w:rPr>
          <w:rFonts w:hint="eastAsia" w:ascii="楷体_GB2312" w:hAnsi="楷体_GB2312" w:eastAsia="楷体_GB2312" w:cs="楷体_GB2312"/>
          <w:b/>
          <w:bCs/>
          <w:color w:val="000000"/>
          <w:spacing w:val="0"/>
          <w:kern w:val="0"/>
          <w:sz w:val="32"/>
          <w:szCs w:val="32"/>
          <w:lang w:val="en-US" w:eastAsia="zh-CN" w:bidi="ar-SA"/>
        </w:rPr>
        <w:t>“专精特新”企业：</w:t>
      </w:r>
      <w:r>
        <w:rPr>
          <w:rFonts w:hint="eastAsia" w:ascii="Times New Roman" w:hAnsi="Times New Roman" w:eastAsia="仿宋_GB2312" w:cs="仿宋_GB2312"/>
          <w:b w:val="0"/>
          <w:bCs w:val="0"/>
          <w:color w:val="000000"/>
          <w:spacing w:val="0"/>
          <w:kern w:val="0"/>
          <w:sz w:val="32"/>
          <w:szCs w:val="32"/>
          <w:u w:val="none"/>
          <w:lang w:val="en-US" w:eastAsia="zh-CN" w:bidi="ar-SA"/>
        </w:rPr>
        <w:t>指专业化、精细化、特色化、新颖化特征明显，运行管理规范、信誉度良好、社会责任感强，具备良好发展前景的中小企业。</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Times New Roman" w:hAnsi="Times New Roman" w:eastAsia="仿宋_GB2312" w:cs="仿宋_GB2312"/>
          <w:b w:val="0"/>
          <w:bCs w:val="0"/>
          <w:color w:val="000000"/>
          <w:spacing w:val="0"/>
          <w:kern w:val="0"/>
          <w:sz w:val="32"/>
          <w:szCs w:val="32"/>
          <w:u w:val="none"/>
          <w:lang w:val="en-US" w:eastAsia="zh-CN" w:bidi="ar-SA"/>
        </w:rPr>
      </w:pPr>
      <w:r>
        <w:rPr>
          <w:rFonts w:hint="eastAsia" w:ascii="楷体_GB2312" w:hAnsi="楷体_GB2312" w:eastAsia="楷体_GB2312" w:cs="楷体_GB2312"/>
          <w:b/>
          <w:bCs/>
          <w:color w:val="000000"/>
          <w:spacing w:val="0"/>
          <w:kern w:val="0"/>
          <w:sz w:val="32"/>
          <w:szCs w:val="32"/>
          <w:lang w:val="en-US" w:eastAsia="zh-CN" w:bidi="ar-SA"/>
        </w:rPr>
        <w:t>工业互联网：</w:t>
      </w:r>
      <w:r>
        <w:rPr>
          <w:rFonts w:hint="eastAsia" w:ascii="Times New Roman" w:hAnsi="Times New Roman" w:eastAsia="仿宋_GB2312" w:cs="仿宋_GB2312"/>
          <w:b w:val="0"/>
          <w:bCs w:val="0"/>
          <w:color w:val="000000"/>
          <w:spacing w:val="0"/>
          <w:kern w:val="0"/>
          <w:sz w:val="32"/>
          <w:szCs w:val="32"/>
          <w:u w:val="none"/>
          <w:lang w:val="en-US" w:eastAsia="zh-CN" w:bidi="ar-SA"/>
        </w:rPr>
        <w:t>指实现人、机、物全面互联的新型网络基础设施，是工业系统与高级计算、分析、传感技术及互联网的高度融合。</w:t>
      </w:r>
    </w:p>
    <w:p>
      <w:pPr>
        <w:pStyle w:val="2"/>
        <w:keepNext w:val="0"/>
        <w:keepLines w:val="0"/>
        <w:pageBreakBefore w:val="0"/>
        <w:widowControl w:val="0"/>
        <w:kinsoku/>
        <w:wordWrap/>
        <w:overflowPunct/>
        <w:topLinePunct w:val="0"/>
        <w:autoSpaceDE/>
        <w:autoSpaceDN/>
        <w:bidi w:val="0"/>
        <w:adjustRightInd w:val="0"/>
        <w:snapToGrid w:val="0"/>
        <w:spacing w:after="0" w:afterLines="0" w:line="576" w:lineRule="exact"/>
        <w:ind w:firstLine="643" w:firstLineChars="200"/>
        <w:jc w:val="both"/>
        <w:textAlignment w:val="auto"/>
        <w:rPr>
          <w:rFonts w:hint="eastAsia" w:ascii="Times New Roman" w:hAnsi="Times New Roman" w:eastAsia="仿宋_GB2312" w:cs="仿宋_GB2312"/>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bidi="ar-SA"/>
        </w:rPr>
        <w:t>产业数字化：</w:t>
      </w:r>
      <w:r>
        <w:rPr>
          <w:rFonts w:hint="eastAsia" w:ascii="Times New Roman" w:hAnsi="Times New Roman" w:eastAsia="仿宋_GB2312" w:cs="仿宋_GB2312"/>
          <w:b w:val="0"/>
          <w:bCs w:val="0"/>
          <w:color w:val="000000"/>
          <w:spacing w:val="0"/>
          <w:kern w:val="0"/>
          <w:sz w:val="32"/>
          <w:szCs w:val="32"/>
          <w:u w:val="none"/>
          <w:lang w:val="en-US" w:eastAsia="zh-CN" w:bidi="ar-SA"/>
        </w:rPr>
        <w:t>利用现代信息技术对传统产业进行全方位、全角度、全链条的改造。</w:t>
      </w:r>
    </w:p>
    <w:p>
      <w:pPr>
        <w:keepNext w:val="0"/>
        <w:keepLines w:val="0"/>
        <w:pageBreakBefore w:val="0"/>
        <w:widowControl w:val="0"/>
        <w:tabs>
          <w:tab w:val="left" w:pos="592"/>
        </w:tabs>
        <w:kinsoku/>
        <w:wordWrap/>
        <w:overflowPunct/>
        <w:topLinePunct w:val="0"/>
        <w:autoSpaceDE/>
        <w:autoSpaceDN/>
        <w:bidi w:val="0"/>
        <w:adjustRightInd w:val="0"/>
        <w:snapToGrid w:val="0"/>
        <w:spacing w:line="576" w:lineRule="exact"/>
        <w:ind w:firstLine="643" w:firstLineChars="200"/>
        <w:jc w:val="both"/>
        <w:textAlignment w:val="auto"/>
        <w:rPr>
          <w:rFonts w:hint="eastAsia" w:ascii="Times New Roman" w:hAnsi="Times New Roman" w:eastAsia="仿宋_GB2312" w:cs="仿宋_GB2312"/>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bidi="ar-SA"/>
        </w:rPr>
        <w:t>三大攻坚：</w:t>
      </w:r>
      <w:r>
        <w:rPr>
          <w:rFonts w:hint="eastAsia" w:ascii="Times New Roman" w:hAnsi="Times New Roman" w:eastAsia="仿宋_GB2312" w:cs="仿宋_GB2312"/>
          <w:spacing w:val="0"/>
          <w:kern w:val="0"/>
          <w:sz w:val="32"/>
          <w:szCs w:val="32"/>
          <w:lang w:val="en-US" w:eastAsia="zh-CN"/>
        </w:rPr>
        <w:t>防范化解重大风险、</w:t>
      </w:r>
      <w:r>
        <w:rPr>
          <w:rFonts w:hint="eastAsia" w:ascii="Times New Roman" w:hAnsi="Times New Roman" w:eastAsia="仿宋_GB2312" w:cs="仿宋_GB2312"/>
          <w:spacing w:val="0"/>
          <w:kern w:val="0"/>
          <w:sz w:val="32"/>
          <w:szCs w:val="32"/>
          <w:lang w:val="en-US" w:eastAsia="zh-CN"/>
        </w:rPr>
        <w:fldChar w:fldCharType="begin"/>
      </w:r>
      <w:r>
        <w:rPr>
          <w:rFonts w:hint="eastAsia" w:ascii="Times New Roman" w:hAnsi="Times New Roman" w:eastAsia="仿宋_GB2312" w:cs="仿宋_GB2312"/>
          <w:spacing w:val="0"/>
          <w:kern w:val="0"/>
          <w:sz w:val="32"/>
          <w:szCs w:val="32"/>
          <w:lang w:val="en-US" w:eastAsia="zh-CN"/>
        </w:rPr>
        <w:instrText xml:space="preserve"> HYPERLINK "https://baike.baidu.com/item/%E7%B2%BE%E5%87%86%E8%84%B1%E8%B4%AB/18892524" \t "https://baike.baidu.com/item/%E4%B8%89%E5%A4%A7%E6%94%BB%E5%9D%9A%E6%88%98/_blank" </w:instrText>
      </w:r>
      <w:r>
        <w:rPr>
          <w:rFonts w:hint="eastAsia" w:ascii="Times New Roman" w:hAnsi="Times New Roman" w:eastAsia="仿宋_GB2312" w:cs="仿宋_GB2312"/>
          <w:spacing w:val="0"/>
          <w:kern w:val="0"/>
          <w:sz w:val="32"/>
          <w:szCs w:val="32"/>
          <w:lang w:val="en-US" w:eastAsia="zh-CN"/>
        </w:rPr>
        <w:fldChar w:fldCharType="separate"/>
      </w:r>
      <w:r>
        <w:rPr>
          <w:rFonts w:hint="eastAsia" w:ascii="Times New Roman" w:hAnsi="Times New Roman" w:eastAsia="仿宋_GB2312" w:cs="仿宋_GB2312"/>
          <w:spacing w:val="0"/>
          <w:kern w:val="0"/>
          <w:sz w:val="32"/>
          <w:szCs w:val="32"/>
          <w:lang w:val="en-US" w:eastAsia="zh-CN"/>
        </w:rPr>
        <w:t>精准脱贫</w:t>
      </w:r>
      <w:r>
        <w:rPr>
          <w:rFonts w:hint="eastAsia" w:ascii="Times New Roman" w:hAnsi="Times New Roman" w:eastAsia="仿宋_GB2312" w:cs="仿宋_GB2312"/>
          <w:spacing w:val="0"/>
          <w:kern w:val="0"/>
          <w:sz w:val="32"/>
          <w:szCs w:val="32"/>
          <w:lang w:val="en-US" w:eastAsia="zh-CN"/>
        </w:rPr>
        <w:fldChar w:fldCharType="end"/>
      </w:r>
      <w:r>
        <w:rPr>
          <w:rFonts w:hint="eastAsia" w:ascii="Times New Roman" w:hAnsi="Times New Roman" w:eastAsia="仿宋_GB2312" w:cs="仿宋_GB2312"/>
          <w:spacing w:val="0"/>
          <w:kern w:val="0"/>
          <w:sz w:val="32"/>
          <w:szCs w:val="32"/>
          <w:lang w:val="en-US" w:eastAsia="zh-CN"/>
        </w:rPr>
        <w:t>、污染防治。</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Times New Roman" w:hAnsi="Times New Roman" w:eastAsia="仿宋_GB2312" w:cs="仿宋_GB2312"/>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bidi="ar-SA"/>
        </w:rPr>
        <w:t>四好农村路：</w:t>
      </w:r>
      <w:r>
        <w:rPr>
          <w:rFonts w:hint="eastAsia" w:ascii="Times New Roman" w:hAnsi="Times New Roman" w:eastAsia="仿宋_GB2312" w:cs="仿宋_GB2312"/>
          <w:spacing w:val="0"/>
          <w:kern w:val="0"/>
          <w:sz w:val="32"/>
          <w:szCs w:val="32"/>
          <w:lang w:val="en-US" w:eastAsia="zh-CN"/>
        </w:rPr>
        <w:t>把农村公路建好、管好、护好、运营好，逐步消除制约农村发展的交通瓶颈，为广大农民脱贫致富奔小康提供更好的保障。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left="0" w:leftChars="0" w:right="0" w:rightChars="0" w:firstLine="643" w:firstLineChars="200"/>
        <w:jc w:val="both"/>
        <w:textAlignment w:val="auto"/>
        <w:outlineLvl w:val="9"/>
        <w:rPr>
          <w:rFonts w:hint="eastAsia" w:ascii="Times New Roman" w:hAnsi="Times New Roman" w:eastAsia="仿宋_GB2312" w:cs="仿宋_GB2312"/>
          <w:b/>
          <w:bCs/>
          <w:color w:val="000000"/>
          <w:spacing w:val="0"/>
          <w:kern w:val="0"/>
          <w:sz w:val="32"/>
          <w:szCs w:val="32"/>
          <w:u w:val="none"/>
          <w:lang w:val="en-US" w:eastAsia="zh-CN" w:bidi="ar-SA"/>
        </w:rPr>
      </w:pPr>
      <w:r>
        <w:rPr>
          <w:rFonts w:hint="eastAsia" w:ascii="楷体_GB2312" w:hAnsi="楷体_GB2312" w:eastAsia="楷体_GB2312" w:cs="楷体_GB2312"/>
          <w:b/>
          <w:bCs/>
          <w:color w:val="000000"/>
          <w:spacing w:val="0"/>
          <w:kern w:val="0"/>
          <w:sz w:val="32"/>
          <w:szCs w:val="32"/>
          <w:lang w:val="en-US" w:eastAsia="zh-CN" w:bidi="ar-SA"/>
        </w:rPr>
        <w:t>城乡融合发展试验区：</w:t>
      </w:r>
      <w:r>
        <w:rPr>
          <w:rFonts w:hint="eastAsia" w:ascii="Times New Roman" w:hAnsi="Times New Roman" w:eastAsia="仿宋_GB2312" w:cs="仿宋_GB2312"/>
          <w:color w:val="000000"/>
          <w:spacing w:val="0"/>
          <w:kern w:val="0"/>
          <w:sz w:val="32"/>
          <w:szCs w:val="32"/>
          <w:lang w:val="en-US" w:eastAsia="zh-CN"/>
        </w:rPr>
        <w:t>国家发展改革委等</w:t>
      </w:r>
      <w:r>
        <w:rPr>
          <w:rFonts w:hint="eastAsia" w:ascii="Times New Roman" w:hAnsi="Times New Roman" w:eastAsia="仿宋_GB2312" w:cs="仿宋_GB2312"/>
          <w:color w:val="auto"/>
          <w:spacing w:val="0"/>
          <w:kern w:val="0"/>
          <w:sz w:val="32"/>
          <w:szCs w:val="32"/>
          <w:u w:val="none"/>
          <w:lang w:val="en-US" w:eastAsia="zh-CN"/>
        </w:rPr>
        <w:t>18部委联合下发了《关于开展国家城乡融合发展试验区工作的通知》（发改规划〔2019〕1947号），博山区是山东省11个获批</w:t>
      </w:r>
      <w:r>
        <w:rPr>
          <w:rFonts w:hint="eastAsia" w:ascii="Times New Roman" w:hAnsi="Times New Roman" w:eastAsia="仿宋_GB2312" w:cs="仿宋_GB2312"/>
          <w:color w:val="000000"/>
          <w:spacing w:val="0"/>
          <w:kern w:val="0"/>
          <w:sz w:val="32"/>
          <w:szCs w:val="32"/>
          <w:lang w:val="en-US" w:eastAsia="zh-CN"/>
        </w:rPr>
        <w:t>试验区之一。根据《国家城乡融合发展试验区改革方案》，博山区将重点围绕建立进城落户农民依法自愿有偿转让退出农村权益制度、建立农村集体经营性建设用地入市制度、搭建城中村改造合作平台、搭建城乡产业协同发展平台、建立生态产品价值实现机制五大方面深入探索，全力推进城乡融合发展工作。</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Times New Roman" w:hAnsi="Times New Roman" w:eastAsia="仿宋_GB2312" w:cs="仿宋_GB2312"/>
          <w:color w:val="000000"/>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bidi="ar-SA"/>
        </w:rPr>
        <w:t>互联网</w:t>
      </w:r>
      <w:r>
        <w:rPr>
          <w:rFonts w:hint="default" w:ascii="Times New Roman" w:hAnsi="Times New Roman" w:eastAsia="楷体_GB2312" w:cs="Times New Roman"/>
          <w:b/>
          <w:bCs/>
          <w:color w:val="000000"/>
          <w:spacing w:val="0"/>
          <w:kern w:val="0"/>
          <w:sz w:val="32"/>
          <w:szCs w:val="32"/>
          <w:lang w:val="en-US" w:eastAsia="zh-CN" w:bidi="ar-SA"/>
        </w:rPr>
        <w:t>+</w:t>
      </w:r>
      <w:r>
        <w:rPr>
          <w:rFonts w:hint="eastAsia" w:ascii="楷体_GB2312" w:hAnsi="楷体_GB2312" w:eastAsia="楷体_GB2312" w:cs="楷体_GB2312"/>
          <w:b/>
          <w:bCs/>
          <w:color w:val="000000"/>
          <w:spacing w:val="0"/>
          <w:kern w:val="0"/>
          <w:sz w:val="32"/>
          <w:szCs w:val="32"/>
          <w:lang w:val="en-US" w:eastAsia="zh-CN" w:bidi="ar-SA"/>
        </w:rPr>
        <w:t>诊疗服务：</w:t>
      </w:r>
      <w:r>
        <w:rPr>
          <w:rFonts w:hint="eastAsia" w:ascii="Times New Roman" w:hAnsi="Times New Roman" w:eastAsia="仿宋_GB2312" w:cs="仿宋_GB2312"/>
          <w:color w:val="000000"/>
          <w:spacing w:val="0"/>
          <w:kern w:val="0"/>
          <w:sz w:val="32"/>
          <w:szCs w:val="32"/>
          <w:lang w:val="en-US" w:eastAsia="zh-CN"/>
        </w:rPr>
        <w:t>医疗卫生机构利用互联网提供在线预约诊疗、候诊提醒、划价缴费、诊疗报告查询等便捷服务。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left="0" w:leftChars="0" w:right="0" w:rightChars="0" w:firstLine="643" w:firstLineChars="200"/>
        <w:jc w:val="both"/>
        <w:textAlignment w:val="auto"/>
        <w:outlineLvl w:val="9"/>
        <w:rPr>
          <w:rFonts w:hint="eastAsia" w:ascii="Times New Roman" w:hAnsi="Times New Roman" w:eastAsia="仿宋_GB2312" w:cs="仿宋_GB2312"/>
          <w:color w:val="000000"/>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bidi="ar-SA"/>
        </w:rPr>
        <w:t>长者食堂：</w:t>
      </w:r>
      <w:r>
        <w:rPr>
          <w:rFonts w:hint="eastAsia" w:ascii="Times New Roman" w:hAnsi="Times New Roman" w:eastAsia="仿宋_GB2312" w:cs="仿宋_GB2312"/>
          <w:color w:val="000000"/>
          <w:spacing w:val="0"/>
          <w:kern w:val="0"/>
          <w:sz w:val="32"/>
          <w:szCs w:val="32"/>
          <w:lang w:val="en-US" w:eastAsia="zh-CN"/>
        </w:rPr>
        <w:t>为积极应对人口老龄化，构建养老、孝老、敬老政策体系和社会环境，加快推进社区居家养老“助餐配餐”服务，构建社会化的“大配餐”服务体系，较好地满足老年人特别是高龄、空巢、失能等老年群体助餐配餐服务需求。</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Times New Roman" w:hAnsi="Times New Roman" w:eastAsia="仿宋_GB2312" w:cs="仿宋_GB2312"/>
          <w:b w:val="0"/>
          <w:bCs w:val="0"/>
          <w:color w:val="000000"/>
          <w:spacing w:val="0"/>
          <w:kern w:val="0"/>
          <w:sz w:val="32"/>
          <w:szCs w:val="32"/>
          <w:u w:val="none"/>
          <w:lang w:val="en-US" w:eastAsia="zh-CN" w:bidi="ar-SA"/>
        </w:rPr>
      </w:pPr>
      <w:r>
        <w:rPr>
          <w:rFonts w:hint="eastAsia" w:ascii="楷体_GB2312" w:hAnsi="楷体_GB2312" w:eastAsia="楷体_GB2312" w:cs="楷体_GB2312"/>
          <w:b/>
          <w:bCs/>
          <w:color w:val="000000"/>
          <w:spacing w:val="0"/>
          <w:kern w:val="0"/>
          <w:sz w:val="32"/>
          <w:szCs w:val="32"/>
          <w:lang w:val="en-US" w:eastAsia="zh-CN" w:bidi="ar-SA"/>
        </w:rPr>
        <w:t>全域旅游示范区：</w:t>
      </w:r>
      <w:r>
        <w:rPr>
          <w:rFonts w:hint="eastAsia" w:ascii="Times New Roman" w:hAnsi="Times New Roman" w:eastAsia="仿宋_GB2312" w:cs="仿宋_GB2312"/>
          <w:b w:val="0"/>
          <w:bCs w:val="0"/>
          <w:color w:val="000000"/>
          <w:spacing w:val="0"/>
          <w:kern w:val="0"/>
          <w:sz w:val="32"/>
          <w:szCs w:val="32"/>
          <w:u w:val="none"/>
          <w:lang w:val="en-US" w:eastAsia="zh-CN" w:bidi="ar-SA"/>
        </w:rPr>
        <w:t>以旅游业为优势主导产业，实现区域资源有机整合、产业深度融合发展和全社会共同参与，通过旅游业带动乃至于统领经济社会全面发展的一种新的区域旅游发展理念和模式。</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Times New Roman" w:hAnsi="Times New Roman" w:eastAsia="仿宋_GB2312" w:cs="仿宋_GB2312"/>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bidi="ar-SA"/>
        </w:rPr>
        <w:t>八小工程：</w:t>
      </w:r>
      <w:r>
        <w:rPr>
          <w:rFonts w:hint="eastAsia" w:ascii="Times New Roman" w:hAnsi="Times New Roman" w:eastAsia="仿宋_GB2312" w:cs="仿宋_GB2312"/>
          <w:spacing w:val="0"/>
          <w:kern w:val="0"/>
          <w:sz w:val="32"/>
          <w:szCs w:val="32"/>
          <w:lang w:val="en-US" w:eastAsia="zh-CN"/>
        </w:rPr>
        <w:t>小公约、小民主、小服务、小调解、小平安、小乡贤、小名人、小家训。</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Times New Roman" w:hAnsi="Times New Roman" w:eastAsia="仿宋_GB2312" w:cs="仿宋_GB2312"/>
          <w:b/>
          <w:bCs/>
          <w:color w:val="000000"/>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bidi="ar-SA"/>
        </w:rPr>
        <w:t>三保：</w:t>
      </w:r>
      <w:r>
        <w:rPr>
          <w:rFonts w:hint="eastAsia" w:ascii="Times New Roman" w:hAnsi="Times New Roman" w:eastAsia="仿宋_GB2312" w:cs="仿宋_GB2312"/>
          <w:spacing w:val="0"/>
          <w:kern w:val="0"/>
          <w:sz w:val="32"/>
          <w:szCs w:val="32"/>
        </w:rPr>
        <w:t>保基本民生、保工资、保运转</w:t>
      </w:r>
      <w:r>
        <w:rPr>
          <w:rFonts w:hint="eastAsia" w:ascii="Times New Roman" w:hAnsi="Times New Roman" w:eastAsia="仿宋_GB2312" w:cs="仿宋_GB2312"/>
          <w:spacing w:val="0"/>
          <w:kern w:val="0"/>
          <w:sz w:val="32"/>
          <w:szCs w:val="32"/>
          <w:lang w:eastAsia="zh-CN"/>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576" w:lineRule="exact"/>
        <w:ind w:firstLine="643" w:firstLineChars="200"/>
        <w:jc w:val="both"/>
        <w:textAlignment w:val="auto"/>
        <w:rPr>
          <w:rFonts w:hint="eastAsia" w:ascii="Times New Roman" w:hAnsi="Times New Roman" w:eastAsia="仿宋_GB2312" w:cs="仿宋_GB2312"/>
          <w:b/>
          <w:bCs/>
          <w:color w:val="000000"/>
          <w:spacing w:val="0"/>
          <w:kern w:val="0"/>
          <w:sz w:val="32"/>
          <w:szCs w:val="32"/>
          <w:highlight w:val="yellow"/>
          <w:u w:val="none"/>
          <w:lang w:val="en-US" w:eastAsia="zh-CN" w:bidi="ar-SA"/>
        </w:rPr>
      </w:pPr>
      <w:r>
        <w:rPr>
          <w:rFonts w:hint="eastAsia" w:ascii="楷体_GB2312" w:hAnsi="楷体_GB2312" w:eastAsia="楷体_GB2312" w:cs="楷体_GB2312"/>
          <w:b/>
          <w:bCs/>
          <w:color w:val="000000"/>
          <w:spacing w:val="0"/>
          <w:kern w:val="0"/>
          <w:sz w:val="32"/>
          <w:szCs w:val="32"/>
          <w:lang w:val="en-US" w:eastAsia="zh-CN" w:bidi="ar-SA"/>
        </w:rPr>
        <w:t>“四强”产业：</w:t>
      </w:r>
      <w:r>
        <w:rPr>
          <w:rFonts w:hint="eastAsia" w:ascii="Times New Roman" w:hAnsi="Times New Roman" w:eastAsia="仿宋_GB2312" w:cs="仿宋_GB2312"/>
          <w:b w:val="0"/>
          <w:bCs w:val="0"/>
          <w:color w:val="000000"/>
          <w:spacing w:val="0"/>
          <w:kern w:val="0"/>
          <w:sz w:val="32"/>
          <w:szCs w:val="32"/>
          <w:u w:val="none"/>
          <w:lang w:val="en-US" w:eastAsia="zh-CN" w:bidi="ar-SA"/>
        </w:rPr>
        <w:t>新材料、智能装备</w:t>
      </w:r>
      <w:r>
        <w:rPr>
          <w:rFonts w:hint="eastAsia" w:ascii="Times New Roman" w:hAnsi="Times New Roman" w:eastAsia="仿宋_GB2312" w:cs="仿宋_GB2312"/>
          <w:color w:val="000000"/>
          <w:spacing w:val="0"/>
          <w:kern w:val="0"/>
          <w:sz w:val="32"/>
          <w:szCs w:val="32"/>
          <w:lang w:val="en-US" w:eastAsia="zh-CN"/>
        </w:rPr>
        <w:t>制造</w:t>
      </w:r>
      <w:r>
        <w:rPr>
          <w:rFonts w:hint="eastAsia" w:ascii="Times New Roman" w:hAnsi="Times New Roman" w:eastAsia="仿宋_GB2312" w:cs="仿宋_GB2312"/>
          <w:b w:val="0"/>
          <w:bCs w:val="0"/>
          <w:color w:val="000000"/>
          <w:spacing w:val="0"/>
          <w:kern w:val="0"/>
          <w:sz w:val="32"/>
          <w:szCs w:val="32"/>
          <w:u w:val="none"/>
          <w:lang w:val="en-US" w:eastAsia="zh-CN" w:bidi="ar-SA"/>
        </w:rPr>
        <w:t>、新医药、电子信息产业。</w:t>
      </w:r>
    </w:p>
    <w:p>
      <w:pPr>
        <w:pStyle w:val="2"/>
        <w:keepNext w:val="0"/>
        <w:keepLines w:val="0"/>
        <w:pageBreakBefore w:val="0"/>
        <w:widowControl w:val="0"/>
        <w:kinsoku/>
        <w:wordWrap/>
        <w:overflowPunct/>
        <w:topLinePunct w:val="0"/>
        <w:autoSpaceDE/>
        <w:autoSpaceDN/>
        <w:bidi w:val="0"/>
        <w:adjustRightInd w:val="0"/>
        <w:snapToGrid w:val="0"/>
        <w:spacing w:after="0" w:afterLines="0" w:line="576" w:lineRule="exact"/>
        <w:ind w:firstLine="643" w:firstLineChars="200"/>
        <w:jc w:val="both"/>
        <w:textAlignment w:val="auto"/>
        <w:rPr>
          <w:rFonts w:hint="eastAsia" w:ascii="Times New Roman" w:hAnsi="Times New Roman" w:eastAsia="仿宋_GB2312" w:cs="仿宋_GB2312"/>
          <w:b w:val="0"/>
          <w:bCs w:val="0"/>
          <w:color w:val="000000"/>
          <w:spacing w:val="0"/>
          <w:kern w:val="0"/>
          <w:sz w:val="32"/>
          <w:szCs w:val="32"/>
          <w:u w:val="none"/>
          <w:lang w:val="en-US" w:eastAsia="zh-CN" w:bidi="ar-SA"/>
        </w:rPr>
      </w:pPr>
      <w:r>
        <w:rPr>
          <w:rFonts w:hint="eastAsia" w:ascii="楷体_GB2312" w:hAnsi="楷体_GB2312" w:eastAsia="楷体_GB2312" w:cs="楷体_GB2312"/>
          <w:b/>
          <w:bCs/>
          <w:color w:val="000000"/>
          <w:spacing w:val="0"/>
          <w:kern w:val="0"/>
          <w:sz w:val="32"/>
          <w:szCs w:val="32"/>
          <w:lang w:val="en-US" w:eastAsia="zh-CN" w:bidi="ar-SA"/>
        </w:rPr>
        <w:t>数字农业</w:t>
      </w:r>
      <w:r>
        <w:rPr>
          <w:rFonts w:hint="default" w:ascii="Times New Roman" w:hAnsi="Times New Roman" w:eastAsia="楷体_GB2312" w:cs="Times New Roman"/>
          <w:b/>
          <w:bCs/>
          <w:color w:val="000000"/>
          <w:spacing w:val="0"/>
          <w:kern w:val="0"/>
          <w:sz w:val="32"/>
          <w:szCs w:val="32"/>
          <w:lang w:val="en-US" w:eastAsia="zh-CN" w:bidi="ar-SA"/>
        </w:rPr>
        <w:t>3.0</w:t>
      </w:r>
      <w:r>
        <w:rPr>
          <w:rFonts w:hint="eastAsia" w:ascii="楷体_GB2312" w:hAnsi="楷体_GB2312" w:eastAsia="楷体_GB2312" w:cs="楷体_GB2312"/>
          <w:b/>
          <w:bCs/>
          <w:color w:val="000000"/>
          <w:spacing w:val="0"/>
          <w:kern w:val="0"/>
          <w:sz w:val="32"/>
          <w:szCs w:val="32"/>
          <w:lang w:val="en-US" w:eastAsia="zh-CN" w:bidi="ar-SA"/>
        </w:rPr>
        <w:t>计划：</w:t>
      </w:r>
      <w:r>
        <w:rPr>
          <w:rFonts w:hint="eastAsia" w:ascii="Times New Roman" w:hAnsi="Times New Roman" w:eastAsia="仿宋_GB2312" w:cs="仿宋_GB2312"/>
          <w:b w:val="0"/>
          <w:bCs w:val="0"/>
          <w:color w:val="000000"/>
          <w:spacing w:val="0"/>
          <w:kern w:val="0"/>
          <w:sz w:val="32"/>
          <w:szCs w:val="32"/>
          <w:u w:val="none"/>
          <w:lang w:val="en-US" w:eastAsia="zh-CN" w:bidi="ar-SA"/>
        </w:rPr>
        <w:t>以互联网和现代科学技术为主要特征的农业时代。</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auto"/>
        <w:rPr>
          <w:rFonts w:hint="eastAsia" w:ascii="Times New Roman" w:hAnsi="Times New Roman" w:eastAsia="仿宋_GB2312" w:cs="仿宋_GB2312"/>
          <w:spacing w:val="0"/>
          <w:kern w:val="0"/>
          <w:sz w:val="32"/>
          <w:szCs w:val="32"/>
          <w:lang w:eastAsia="zh-CN"/>
        </w:rPr>
      </w:pPr>
      <w:r>
        <w:rPr>
          <w:rFonts w:hint="eastAsia" w:ascii="楷体_GB2312" w:hAnsi="楷体_GB2312" w:eastAsia="楷体_GB2312" w:cs="楷体_GB2312"/>
          <w:b/>
          <w:bCs/>
          <w:color w:val="000000"/>
          <w:spacing w:val="0"/>
          <w:kern w:val="0"/>
          <w:sz w:val="32"/>
          <w:szCs w:val="32"/>
          <w:lang w:val="en-US" w:eastAsia="zh-CN"/>
        </w:rPr>
        <w:t>关心关爱企业家“十条措施”：</w:t>
      </w:r>
      <w:r>
        <w:rPr>
          <w:rFonts w:hint="eastAsia" w:ascii="Times New Roman" w:hAnsi="Times New Roman" w:eastAsia="仿宋_GB2312" w:cs="仿宋_GB2312"/>
          <w:spacing w:val="0"/>
          <w:kern w:val="0"/>
          <w:sz w:val="32"/>
          <w:szCs w:val="32"/>
        </w:rPr>
        <w:t>各级</w:t>
      </w:r>
      <w:r>
        <w:rPr>
          <w:rFonts w:hint="eastAsia" w:ascii="Times New Roman" w:hAnsi="Times New Roman" w:eastAsia="仿宋_GB2312" w:cs="仿宋_GB2312"/>
          <w:spacing w:val="0"/>
          <w:kern w:val="0"/>
          <w:sz w:val="32"/>
          <w:szCs w:val="32"/>
          <w:lang w:eastAsia="zh-CN"/>
        </w:rPr>
        <w:t>干部</w:t>
      </w:r>
      <w:r>
        <w:rPr>
          <w:rFonts w:hint="eastAsia" w:ascii="Times New Roman" w:hAnsi="Times New Roman" w:eastAsia="仿宋_GB2312" w:cs="仿宋_GB2312"/>
          <w:spacing w:val="0"/>
          <w:kern w:val="0"/>
          <w:sz w:val="32"/>
          <w:szCs w:val="32"/>
        </w:rPr>
        <w:t>大胆为企业</w:t>
      </w:r>
      <w:r>
        <w:rPr>
          <w:rFonts w:hint="eastAsia" w:ascii="Times New Roman" w:hAnsi="Times New Roman" w:eastAsia="仿宋_GB2312" w:cs="仿宋_GB2312"/>
          <w:spacing w:val="0"/>
          <w:kern w:val="0"/>
          <w:sz w:val="32"/>
          <w:szCs w:val="32"/>
          <w:lang w:eastAsia="zh-CN"/>
        </w:rPr>
        <w:t>“</w:t>
      </w:r>
      <w:r>
        <w:rPr>
          <w:rFonts w:hint="eastAsia" w:ascii="Times New Roman" w:hAnsi="Times New Roman" w:eastAsia="仿宋_GB2312" w:cs="仿宋_GB2312"/>
          <w:spacing w:val="0"/>
          <w:kern w:val="0"/>
          <w:sz w:val="32"/>
          <w:szCs w:val="32"/>
        </w:rPr>
        <w:t>站台</w:t>
      </w:r>
      <w:r>
        <w:rPr>
          <w:rFonts w:hint="eastAsia" w:ascii="Times New Roman" w:hAnsi="Times New Roman" w:eastAsia="仿宋_GB2312" w:cs="仿宋_GB2312"/>
          <w:spacing w:val="0"/>
          <w:kern w:val="0"/>
          <w:sz w:val="32"/>
          <w:szCs w:val="32"/>
          <w:lang w:eastAsia="zh-CN"/>
        </w:rPr>
        <w:t>”，</w:t>
      </w:r>
      <w:r>
        <w:rPr>
          <w:rFonts w:hint="eastAsia" w:ascii="Times New Roman" w:hAnsi="Times New Roman" w:eastAsia="仿宋_GB2312" w:cs="仿宋_GB2312"/>
          <w:spacing w:val="0"/>
          <w:kern w:val="0"/>
          <w:sz w:val="32"/>
          <w:szCs w:val="32"/>
        </w:rPr>
        <w:t>建立</w:t>
      </w:r>
      <w:r>
        <w:rPr>
          <w:rFonts w:hint="eastAsia" w:ascii="Times New Roman" w:hAnsi="Times New Roman" w:eastAsia="仿宋_GB2312" w:cs="仿宋_GB2312"/>
          <w:spacing w:val="0"/>
          <w:kern w:val="0"/>
          <w:sz w:val="32"/>
          <w:szCs w:val="32"/>
          <w:lang w:eastAsia="zh-CN"/>
        </w:rPr>
        <w:t>“市</w:t>
      </w:r>
      <w:r>
        <w:rPr>
          <w:rFonts w:hint="eastAsia" w:ascii="Times New Roman" w:hAnsi="Times New Roman" w:eastAsia="仿宋_GB2312" w:cs="仿宋_GB2312"/>
          <w:spacing w:val="0"/>
          <w:kern w:val="0"/>
          <w:sz w:val="32"/>
          <w:szCs w:val="32"/>
        </w:rPr>
        <w:t>级领导担任服务重点企业联络员</w:t>
      </w:r>
      <w:r>
        <w:rPr>
          <w:rFonts w:hint="eastAsia" w:ascii="Times New Roman" w:hAnsi="Times New Roman" w:eastAsia="仿宋_GB2312" w:cs="仿宋_GB2312"/>
          <w:spacing w:val="0"/>
          <w:kern w:val="0"/>
          <w:sz w:val="32"/>
          <w:szCs w:val="32"/>
          <w:lang w:eastAsia="zh-CN"/>
        </w:rPr>
        <w:t>”</w:t>
      </w:r>
      <w:r>
        <w:rPr>
          <w:rFonts w:hint="eastAsia" w:ascii="Times New Roman" w:hAnsi="Times New Roman" w:eastAsia="仿宋_GB2312" w:cs="仿宋_GB2312"/>
          <w:spacing w:val="0"/>
          <w:kern w:val="0"/>
          <w:sz w:val="32"/>
          <w:szCs w:val="32"/>
        </w:rPr>
        <w:t>制度</w:t>
      </w:r>
      <w:r>
        <w:rPr>
          <w:rFonts w:hint="eastAsia" w:ascii="Times New Roman" w:hAnsi="Times New Roman" w:eastAsia="仿宋_GB2312" w:cs="仿宋_GB2312"/>
          <w:spacing w:val="0"/>
          <w:kern w:val="0"/>
          <w:sz w:val="32"/>
          <w:szCs w:val="32"/>
          <w:lang w:eastAsia="zh-CN"/>
        </w:rPr>
        <w:t>，</w:t>
      </w:r>
      <w:r>
        <w:rPr>
          <w:rFonts w:hint="eastAsia" w:ascii="Times New Roman" w:hAnsi="Times New Roman" w:eastAsia="仿宋_GB2312" w:cs="仿宋_GB2312"/>
          <w:spacing w:val="0"/>
          <w:kern w:val="0"/>
          <w:sz w:val="32"/>
          <w:szCs w:val="32"/>
        </w:rPr>
        <w:t>每年组织企业评议部门优劣</w:t>
      </w:r>
      <w:r>
        <w:rPr>
          <w:rFonts w:hint="eastAsia" w:ascii="Times New Roman" w:hAnsi="Times New Roman" w:eastAsia="仿宋_GB2312" w:cs="仿宋_GB2312"/>
          <w:spacing w:val="0"/>
          <w:kern w:val="0"/>
          <w:sz w:val="32"/>
          <w:szCs w:val="32"/>
          <w:lang w:eastAsia="zh-CN"/>
        </w:rPr>
        <w:t>，</w:t>
      </w:r>
      <w:r>
        <w:rPr>
          <w:rFonts w:hint="eastAsia" w:ascii="Times New Roman" w:hAnsi="Times New Roman" w:eastAsia="仿宋_GB2312" w:cs="仿宋_GB2312"/>
          <w:spacing w:val="0"/>
          <w:kern w:val="0"/>
          <w:sz w:val="32"/>
          <w:szCs w:val="32"/>
        </w:rPr>
        <w:t>建立公务人员</w:t>
      </w:r>
      <w:r>
        <w:rPr>
          <w:rFonts w:hint="eastAsia" w:ascii="Times New Roman" w:hAnsi="Times New Roman" w:eastAsia="仿宋_GB2312" w:cs="仿宋_GB2312"/>
          <w:spacing w:val="0"/>
          <w:kern w:val="0"/>
          <w:sz w:val="32"/>
          <w:szCs w:val="32"/>
          <w:lang w:eastAsia="zh-CN"/>
        </w:rPr>
        <w:t>“</w:t>
      </w:r>
      <w:r>
        <w:rPr>
          <w:rFonts w:hint="eastAsia" w:ascii="Times New Roman" w:hAnsi="Times New Roman" w:eastAsia="仿宋_GB2312" w:cs="仿宋_GB2312"/>
          <w:spacing w:val="0"/>
          <w:kern w:val="0"/>
          <w:sz w:val="32"/>
          <w:szCs w:val="32"/>
        </w:rPr>
        <w:t>污点</w:t>
      </w:r>
      <w:r>
        <w:rPr>
          <w:rFonts w:hint="eastAsia" w:ascii="Times New Roman" w:hAnsi="Times New Roman" w:eastAsia="仿宋_GB2312" w:cs="仿宋_GB2312"/>
          <w:spacing w:val="0"/>
          <w:kern w:val="0"/>
          <w:sz w:val="32"/>
          <w:szCs w:val="32"/>
          <w:lang w:eastAsia="zh-CN"/>
        </w:rPr>
        <w:t>”</w:t>
      </w:r>
      <w:r>
        <w:rPr>
          <w:rFonts w:hint="eastAsia" w:ascii="Times New Roman" w:hAnsi="Times New Roman" w:eastAsia="仿宋_GB2312" w:cs="仿宋_GB2312"/>
          <w:spacing w:val="0"/>
          <w:kern w:val="0"/>
          <w:sz w:val="32"/>
          <w:szCs w:val="32"/>
        </w:rPr>
        <w:t>记录惩戒机制</w:t>
      </w:r>
      <w:r>
        <w:rPr>
          <w:rFonts w:hint="eastAsia" w:ascii="Times New Roman" w:hAnsi="Times New Roman" w:eastAsia="仿宋_GB2312" w:cs="仿宋_GB2312"/>
          <w:spacing w:val="0"/>
          <w:kern w:val="0"/>
          <w:sz w:val="32"/>
          <w:szCs w:val="32"/>
          <w:lang w:eastAsia="zh-CN"/>
        </w:rPr>
        <w:t>，</w:t>
      </w:r>
      <w:r>
        <w:rPr>
          <w:rFonts w:hint="eastAsia" w:ascii="Times New Roman" w:hAnsi="Times New Roman" w:eastAsia="仿宋_GB2312" w:cs="仿宋_GB2312"/>
          <w:spacing w:val="0"/>
          <w:kern w:val="0"/>
          <w:sz w:val="32"/>
          <w:szCs w:val="32"/>
        </w:rPr>
        <w:t>建立企业免检免扰制度</w:t>
      </w:r>
      <w:r>
        <w:rPr>
          <w:rFonts w:hint="eastAsia" w:ascii="Times New Roman" w:hAnsi="Times New Roman" w:eastAsia="仿宋_GB2312" w:cs="仿宋_GB2312"/>
          <w:spacing w:val="0"/>
          <w:kern w:val="0"/>
          <w:sz w:val="32"/>
          <w:szCs w:val="32"/>
          <w:lang w:eastAsia="zh-CN"/>
        </w:rPr>
        <w:t>，</w:t>
      </w:r>
      <w:r>
        <w:rPr>
          <w:rFonts w:hint="eastAsia" w:ascii="Times New Roman" w:hAnsi="Times New Roman" w:eastAsia="仿宋_GB2312" w:cs="仿宋_GB2312"/>
          <w:spacing w:val="0"/>
          <w:kern w:val="0"/>
          <w:sz w:val="32"/>
          <w:szCs w:val="32"/>
        </w:rPr>
        <w:t>实行涉企检查罚款一口登记备案</w:t>
      </w:r>
      <w:r>
        <w:rPr>
          <w:rFonts w:hint="eastAsia" w:ascii="Times New Roman" w:hAnsi="Times New Roman" w:eastAsia="仿宋_GB2312" w:cs="仿宋_GB2312"/>
          <w:spacing w:val="0"/>
          <w:kern w:val="0"/>
          <w:sz w:val="32"/>
          <w:szCs w:val="32"/>
          <w:lang w:eastAsia="zh-CN"/>
        </w:rPr>
        <w:t>，</w:t>
      </w:r>
      <w:r>
        <w:rPr>
          <w:rFonts w:hint="eastAsia" w:ascii="Times New Roman" w:hAnsi="Times New Roman" w:eastAsia="仿宋_GB2312" w:cs="仿宋_GB2312"/>
          <w:spacing w:val="0"/>
          <w:kern w:val="0"/>
          <w:sz w:val="32"/>
          <w:szCs w:val="32"/>
        </w:rPr>
        <w:t>建立企业家容错纠错机制</w:t>
      </w:r>
      <w:r>
        <w:rPr>
          <w:rFonts w:hint="eastAsia" w:ascii="Times New Roman" w:hAnsi="Times New Roman" w:eastAsia="仿宋_GB2312" w:cs="仿宋_GB2312"/>
          <w:spacing w:val="0"/>
          <w:kern w:val="0"/>
          <w:sz w:val="32"/>
          <w:szCs w:val="32"/>
          <w:lang w:eastAsia="zh-CN"/>
        </w:rPr>
        <w:t>，</w:t>
      </w:r>
      <w:r>
        <w:rPr>
          <w:rFonts w:hint="eastAsia" w:ascii="Times New Roman" w:hAnsi="Times New Roman" w:eastAsia="仿宋_GB2312" w:cs="仿宋_GB2312"/>
          <w:spacing w:val="0"/>
          <w:kern w:val="0"/>
          <w:sz w:val="32"/>
          <w:szCs w:val="32"/>
        </w:rPr>
        <w:t>依法挽救陷入担保圈困境的优质企业</w:t>
      </w:r>
      <w:r>
        <w:rPr>
          <w:rFonts w:hint="eastAsia" w:ascii="Times New Roman" w:hAnsi="Times New Roman" w:eastAsia="仿宋_GB2312" w:cs="仿宋_GB2312"/>
          <w:spacing w:val="0"/>
          <w:kern w:val="0"/>
          <w:sz w:val="32"/>
          <w:szCs w:val="32"/>
          <w:lang w:eastAsia="zh-CN"/>
        </w:rPr>
        <w:t>，</w:t>
      </w:r>
      <w:r>
        <w:rPr>
          <w:rFonts w:hint="eastAsia" w:ascii="Times New Roman" w:hAnsi="Times New Roman" w:eastAsia="仿宋_GB2312" w:cs="仿宋_GB2312"/>
          <w:spacing w:val="0"/>
          <w:kern w:val="0"/>
          <w:sz w:val="32"/>
          <w:szCs w:val="32"/>
        </w:rPr>
        <w:t>开通优秀企业家绿色服务通道</w:t>
      </w:r>
      <w:r>
        <w:rPr>
          <w:rFonts w:hint="eastAsia" w:ascii="Times New Roman" w:hAnsi="Times New Roman" w:eastAsia="仿宋_GB2312" w:cs="仿宋_GB2312"/>
          <w:spacing w:val="0"/>
          <w:kern w:val="0"/>
          <w:sz w:val="32"/>
          <w:szCs w:val="32"/>
          <w:lang w:eastAsia="zh-CN"/>
        </w:rPr>
        <w:t>，</w:t>
      </w:r>
      <w:r>
        <w:rPr>
          <w:rFonts w:hint="eastAsia" w:ascii="Times New Roman" w:hAnsi="Times New Roman" w:eastAsia="仿宋_GB2312" w:cs="仿宋_GB2312"/>
          <w:spacing w:val="0"/>
          <w:kern w:val="0"/>
          <w:sz w:val="32"/>
          <w:szCs w:val="32"/>
        </w:rPr>
        <w:t>提升企业家政治荣誉感</w:t>
      </w:r>
      <w:r>
        <w:rPr>
          <w:rFonts w:hint="eastAsia" w:ascii="Times New Roman" w:hAnsi="Times New Roman" w:eastAsia="仿宋_GB2312" w:cs="仿宋_GB2312"/>
          <w:spacing w:val="0"/>
          <w:kern w:val="0"/>
          <w:sz w:val="32"/>
          <w:szCs w:val="32"/>
          <w:lang w:eastAsia="zh-CN"/>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576" w:lineRule="exact"/>
        <w:ind w:firstLine="643" w:firstLineChars="200"/>
        <w:jc w:val="both"/>
        <w:textAlignment w:val="auto"/>
        <w:rPr>
          <w:rFonts w:hint="eastAsia" w:ascii="Times New Roman" w:hAnsi="Times New Roman" w:eastAsia="仿宋_GB2312" w:cs="仿宋_GB2312"/>
          <w:b/>
          <w:bCs/>
          <w:color w:val="000000"/>
          <w:spacing w:val="0"/>
          <w:kern w:val="0"/>
          <w:sz w:val="32"/>
          <w:szCs w:val="32"/>
          <w:u w:val="none"/>
          <w:lang w:val="en-US" w:eastAsia="zh-CN" w:bidi="ar-SA"/>
        </w:rPr>
      </w:pPr>
      <w:r>
        <w:rPr>
          <w:rFonts w:hint="eastAsia" w:ascii="楷体_GB2312" w:hAnsi="楷体_GB2312" w:eastAsia="楷体_GB2312" w:cs="楷体_GB2312"/>
          <w:b/>
          <w:bCs/>
          <w:color w:val="000000"/>
          <w:spacing w:val="0"/>
          <w:kern w:val="0"/>
          <w:sz w:val="32"/>
          <w:szCs w:val="32"/>
          <w:lang w:val="en-US" w:eastAsia="zh-CN" w:bidi="ar-SA"/>
        </w:rPr>
        <w:t>“六个一”平台：</w:t>
      </w:r>
      <w:r>
        <w:rPr>
          <w:rFonts w:hint="eastAsia" w:ascii="Times New Roman" w:hAnsi="Times New Roman" w:eastAsia="仿宋_GB2312" w:cs="仿宋_GB2312"/>
          <w:b w:val="0"/>
          <w:bCs w:val="0"/>
          <w:color w:val="000000"/>
          <w:spacing w:val="0"/>
          <w:kern w:val="0"/>
          <w:sz w:val="32"/>
          <w:szCs w:val="32"/>
          <w:u w:val="none"/>
          <w:lang w:val="en-US" w:eastAsia="zh-CN" w:bidi="ar-SA"/>
        </w:rPr>
        <w:t>围绕一个科创产业、创设一个产业展示中心、组建一支专业团队、确定一个园区承载、引进一组产业基金、制定一套个性化政策。</w:t>
      </w:r>
    </w:p>
    <w:p>
      <w:pPr>
        <w:pStyle w:val="2"/>
        <w:keepNext w:val="0"/>
        <w:keepLines w:val="0"/>
        <w:pageBreakBefore w:val="0"/>
        <w:widowControl w:val="0"/>
        <w:kinsoku/>
        <w:wordWrap/>
        <w:overflowPunct/>
        <w:topLinePunct w:val="0"/>
        <w:autoSpaceDE/>
        <w:autoSpaceDN/>
        <w:bidi w:val="0"/>
        <w:adjustRightInd w:val="0"/>
        <w:snapToGrid w:val="0"/>
        <w:spacing w:after="0" w:afterLines="0" w:line="576" w:lineRule="exact"/>
        <w:ind w:firstLine="643" w:firstLineChars="200"/>
        <w:jc w:val="both"/>
        <w:textAlignment w:val="auto"/>
        <w:rPr>
          <w:rFonts w:hint="eastAsia" w:ascii="Times New Roman" w:hAnsi="Times New Roman" w:eastAsia="仿宋_GB2312" w:cs="仿宋_GB2312"/>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bidi="ar-SA"/>
        </w:rPr>
        <w:t>人才金政</w:t>
      </w:r>
      <w:r>
        <w:rPr>
          <w:rFonts w:hint="eastAsia" w:ascii="Times New Roman" w:hAnsi="Times New Roman" w:eastAsia="仿宋_GB2312" w:cs="仿宋_GB2312"/>
          <w:b/>
          <w:bCs/>
          <w:color w:val="000000"/>
          <w:spacing w:val="0"/>
          <w:kern w:val="0"/>
          <w:sz w:val="32"/>
          <w:szCs w:val="32"/>
          <w:u w:val="none"/>
          <w:lang w:val="en-US" w:eastAsia="zh-CN" w:bidi="ar-SA"/>
        </w:rPr>
        <w:t>37</w:t>
      </w:r>
      <w:r>
        <w:rPr>
          <w:rFonts w:hint="eastAsia" w:ascii="楷体_GB2312" w:hAnsi="楷体_GB2312" w:eastAsia="楷体_GB2312" w:cs="楷体_GB2312"/>
          <w:b/>
          <w:bCs/>
          <w:color w:val="000000"/>
          <w:spacing w:val="0"/>
          <w:kern w:val="0"/>
          <w:sz w:val="32"/>
          <w:szCs w:val="32"/>
          <w:lang w:val="en-US" w:eastAsia="zh-CN" w:bidi="ar-SA"/>
        </w:rPr>
        <w:t>条：</w:t>
      </w:r>
      <w:r>
        <w:rPr>
          <w:rFonts w:hint="eastAsia" w:ascii="Times New Roman" w:hAnsi="Times New Roman" w:eastAsia="仿宋_GB2312" w:cs="仿宋_GB2312"/>
          <w:b w:val="0"/>
          <w:bCs w:val="0"/>
          <w:color w:val="000000"/>
          <w:spacing w:val="0"/>
          <w:kern w:val="0"/>
          <w:sz w:val="32"/>
          <w:szCs w:val="32"/>
          <w:u w:val="none"/>
          <w:lang w:val="en-US" w:eastAsia="zh-CN" w:bidi="ar-SA"/>
        </w:rPr>
        <w:t>市委组织部、市委编办、市科技局、市工业和信息化局、市财政局、市人力资源社会保障局联合出台的《进一步加强新形势下引才用才工作的若干措施》，包括5个方面、37条措施。</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Times New Roman" w:hAnsi="Times New Roman" w:eastAsia="仿宋_GB2312" w:cs="仿宋_GB2312"/>
          <w:b/>
          <w:bCs/>
          <w:color w:val="000000"/>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rPr>
        <w:t>宅基地“三权分置”改革：</w:t>
      </w:r>
      <w:r>
        <w:rPr>
          <w:rFonts w:hint="eastAsia" w:ascii="Times New Roman" w:hAnsi="Times New Roman" w:eastAsia="仿宋_GB2312" w:cs="仿宋_GB2312"/>
          <w:spacing w:val="0"/>
          <w:kern w:val="0"/>
          <w:sz w:val="32"/>
          <w:szCs w:val="32"/>
          <w:u w:val="none"/>
          <w:lang w:val="en-US" w:eastAsia="zh-CN"/>
        </w:rPr>
        <w:t>探</w:t>
      </w:r>
      <w:r>
        <w:rPr>
          <w:rFonts w:hint="eastAsia" w:ascii="Times New Roman" w:hAnsi="Times New Roman" w:eastAsia="仿宋_GB2312" w:cs="仿宋_GB2312"/>
          <w:spacing w:val="0"/>
          <w:kern w:val="0"/>
          <w:sz w:val="32"/>
          <w:szCs w:val="32"/>
          <w:lang w:val="en-US" w:eastAsia="zh-CN"/>
        </w:rPr>
        <w:t>索宅基地所有权、资格权、使用权“三权分置”，落实宅基地集体所有权，保障宅基地农户资格权和农民房屋财产权，适度放活宅基地和农民房屋使用权。</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Times New Roman" w:hAnsi="Times New Roman" w:eastAsia="仿宋_GB2312" w:cs="仿宋_GB2312"/>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rPr>
        <w:t>“四不摘”要求：</w:t>
      </w:r>
      <w:r>
        <w:rPr>
          <w:rFonts w:hint="eastAsia" w:ascii="Times New Roman" w:hAnsi="Times New Roman" w:eastAsia="仿宋_GB2312" w:cs="仿宋_GB2312"/>
          <w:spacing w:val="0"/>
          <w:kern w:val="0"/>
          <w:sz w:val="32"/>
          <w:szCs w:val="32"/>
          <w:lang w:val="en-US" w:eastAsia="zh-CN"/>
        </w:rPr>
        <w:t>摘帽不摘责任、摘帽不摘政策、摘帽不摘帮扶、摘帽不摘监管。</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Times New Roman" w:hAnsi="Times New Roman" w:eastAsia="仿宋_GB2312" w:cs="仿宋_GB2312"/>
          <w:b w:val="0"/>
          <w:bCs w:val="0"/>
          <w:color w:val="000000"/>
          <w:spacing w:val="0"/>
          <w:kern w:val="0"/>
          <w:sz w:val="32"/>
          <w:szCs w:val="32"/>
          <w:u w:val="none"/>
          <w:lang w:val="en-US" w:eastAsia="zh-CN" w:bidi="ar-SA"/>
        </w:rPr>
      </w:pPr>
      <w:r>
        <w:rPr>
          <w:rFonts w:hint="eastAsia" w:ascii="楷体_GB2312" w:hAnsi="楷体_GB2312" w:eastAsia="楷体_GB2312" w:cs="楷体_GB2312"/>
          <w:b/>
          <w:bCs/>
          <w:color w:val="000000"/>
          <w:spacing w:val="0"/>
          <w:kern w:val="0"/>
          <w:sz w:val="32"/>
          <w:szCs w:val="32"/>
          <w:lang w:val="en-US" w:eastAsia="zh-CN"/>
        </w:rPr>
        <w:t>文明城市创建“五项机制”：</w:t>
      </w:r>
      <w:r>
        <w:rPr>
          <w:rFonts w:hint="eastAsia" w:ascii="Times New Roman" w:hAnsi="Times New Roman" w:eastAsia="仿宋_GB2312" w:cs="仿宋_GB2312"/>
          <w:b w:val="0"/>
          <w:bCs w:val="0"/>
          <w:color w:val="000000"/>
          <w:spacing w:val="0"/>
          <w:kern w:val="0"/>
          <w:sz w:val="32"/>
          <w:szCs w:val="32"/>
          <w:u w:val="none"/>
          <w:lang w:val="en-US" w:eastAsia="zh-CN" w:bidi="ar-SA"/>
        </w:rPr>
        <w:t>指区领导挂包和文明单位下沉机制、示范引领机制、问题导向机制、网格化管理机制、督察考核机制和志愿服务认领机制。</w:t>
      </w:r>
    </w:p>
    <w:p>
      <w:pPr>
        <w:pStyle w:val="2"/>
        <w:keepNext w:val="0"/>
        <w:keepLines w:val="0"/>
        <w:pageBreakBefore w:val="0"/>
        <w:widowControl w:val="0"/>
        <w:kinsoku/>
        <w:wordWrap/>
        <w:overflowPunct/>
        <w:topLinePunct w:val="0"/>
        <w:autoSpaceDE/>
        <w:autoSpaceDN/>
        <w:bidi w:val="0"/>
        <w:adjustRightInd w:val="0"/>
        <w:snapToGrid w:val="0"/>
        <w:spacing w:after="0" w:afterLines="0" w:line="576" w:lineRule="exact"/>
        <w:ind w:firstLine="643" w:firstLineChars="200"/>
        <w:jc w:val="both"/>
        <w:textAlignment w:val="auto"/>
        <w:rPr>
          <w:rFonts w:hint="eastAsia" w:ascii="Times New Roman" w:hAnsi="Times New Roman" w:eastAsia="仿宋_GB2312" w:cs="仿宋_GB2312"/>
          <w:b w:val="0"/>
          <w:bCs w:val="0"/>
          <w:color w:val="000000"/>
          <w:spacing w:val="0"/>
          <w:kern w:val="0"/>
          <w:sz w:val="32"/>
          <w:szCs w:val="32"/>
          <w:u w:val="none"/>
          <w:lang w:val="en-US" w:eastAsia="zh-CN" w:bidi="ar-SA"/>
        </w:rPr>
      </w:pPr>
      <w:r>
        <w:rPr>
          <w:rFonts w:hint="eastAsia" w:ascii="楷体_GB2312" w:hAnsi="楷体_GB2312" w:eastAsia="楷体_GB2312" w:cs="楷体_GB2312"/>
          <w:b/>
          <w:bCs/>
          <w:color w:val="000000"/>
          <w:spacing w:val="0"/>
          <w:kern w:val="0"/>
          <w:sz w:val="32"/>
          <w:szCs w:val="32"/>
          <w:lang w:val="en-US" w:eastAsia="zh-CN" w:bidi="ar-SA"/>
        </w:rPr>
        <w:t>智慧环保：</w:t>
      </w:r>
      <w:r>
        <w:rPr>
          <w:rFonts w:hint="eastAsia" w:ascii="Times New Roman" w:hAnsi="Times New Roman" w:eastAsia="仿宋_GB2312" w:cs="仿宋_GB2312"/>
          <w:b w:val="0"/>
          <w:bCs w:val="0"/>
          <w:color w:val="000000"/>
          <w:spacing w:val="0"/>
          <w:kern w:val="0"/>
          <w:sz w:val="32"/>
          <w:szCs w:val="32"/>
          <w:u w:val="none"/>
          <w:lang w:val="en-US" w:eastAsia="zh-CN" w:bidi="ar-SA"/>
        </w:rPr>
        <w:t>借助物联网技术，把感应器和装备嵌入到各种环境监控对象（物体）中，通过超级计算机和云计算将环保领域物联网整合起来，可以实现人类社会与环境业务系统的整合，以更加精细和动态的方式实现环境管理和决策的智慧。</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Times New Roman" w:hAnsi="Times New Roman" w:eastAsia="仿宋_GB2312" w:cs="仿宋_GB2312"/>
          <w:i w:val="0"/>
          <w:caps w:val="0"/>
          <w:color w:val="333333"/>
          <w:spacing w:val="0"/>
          <w:kern w:val="0"/>
          <w:sz w:val="32"/>
          <w:szCs w:val="32"/>
          <w:shd w:val="clear" w:color="auto" w:fill="FFFFFF"/>
        </w:rPr>
      </w:pPr>
      <w:r>
        <w:rPr>
          <w:rFonts w:hint="eastAsia" w:ascii="楷体_GB2312" w:hAnsi="楷体_GB2312" w:eastAsia="楷体_GB2312" w:cs="楷体_GB2312"/>
          <w:b/>
          <w:bCs/>
          <w:color w:val="000000"/>
          <w:spacing w:val="0"/>
          <w:kern w:val="0"/>
          <w:sz w:val="32"/>
          <w:szCs w:val="32"/>
          <w:lang w:val="en-US" w:eastAsia="zh-CN"/>
        </w:rPr>
        <w:t>全国义务教育优质均衡区：</w:t>
      </w:r>
      <w:r>
        <w:rPr>
          <w:rFonts w:hint="eastAsia" w:ascii="Times New Roman" w:hAnsi="Times New Roman" w:eastAsia="仿宋_GB2312" w:cs="仿宋_GB2312"/>
          <w:b w:val="0"/>
          <w:bCs w:val="0"/>
          <w:color w:val="000000"/>
          <w:spacing w:val="0"/>
          <w:kern w:val="0"/>
          <w:sz w:val="32"/>
          <w:szCs w:val="32"/>
          <w:u w:val="none"/>
          <w:lang w:val="en-US" w:eastAsia="zh-CN" w:bidi="ar-SA"/>
        </w:rPr>
        <w:t>区域内义务教育阶段学校，合理配置教育资源，全面提升教师整体素质，缩小学校、城乡、区域间教育发展差距，提升办学水平，办好每一所学校，促进每一个学生健康成长</w:t>
      </w:r>
      <w:r>
        <w:rPr>
          <w:rFonts w:hint="eastAsia" w:ascii="Times New Roman" w:hAnsi="Times New Roman" w:eastAsia="仿宋_GB2312" w:cs="仿宋_GB2312"/>
          <w:i w:val="0"/>
          <w:caps w:val="0"/>
          <w:color w:val="333333"/>
          <w:spacing w:val="0"/>
          <w:kern w:val="0"/>
          <w:sz w:val="32"/>
          <w:szCs w:val="32"/>
          <w:shd w:val="clear" w:color="auto" w:fill="FFFFFF"/>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576" w:lineRule="exact"/>
        <w:ind w:firstLine="643" w:firstLineChars="200"/>
        <w:jc w:val="both"/>
        <w:textAlignment w:val="auto"/>
        <w:rPr>
          <w:rFonts w:hint="eastAsia" w:ascii="Times New Roman" w:hAnsi="Times New Roman" w:eastAsia="仿宋_GB2312" w:cs="仿宋_GB2312"/>
          <w:spacing w:val="0"/>
          <w:kern w:val="0"/>
          <w:sz w:val="32"/>
          <w:szCs w:val="32"/>
        </w:rPr>
      </w:pPr>
      <w:r>
        <w:rPr>
          <w:rFonts w:hint="eastAsia" w:ascii="楷体_GB2312" w:hAnsi="楷体_GB2312" w:eastAsia="楷体_GB2312" w:cs="楷体_GB2312"/>
          <w:b/>
          <w:bCs/>
          <w:color w:val="000000"/>
          <w:spacing w:val="0"/>
          <w:kern w:val="0"/>
          <w:sz w:val="32"/>
          <w:szCs w:val="32"/>
          <w:lang w:val="en-US" w:eastAsia="zh-CN" w:bidi="ar-SA"/>
        </w:rPr>
        <w:t>“八五”普法：</w:t>
      </w:r>
      <w:r>
        <w:rPr>
          <w:rFonts w:hint="eastAsia" w:ascii="Times New Roman" w:hAnsi="Times New Roman" w:eastAsia="仿宋_GB2312" w:cs="仿宋_GB2312"/>
          <w:b w:val="0"/>
          <w:bCs w:val="0"/>
          <w:color w:val="000000"/>
          <w:spacing w:val="0"/>
          <w:kern w:val="0"/>
          <w:sz w:val="32"/>
          <w:szCs w:val="32"/>
          <w:u w:val="none"/>
          <w:lang w:val="en-US" w:eastAsia="zh-CN" w:bidi="ar-SA"/>
        </w:rPr>
        <w:t>八五普法是指中央宣传部、司法部关于在公民中开展法治宣传教育的第八个五年规划2021—2025年，全民普法和守法是依法治国的长期基础性工作。</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Times New Roman" w:hAnsi="Times New Roman" w:eastAsia="仿宋_GB2312" w:cs="仿宋_GB2312"/>
          <w:b w:val="0"/>
          <w:bCs w:val="0"/>
          <w:color w:val="000000"/>
          <w:spacing w:val="0"/>
          <w:kern w:val="0"/>
          <w:sz w:val="32"/>
          <w:szCs w:val="32"/>
          <w:u w:val="none"/>
          <w:lang w:val="en-US" w:eastAsia="zh-CN" w:bidi="ar-SA"/>
        </w:rPr>
      </w:pPr>
      <w:r>
        <w:rPr>
          <w:rFonts w:hint="eastAsia" w:ascii="楷体_GB2312" w:hAnsi="楷体_GB2312" w:eastAsia="楷体_GB2312" w:cs="楷体_GB2312"/>
          <w:b/>
          <w:bCs/>
          <w:color w:val="000000"/>
          <w:spacing w:val="0"/>
          <w:kern w:val="0"/>
          <w:sz w:val="32"/>
          <w:szCs w:val="32"/>
          <w:lang w:val="en-US" w:eastAsia="zh-CN"/>
        </w:rPr>
        <w:t>雪亮工程：</w:t>
      </w:r>
      <w:r>
        <w:rPr>
          <w:rFonts w:hint="eastAsia" w:ascii="Times New Roman" w:hAnsi="Times New Roman" w:eastAsia="仿宋_GB2312" w:cs="仿宋_GB2312"/>
          <w:b w:val="0"/>
          <w:bCs w:val="0"/>
          <w:color w:val="000000"/>
          <w:spacing w:val="0"/>
          <w:kern w:val="0"/>
          <w:sz w:val="32"/>
          <w:szCs w:val="32"/>
          <w:u w:val="none"/>
          <w:lang w:val="en-US" w:eastAsia="zh-CN" w:bidi="ar-SA"/>
        </w:rPr>
        <w:t>依托各级综治中心，以社会治安综合治理信息化为支撑、网格化管理为基础、公共安全视频监控联网应用为重点的群众性治安防控工程。</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Times New Roman" w:hAnsi="Times New Roman" w:eastAsia="仿宋_GB2312" w:cs="仿宋_GB2312"/>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rPr>
        <w:t>双重预防体系：</w:t>
      </w:r>
      <w:r>
        <w:rPr>
          <w:rFonts w:hint="eastAsia" w:ascii="Times New Roman" w:hAnsi="Times New Roman" w:eastAsia="仿宋_GB2312" w:cs="仿宋_GB2312"/>
          <w:spacing w:val="0"/>
          <w:kern w:val="0"/>
          <w:sz w:val="32"/>
          <w:szCs w:val="32"/>
          <w:lang w:val="en-US" w:eastAsia="zh-CN"/>
        </w:rPr>
        <w:t>风险分级管控体系和隐患排查治理体系。</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Times New Roman" w:hAnsi="Times New Roman" w:eastAsia="仿宋_GB2312" w:cs="仿宋_GB2312"/>
          <w:spacing w:val="0"/>
          <w:kern w:val="0"/>
          <w:sz w:val="32"/>
          <w:szCs w:val="32"/>
        </w:rPr>
      </w:pPr>
      <w:r>
        <w:rPr>
          <w:rFonts w:hint="eastAsia" w:ascii="楷体_GB2312" w:hAnsi="楷体_GB2312" w:eastAsia="楷体_GB2312" w:cs="楷体_GB2312"/>
          <w:b/>
          <w:bCs/>
          <w:color w:val="000000"/>
          <w:spacing w:val="0"/>
          <w:kern w:val="0"/>
          <w:sz w:val="32"/>
          <w:szCs w:val="32"/>
          <w:lang w:val="en-US" w:eastAsia="zh-CN"/>
        </w:rPr>
        <w:t>一号改革工程：</w:t>
      </w:r>
      <w:r>
        <w:rPr>
          <w:rFonts w:hint="eastAsia" w:ascii="Times New Roman" w:hAnsi="Times New Roman" w:eastAsia="仿宋_GB2312" w:cs="仿宋_GB2312"/>
          <w:spacing w:val="0"/>
          <w:kern w:val="0"/>
          <w:sz w:val="32"/>
          <w:szCs w:val="32"/>
        </w:rPr>
        <w:t>实施</w:t>
      </w:r>
      <w:r>
        <w:rPr>
          <w:rFonts w:hint="eastAsia" w:ascii="Times New Roman" w:hAnsi="Times New Roman" w:eastAsia="仿宋_GB2312" w:cs="仿宋_GB2312"/>
          <w:spacing w:val="0"/>
          <w:kern w:val="0"/>
          <w:sz w:val="32"/>
          <w:szCs w:val="32"/>
          <w:lang w:eastAsia="zh-CN"/>
        </w:rPr>
        <w:t>“</w:t>
      </w:r>
      <w:r>
        <w:rPr>
          <w:rFonts w:hint="eastAsia" w:ascii="Times New Roman" w:hAnsi="Times New Roman" w:eastAsia="仿宋_GB2312" w:cs="仿宋_GB2312"/>
          <w:spacing w:val="0"/>
          <w:kern w:val="0"/>
          <w:sz w:val="32"/>
          <w:szCs w:val="32"/>
        </w:rPr>
        <w:t>一号改革工程</w:t>
      </w:r>
      <w:r>
        <w:rPr>
          <w:rFonts w:hint="eastAsia" w:ascii="Times New Roman" w:hAnsi="Times New Roman" w:eastAsia="仿宋_GB2312" w:cs="仿宋_GB2312"/>
          <w:spacing w:val="0"/>
          <w:kern w:val="0"/>
          <w:sz w:val="32"/>
          <w:szCs w:val="32"/>
          <w:lang w:eastAsia="zh-CN"/>
        </w:rPr>
        <w:t>”</w:t>
      </w:r>
      <w:r>
        <w:rPr>
          <w:rFonts w:hint="eastAsia" w:ascii="Times New Roman" w:hAnsi="Times New Roman" w:eastAsia="仿宋_GB2312" w:cs="仿宋_GB2312"/>
          <w:spacing w:val="0"/>
          <w:kern w:val="0"/>
          <w:sz w:val="32"/>
          <w:szCs w:val="32"/>
        </w:rPr>
        <w:t>，对标学习深圳优化营商环境，目的就是在营商环境领域高标定位、高点起步，推出一批实招硬招，全力打造营商环境和安商服务的</w:t>
      </w:r>
      <w:r>
        <w:rPr>
          <w:rFonts w:hint="eastAsia" w:ascii="Times New Roman" w:hAnsi="Times New Roman" w:eastAsia="仿宋_GB2312" w:cs="仿宋_GB2312"/>
          <w:spacing w:val="0"/>
          <w:kern w:val="0"/>
          <w:sz w:val="32"/>
          <w:szCs w:val="32"/>
          <w:lang w:eastAsia="zh-CN"/>
        </w:rPr>
        <w:t>“</w:t>
      </w:r>
      <w:r>
        <w:rPr>
          <w:rFonts w:hint="eastAsia" w:ascii="Times New Roman" w:hAnsi="Times New Roman" w:eastAsia="仿宋_GB2312" w:cs="仿宋_GB2312"/>
          <w:spacing w:val="0"/>
          <w:kern w:val="0"/>
          <w:sz w:val="32"/>
          <w:szCs w:val="32"/>
        </w:rPr>
        <w:t>淄博品牌</w:t>
      </w:r>
      <w:r>
        <w:rPr>
          <w:rFonts w:hint="eastAsia" w:ascii="Times New Roman" w:hAnsi="Times New Roman" w:eastAsia="仿宋_GB2312" w:cs="仿宋_GB2312"/>
          <w:spacing w:val="0"/>
          <w:kern w:val="0"/>
          <w:sz w:val="32"/>
          <w:szCs w:val="32"/>
          <w:lang w:eastAsia="zh-CN"/>
        </w:rPr>
        <w:t>”</w:t>
      </w:r>
      <w:r>
        <w:rPr>
          <w:rFonts w:hint="eastAsia" w:ascii="Times New Roman" w:hAnsi="Times New Roman" w:eastAsia="仿宋_GB2312" w:cs="仿宋_GB2312"/>
          <w:spacing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Times New Roman" w:hAnsi="Times New Roman" w:eastAsia="仿宋_GB2312" w:cs="仿宋_GB2312"/>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rPr>
        <w:t>五个转变：</w:t>
      </w:r>
      <w:r>
        <w:rPr>
          <w:rFonts w:hint="eastAsia" w:ascii="Times New Roman" w:hAnsi="Times New Roman" w:eastAsia="仿宋_GB2312" w:cs="仿宋_GB2312"/>
          <w:spacing w:val="0"/>
          <w:kern w:val="0"/>
          <w:sz w:val="32"/>
          <w:szCs w:val="32"/>
          <w:lang w:val="en-US" w:eastAsia="zh-CN"/>
        </w:rPr>
        <w:t>转角度、转理念、转作风、转方式、转用人观。</w:t>
      </w:r>
    </w:p>
    <w:p>
      <w:pPr>
        <w:pStyle w:val="2"/>
        <w:keepNext w:val="0"/>
        <w:keepLines w:val="0"/>
        <w:pageBreakBefore w:val="0"/>
        <w:widowControl w:val="0"/>
        <w:kinsoku/>
        <w:wordWrap/>
        <w:overflowPunct/>
        <w:topLinePunct w:val="0"/>
        <w:autoSpaceDE/>
        <w:autoSpaceDN/>
        <w:bidi w:val="0"/>
        <w:adjustRightInd w:val="0"/>
        <w:snapToGrid w:val="0"/>
        <w:spacing w:after="0" w:afterLines="0" w:line="576" w:lineRule="exact"/>
        <w:ind w:firstLine="643" w:firstLineChars="200"/>
        <w:jc w:val="both"/>
        <w:textAlignment w:val="auto"/>
        <w:rPr>
          <w:rFonts w:hint="eastAsia" w:ascii="Times New Roman" w:hAnsi="Times New Roman" w:eastAsia="仿宋_GB2312" w:cs="仿宋_GB2312"/>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bidi="ar-SA"/>
        </w:rPr>
        <w:t>三治融合：</w:t>
      </w:r>
      <w:r>
        <w:rPr>
          <w:rFonts w:hint="eastAsia" w:ascii="Times New Roman" w:hAnsi="Times New Roman" w:eastAsia="仿宋_GB2312" w:cs="仿宋_GB2312"/>
          <w:spacing w:val="0"/>
          <w:kern w:val="0"/>
          <w:sz w:val="32"/>
          <w:szCs w:val="32"/>
          <w:lang w:val="en-US" w:eastAsia="zh-CN"/>
        </w:rPr>
        <w:t>自治、法治、德治融合。</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snapToGrid w:val="0"/>
          <w:color w:val="FF0000"/>
          <w:kern w:val="0"/>
          <w:sz w:val="32"/>
          <w:szCs w:val="32"/>
          <w:lang w:val="en-US" w:eastAsia="zh-CN"/>
        </w:rPr>
      </w:pPr>
    </w:p>
    <w:p/>
    <w:sectPr>
      <w:footerReference r:id="rId3" w:type="default"/>
      <w:pgSz w:w="11906" w:h="16838"/>
      <w:pgMar w:top="1814" w:right="1531" w:bottom="1757" w:left="1644" w:header="851" w:footer="198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16D57"/>
    <w:rsid w:val="3F716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Calibri" w:hAnsi="Calibri" w:cs="Times New Roman"/>
      <w:sz w:val="24"/>
      <w:szCs w:val="24"/>
    </w:rPr>
  </w:style>
  <w:style w:type="paragraph" w:styleId="3">
    <w:name w:val="footer"/>
    <w:basedOn w:val="1"/>
    <w:qFormat/>
    <w:uiPriority w:val="0"/>
    <w:pPr>
      <w:tabs>
        <w:tab w:val="center" w:pos="4153"/>
        <w:tab w:val="right" w:pos="8306"/>
      </w:tabs>
      <w:snapToGrid w:val="0"/>
      <w:jc w:val="left"/>
    </w:pPr>
    <w:rPr>
      <w:sz w:val="18"/>
    </w:rPr>
  </w:style>
  <w:style w:type="character" w:styleId="5">
    <w:name w:val="page number"/>
    <w:basedOn w:val="4"/>
    <w:uiPriority w:val="0"/>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2021-02-04T07:30:00Z</dcterms:created>
  <dc:creator>Administrator</dc:creator>
  <cp:lastModifiedBy>Administrator</cp:lastModifiedBy>
  <dcterms:modified xsi:type="dcterms:W3CDTF">2021-02-04T07:30:36Z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