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8E" w:rsidRDefault="000A348E" w:rsidP="000A348E">
      <w:pPr>
        <w:spacing w:line="580" w:lineRule="exact"/>
        <w:ind w:firstLine="6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一般公共预算安排的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三公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经费情况</w:t>
      </w:r>
    </w:p>
    <w:p w:rsidR="000A348E" w:rsidRDefault="000A348E" w:rsidP="000A348E">
      <w:pPr>
        <w:spacing w:line="5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年，通过一般公共预算财政拨款安排的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经费预算共</w:t>
      </w:r>
      <w:r>
        <w:rPr>
          <w:rFonts w:eastAsia="仿宋_GB2312" w:hint="eastAsia"/>
          <w:sz w:val="32"/>
          <w:szCs w:val="32"/>
        </w:rPr>
        <w:t>12.5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年增加</w:t>
      </w:r>
      <w:r>
        <w:rPr>
          <w:rFonts w:eastAsia="仿宋_GB2312" w:hint="eastAsia"/>
          <w:sz w:val="32"/>
          <w:szCs w:val="32"/>
        </w:rPr>
        <w:t>0.0405</w:t>
      </w:r>
      <w:r>
        <w:rPr>
          <w:rFonts w:eastAsia="仿宋_GB2312"/>
          <w:sz w:val="32"/>
          <w:szCs w:val="32"/>
        </w:rPr>
        <w:t>万元，其中：因公出国（境）费增加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楷体_GB2312" w:hint="eastAsia"/>
          <w:sz w:val="32"/>
          <w:szCs w:val="32"/>
        </w:rPr>
        <w:t>2020</w:t>
      </w:r>
      <w:r>
        <w:rPr>
          <w:rFonts w:eastAsia="楷体_GB2312" w:hint="eastAsia"/>
          <w:sz w:val="32"/>
          <w:szCs w:val="32"/>
        </w:rPr>
        <w:t>年无</w:t>
      </w:r>
      <w:r>
        <w:rPr>
          <w:rFonts w:eastAsia="仿宋_GB2312"/>
          <w:sz w:val="32"/>
          <w:szCs w:val="32"/>
        </w:rPr>
        <w:t>因公出国（境）费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。公务用车购置及运行费增加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无公务用车购置</w:t>
      </w:r>
      <w:r>
        <w:rPr>
          <w:rFonts w:eastAsia="仿宋_GB2312" w:hint="eastAsia"/>
          <w:sz w:val="32"/>
          <w:szCs w:val="32"/>
        </w:rPr>
        <w:t>费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公务车</w:t>
      </w:r>
      <w:r>
        <w:rPr>
          <w:rFonts w:eastAsia="仿宋_GB2312"/>
          <w:sz w:val="32"/>
          <w:szCs w:val="32"/>
        </w:rPr>
        <w:t>运行费与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持平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公务接待费增加</w:t>
      </w:r>
      <w:r>
        <w:rPr>
          <w:rFonts w:eastAsia="仿宋_GB2312"/>
          <w:sz w:val="32"/>
          <w:szCs w:val="32"/>
        </w:rPr>
        <w:t>0.</w:t>
      </w:r>
      <w:r>
        <w:rPr>
          <w:rFonts w:eastAsia="仿宋_GB2312" w:hint="eastAsia"/>
          <w:sz w:val="32"/>
          <w:szCs w:val="32"/>
        </w:rPr>
        <w:t>0405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公务接待费增加的主要原因是</w:t>
      </w:r>
      <w:r>
        <w:rPr>
          <w:rFonts w:eastAsia="仿宋_GB2312" w:hint="eastAsia"/>
          <w:sz w:val="32"/>
          <w:szCs w:val="32"/>
        </w:rPr>
        <w:t>智慧停车</w:t>
      </w:r>
      <w:r>
        <w:rPr>
          <w:rFonts w:eastAsia="仿宋_GB2312"/>
          <w:sz w:val="32"/>
          <w:szCs w:val="32"/>
        </w:rPr>
        <w:t>来访考察人数增加。</w:t>
      </w:r>
    </w:p>
    <w:p w:rsidR="002F6E21" w:rsidRDefault="002F6E21" w:rsidP="002F6E21">
      <w:pPr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3、公务接待费决算数为0.23万元，占一般公共预算财政拨款“三公”经费总数的1.88%。2019年公务接待全部为国内公务接待，主要用于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拆除违法建设工作检查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、智慧停车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等公务接待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 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，共计接待批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次，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人次。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2019年</w:t>
      </w:r>
      <w:r>
        <w:rPr>
          <w:rFonts w:ascii="仿宋_GB2312" w:eastAsia="仿宋_GB2312" w:hint="eastAsia"/>
          <w:szCs w:val="32"/>
        </w:rPr>
        <w:t>国（境）外接待费0万元，2019年公务接待全部为国内公务接待，</w:t>
      </w:r>
      <w:r>
        <w:rPr>
          <w:rFonts w:ascii="仿宋_GB2312" w:eastAsia="仿宋_GB2312" w:hint="eastAsia"/>
          <w:sz w:val="32"/>
          <w:szCs w:val="32"/>
        </w:rPr>
        <w:t>主要用于迎检及点评接待。共计接待3批次、30人次。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BD" w:rsidRDefault="001745BD" w:rsidP="002F6E21">
      <w:pPr>
        <w:spacing w:after="0"/>
      </w:pPr>
      <w:r>
        <w:separator/>
      </w:r>
    </w:p>
  </w:endnote>
  <w:endnote w:type="continuationSeparator" w:id="0">
    <w:p w:rsidR="001745BD" w:rsidRDefault="001745BD" w:rsidP="002F6E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BD" w:rsidRDefault="001745BD" w:rsidP="002F6E21">
      <w:pPr>
        <w:spacing w:after="0"/>
      </w:pPr>
      <w:r>
        <w:separator/>
      </w:r>
    </w:p>
  </w:footnote>
  <w:footnote w:type="continuationSeparator" w:id="0">
    <w:p w:rsidR="001745BD" w:rsidRDefault="001745BD" w:rsidP="002F6E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348E"/>
    <w:rsid w:val="0015367B"/>
    <w:rsid w:val="001745BD"/>
    <w:rsid w:val="00174F54"/>
    <w:rsid w:val="002F6E21"/>
    <w:rsid w:val="00323B43"/>
    <w:rsid w:val="003909F7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E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E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E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E21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2F6E21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2020-12-08T07:24:00Z</dcterms:modified>
</cp:coreProperties>
</file>