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right="0" w:firstLine="420"/>
        <w:jc w:val="center"/>
        <w:rPr>
          <w:rFonts w:hint="eastAsia" w:ascii="仿宋_GB2312" w:eastAsia="仿宋_GB2312" w:cs="仿宋_GB2312"/>
          <w:sz w:val="44"/>
          <w:szCs w:val="44"/>
          <w:lang w:val="en-US" w:eastAsia="zh-CN"/>
        </w:rPr>
      </w:pPr>
      <w:r>
        <w:rPr>
          <w:rFonts w:ascii="仿宋_GB2312" w:eastAsia="仿宋_GB2312" w:cs="仿宋_GB2312"/>
          <w:sz w:val="44"/>
          <w:szCs w:val="44"/>
        </w:rPr>
        <w:t>博山区住房和城乡建设局</w:t>
      </w:r>
      <w:r>
        <w:rPr>
          <w:rFonts w:hint="eastAsia" w:ascii="仿宋_GB2312" w:eastAsia="仿宋_GB2312" w:cs="仿宋_GB2312"/>
          <w:sz w:val="44"/>
          <w:szCs w:val="44"/>
        </w:rPr>
        <w:t>202</w:t>
      </w:r>
      <w:r>
        <w:rPr>
          <w:rFonts w:hint="eastAsia" w:ascii="仿宋_GB2312" w:eastAsia="仿宋_GB2312" w:cs="仿宋_GB2312"/>
          <w:sz w:val="44"/>
          <w:szCs w:val="44"/>
          <w:lang w:val="en-US" w:eastAsia="zh-CN"/>
        </w:rPr>
        <w:t>1</w:t>
      </w:r>
    </w:p>
    <w:p>
      <w:pPr>
        <w:pStyle w:val="2"/>
        <w:keepNext w:val="0"/>
        <w:keepLines w:val="0"/>
        <w:widowControl/>
        <w:suppressLineNumbers w:val="0"/>
        <w:ind w:left="0" w:right="0" w:firstLine="420"/>
        <w:jc w:val="center"/>
        <w:rPr>
          <w:rFonts w:hint="eastAsia" w:ascii="仿宋_GB2312" w:eastAsia="仿宋_GB2312" w:cs="仿宋_GB2312"/>
          <w:sz w:val="44"/>
          <w:szCs w:val="44"/>
        </w:rPr>
      </w:pPr>
      <w:r>
        <w:rPr>
          <w:rFonts w:hint="eastAsia" w:ascii="仿宋_GB2312" w:eastAsia="仿宋_GB2312" w:cs="仿宋_GB2312"/>
          <w:sz w:val="44"/>
          <w:szCs w:val="44"/>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_GB2312" w:eastAsia="仿宋_GB2312" w:cs="仿宋_GB2312"/>
          <w:caps w:val="0"/>
          <w:color w:val="000000"/>
          <w:spacing w:val="0"/>
          <w:sz w:val="32"/>
          <w:szCs w:val="32"/>
          <w:shd w:val="clear" w:fill="FFFFFF"/>
        </w:rPr>
        <w:t>根据《中华人民共和国政府信息公开条例》和《博山区人民政府办公室关于做好202</w:t>
      </w:r>
      <w:r>
        <w:rPr>
          <w:rFonts w:hint="eastAsia" w:ascii="仿宋_GB2312" w:eastAsia="仿宋_GB2312" w:cs="仿宋_GB2312"/>
          <w:caps w:val="0"/>
          <w:color w:val="000000"/>
          <w:spacing w:val="0"/>
          <w:sz w:val="32"/>
          <w:szCs w:val="32"/>
          <w:shd w:val="clear" w:fill="FFFFFF"/>
          <w:lang w:val="en-US" w:eastAsia="zh-CN"/>
        </w:rPr>
        <w:t>1</w:t>
      </w:r>
      <w:r>
        <w:rPr>
          <w:rFonts w:hint="eastAsia" w:ascii="仿宋_GB2312" w:eastAsia="仿宋_GB2312" w:cs="仿宋_GB2312"/>
          <w:caps w:val="0"/>
          <w:color w:val="000000"/>
          <w:spacing w:val="0"/>
          <w:sz w:val="32"/>
          <w:szCs w:val="32"/>
          <w:shd w:val="clear" w:fill="FFFFFF"/>
        </w:rPr>
        <w:t>年度政府信息公开年度报告编制发布工作的通知》要求，现向社会公布博山区住房和城乡建设局202</w:t>
      </w:r>
      <w:r>
        <w:rPr>
          <w:rFonts w:hint="eastAsia" w:ascii="仿宋_GB2312" w:eastAsia="仿宋_GB2312" w:cs="仿宋_GB2312"/>
          <w:caps w:val="0"/>
          <w:color w:val="000000"/>
          <w:spacing w:val="0"/>
          <w:sz w:val="32"/>
          <w:szCs w:val="32"/>
          <w:shd w:val="clear" w:fill="FFFFFF"/>
          <w:lang w:val="en-US" w:eastAsia="zh-CN"/>
        </w:rPr>
        <w:t>1</w:t>
      </w:r>
      <w:r>
        <w:rPr>
          <w:rFonts w:hint="eastAsia" w:ascii="仿宋_GB2312" w:eastAsia="仿宋_GB2312" w:cs="仿宋_GB2312"/>
          <w:caps w:val="0"/>
          <w:color w:val="000000"/>
          <w:spacing w:val="0"/>
          <w:sz w:val="32"/>
          <w:szCs w:val="32"/>
          <w:shd w:val="clear" w:fill="FFFFFF"/>
        </w:rPr>
        <w:t>年度政府信息公开工作年度报告。本报告中所列数据的统计期限为202年1月1日至12月31日。</w:t>
      </w:r>
      <w:r>
        <w:rPr>
          <w:rFonts w:ascii="仿宋_GB2312" w:hAnsi="宋体" w:eastAsia="仿宋_GB2312" w:cs="仿宋_GB2312"/>
          <w:i w:val="0"/>
          <w:caps w:val="0"/>
          <w:color w:val="000000"/>
          <w:spacing w:val="0"/>
          <w:sz w:val="31"/>
          <w:szCs w:val="31"/>
          <w:shd w:val="clear" w:fill="FFFFFF"/>
        </w:rPr>
        <w:t>如对本报告有疑问，请与</w:t>
      </w:r>
      <w:r>
        <w:rPr>
          <w:rFonts w:hint="eastAsia" w:ascii="仿宋_GB2312" w:hAnsi="宋体" w:eastAsia="仿宋_GB2312" w:cs="仿宋_GB2312"/>
          <w:i w:val="0"/>
          <w:caps w:val="0"/>
          <w:color w:val="000000"/>
          <w:spacing w:val="0"/>
          <w:sz w:val="31"/>
          <w:szCs w:val="31"/>
          <w:shd w:val="clear" w:fill="FFFFFF"/>
          <w:lang w:eastAsia="zh-CN"/>
        </w:rPr>
        <w:t>博山区住房和城乡建设局</w:t>
      </w:r>
      <w:r>
        <w:rPr>
          <w:rFonts w:ascii="仿宋_GB2312" w:hAnsi="宋体" w:eastAsia="仿宋_GB2312" w:cs="仿宋_GB2312"/>
          <w:i w:val="0"/>
          <w:caps w:val="0"/>
          <w:color w:val="000000"/>
          <w:spacing w:val="0"/>
          <w:sz w:val="31"/>
          <w:szCs w:val="31"/>
          <w:shd w:val="clear" w:fill="FFFFFF"/>
        </w:rPr>
        <w:t xml:space="preserve">办公室联系（地址：淄博市博山区中心路 </w:t>
      </w:r>
      <w:r>
        <w:rPr>
          <w:rFonts w:hint="eastAsia" w:ascii="仿宋_GB2312" w:hAnsi="宋体" w:eastAsia="仿宋_GB2312" w:cs="仿宋_GB2312"/>
          <w:i w:val="0"/>
          <w:caps w:val="0"/>
          <w:color w:val="000000"/>
          <w:spacing w:val="0"/>
          <w:sz w:val="31"/>
          <w:szCs w:val="31"/>
          <w:shd w:val="clear" w:fill="FFFFFF"/>
          <w:lang w:val="en-US" w:eastAsia="zh-CN"/>
        </w:rPr>
        <w:t>5</w:t>
      </w:r>
      <w:r>
        <w:rPr>
          <w:rFonts w:ascii="仿宋_GB2312" w:hAnsi="宋体" w:eastAsia="仿宋_GB2312" w:cs="仿宋_GB2312"/>
          <w:i w:val="0"/>
          <w:caps w:val="0"/>
          <w:color w:val="000000"/>
          <w:spacing w:val="0"/>
          <w:sz w:val="31"/>
          <w:szCs w:val="31"/>
          <w:shd w:val="clear" w:fill="FFFFFF"/>
        </w:rPr>
        <w:t>4 号，邮编：255200，电话：0533-4</w:t>
      </w:r>
      <w:r>
        <w:rPr>
          <w:rFonts w:hint="eastAsia" w:ascii="仿宋_GB2312" w:hAnsi="宋体" w:eastAsia="仿宋_GB2312" w:cs="仿宋_GB2312"/>
          <w:i w:val="0"/>
          <w:caps w:val="0"/>
          <w:color w:val="000000"/>
          <w:spacing w:val="0"/>
          <w:sz w:val="31"/>
          <w:szCs w:val="31"/>
          <w:shd w:val="clear" w:fill="FFFFFF"/>
          <w:lang w:val="en-US" w:eastAsia="zh-CN"/>
        </w:rPr>
        <w:t>180562</w:t>
      </w:r>
      <w:r>
        <w:rPr>
          <w:rFonts w:ascii="仿宋_GB2312" w:hAnsi="宋体" w:eastAsia="仿宋_GB2312" w:cs="仿宋_GB2312"/>
          <w:i w:val="0"/>
          <w:caps w:val="0"/>
          <w:color w:val="000000"/>
          <w:spacing w:val="0"/>
          <w:sz w:val="31"/>
          <w:szCs w:val="31"/>
          <w:shd w:val="clear" w:fill="FFFFFF"/>
        </w:rPr>
        <w:t>）。</w:t>
      </w:r>
    </w:p>
    <w:p>
      <w:pPr>
        <w:pStyle w:val="2"/>
        <w:keepNext w:val="0"/>
        <w:keepLines w:val="0"/>
        <w:widowControl/>
        <w:suppressLineNumbers w:val="0"/>
        <w:ind w:firstLine="643" w:firstLineChars="200"/>
      </w:pPr>
      <w:r>
        <w:rPr>
          <w:rStyle w:val="5"/>
          <w:rFonts w:hint="eastAsia" w:ascii="仿宋_GB2312" w:eastAsia="仿宋_GB2312" w:cs="仿宋_GB2312"/>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年我局政府信息公工作运行正常，对本部门的信息公开工作进行了梳理和规范，明确了本部门信息公开工作机构及其职责、信息公开的范围、信息公开的方式和程序，建立了信息公开保密审查及监督检查制度</w:t>
      </w:r>
      <w:r>
        <w:rPr>
          <w:rFonts w:hint="eastAsia" w:ascii="仿宋_GB2312" w:eastAsia="仿宋_GB2312" w:cs="仿宋_GB2312"/>
          <w:sz w:val="32"/>
          <w:szCs w:val="32"/>
          <w:lang w:eastAsia="zh-CN"/>
        </w:rPr>
        <w:t>，保证了</w:t>
      </w:r>
      <w:r>
        <w:rPr>
          <w:rFonts w:hint="eastAsia" w:ascii="仿宋_GB2312" w:eastAsia="仿宋_GB2312" w:cs="仿宋_GB2312"/>
          <w:sz w:val="32"/>
          <w:szCs w:val="32"/>
        </w:rPr>
        <w:t>政府信息公开、申请以及答复工作</w:t>
      </w:r>
      <w:r>
        <w:rPr>
          <w:rFonts w:hint="eastAsia" w:ascii="仿宋_GB2312" w:eastAsia="仿宋_GB2312" w:cs="仿宋_GB2312"/>
          <w:sz w:val="32"/>
          <w:szCs w:val="32"/>
          <w:lang w:eastAsia="zh-CN"/>
        </w:rPr>
        <w:t>的</w:t>
      </w:r>
      <w:r>
        <w:rPr>
          <w:rFonts w:hint="eastAsia" w:ascii="仿宋_GB2312" w:eastAsia="仿宋_GB2312" w:cs="仿宋_GB2312"/>
          <w:sz w:val="32"/>
          <w:szCs w:val="32"/>
        </w:rPr>
        <w:t>顺利</w:t>
      </w:r>
      <w:r>
        <w:rPr>
          <w:rFonts w:hint="eastAsia" w:ascii="仿宋_GB2312" w:eastAsia="仿宋_GB2312" w:cs="仿宋_GB2312"/>
          <w:sz w:val="32"/>
          <w:szCs w:val="32"/>
          <w:lang w:eastAsia="zh-CN"/>
        </w:rPr>
        <w:t>开展</w:t>
      </w:r>
      <w:r>
        <w:rPr>
          <w:rFonts w:hint="eastAsia" w:ascii="仿宋_GB2312" w:eastAsia="仿宋_GB2312" w:cs="仿宋_GB2312"/>
          <w:sz w:val="32"/>
          <w:szCs w:val="32"/>
        </w:rPr>
        <w:t>。</w:t>
      </w:r>
      <w:r>
        <w:rPr>
          <w:rFonts w:ascii="仿宋_GB2312" w:hAnsi="宋体" w:eastAsia="仿宋_GB2312" w:cs="仿宋_GB2312"/>
          <w:i w:val="0"/>
          <w:caps w:val="0"/>
          <w:color w:val="000000"/>
          <w:spacing w:val="0"/>
          <w:sz w:val="32"/>
          <w:szCs w:val="32"/>
          <w:shd w:val="clear" w:fill="FFFFFF"/>
        </w:rPr>
        <w:t>2021年共办理</w:t>
      </w:r>
      <w:r>
        <w:rPr>
          <w:rFonts w:hint="eastAsia" w:ascii="仿宋_GB2312" w:hAnsi="宋体" w:eastAsia="仿宋_GB2312" w:cs="仿宋_GB2312"/>
          <w:i w:val="0"/>
          <w:caps w:val="0"/>
          <w:color w:val="000000"/>
          <w:spacing w:val="0"/>
          <w:sz w:val="32"/>
          <w:szCs w:val="32"/>
          <w:shd w:val="clear" w:fill="FFFFFF"/>
          <w:lang w:eastAsia="zh-CN"/>
        </w:rPr>
        <w:t>人大建议、</w:t>
      </w:r>
      <w:r>
        <w:rPr>
          <w:rFonts w:ascii="仿宋_GB2312" w:hAnsi="宋体" w:eastAsia="仿宋_GB2312" w:cs="仿宋_GB2312"/>
          <w:i w:val="0"/>
          <w:caps w:val="0"/>
          <w:color w:val="000000"/>
          <w:spacing w:val="0"/>
          <w:sz w:val="32"/>
          <w:szCs w:val="32"/>
          <w:shd w:val="clear" w:fill="FFFFFF"/>
        </w:rPr>
        <w:t>政协提案</w:t>
      </w:r>
      <w:r>
        <w:rPr>
          <w:rFonts w:hint="eastAsia" w:ascii="仿宋_GB2312" w:hAnsi="宋体" w:eastAsia="仿宋_GB2312" w:cs="仿宋_GB2312"/>
          <w:i w:val="0"/>
          <w:caps w:val="0"/>
          <w:color w:val="000000"/>
          <w:spacing w:val="0"/>
          <w:sz w:val="32"/>
          <w:szCs w:val="32"/>
          <w:shd w:val="clear" w:fill="FFFFFF"/>
          <w:lang w:val="en-US" w:eastAsia="zh-CN"/>
        </w:rPr>
        <w:t>3</w:t>
      </w:r>
      <w:r>
        <w:rPr>
          <w:rFonts w:ascii="仿宋_GB2312" w:hAnsi="宋体" w:eastAsia="仿宋_GB2312" w:cs="仿宋_GB2312"/>
          <w:i w:val="0"/>
          <w:caps w:val="0"/>
          <w:color w:val="000000"/>
          <w:spacing w:val="0"/>
          <w:sz w:val="32"/>
          <w:szCs w:val="32"/>
          <w:shd w:val="clear" w:fill="FFFFFF"/>
        </w:rPr>
        <w:t>件，办复率100%，办理复文全文已在区政府网站公开发布，并发布了建议提案办理的总体情况。</w:t>
      </w:r>
      <w:r>
        <w:rPr>
          <w:rFonts w:hint="eastAsia" w:ascii="仿宋_GB2312" w:hAnsi="宋体" w:eastAsia="仿宋_GB2312" w:cs="仿宋_GB2312"/>
          <w:i w:val="0"/>
          <w:caps w:val="0"/>
          <w:color w:val="000000"/>
          <w:spacing w:val="0"/>
          <w:sz w:val="32"/>
          <w:szCs w:val="32"/>
          <w:shd w:val="clear" w:fill="FFFFFF"/>
        </w:rPr>
        <w:t>2021年共收到并办理依申请公开事项</w:t>
      </w:r>
      <w:r>
        <w:rPr>
          <w:rFonts w:hint="eastAsia" w:ascii="仿宋_GB2312" w:hAnsi="宋体" w:eastAsia="仿宋_GB2312" w:cs="仿宋_GB2312"/>
          <w:i w:val="0"/>
          <w:caps w:val="0"/>
          <w:color w:val="000000"/>
          <w:spacing w:val="0"/>
          <w:sz w:val="32"/>
          <w:szCs w:val="32"/>
          <w:shd w:val="clear" w:fill="FFFFFF"/>
          <w:lang w:val="en-US" w:eastAsia="zh-CN"/>
        </w:rPr>
        <w:t>4</w:t>
      </w:r>
      <w:r>
        <w:rPr>
          <w:rFonts w:hint="eastAsia" w:ascii="仿宋_GB2312" w:hAnsi="宋体" w:eastAsia="仿宋_GB2312" w:cs="仿宋_GB2312"/>
          <w:i w:val="0"/>
          <w:caps w:val="0"/>
          <w:color w:val="000000"/>
          <w:spacing w:val="0"/>
          <w:sz w:val="32"/>
          <w:szCs w:val="32"/>
          <w:shd w:val="clear" w:fill="FFFFFF"/>
        </w:rPr>
        <w:t>项。</w:t>
      </w:r>
    </w:p>
    <w:p>
      <w:pPr>
        <w:pStyle w:val="2"/>
        <w:keepNext w:val="0"/>
        <w:keepLines w:val="0"/>
        <w:widowControl/>
        <w:numPr>
          <w:ilvl w:val="0"/>
          <w:numId w:val="1"/>
        </w:numPr>
        <w:suppressLineNumbers w:val="0"/>
        <w:spacing w:before="13" w:beforeAutospacing="0"/>
        <w:ind w:left="0" w:right="3109" w:firstLine="420"/>
        <w:jc w:val="both"/>
        <w:rPr>
          <w:rFonts w:hint="eastAsia" w:ascii="仿宋_GB2312" w:eastAsia="仿宋_GB2312" w:cs="仿宋_GB2312"/>
          <w:caps w:val="0"/>
          <w:color w:val="000000"/>
          <w:spacing w:val="0"/>
          <w:sz w:val="32"/>
          <w:szCs w:val="32"/>
          <w:shd w:val="clear" w:fill="FFFFFF"/>
        </w:rPr>
      </w:pPr>
      <w:r>
        <w:rPr>
          <w:rStyle w:val="5"/>
          <w:rFonts w:ascii="黑体" w:hAnsi="宋体" w:eastAsia="黑体" w:cs="黑体"/>
          <w:b/>
          <w:i w:val="0"/>
          <w:caps w:val="0"/>
          <w:color w:val="333333"/>
          <w:spacing w:val="0"/>
          <w:sz w:val="32"/>
          <w:szCs w:val="32"/>
          <w:shd w:val="clear" w:fill="FFFFFF"/>
        </w:rPr>
        <w:t>主动公开政府信息情况</w:t>
      </w:r>
      <w:r>
        <w:rPr>
          <w:rFonts w:hint="eastAsia" w:ascii="仿宋_GB2312" w:eastAsia="仿宋_GB2312" w:cs="仿宋_GB2312"/>
          <w:caps w:val="0"/>
          <w:color w:val="000000"/>
          <w:spacing w:val="0"/>
          <w:sz w:val="32"/>
          <w:szCs w:val="32"/>
          <w:shd w:val="clear" w:fill="FFFFFF"/>
        </w:rPr>
        <w:t> </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1</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widowControl/>
        <w:shd w:val="clear" w:color="auto" w:fill="FFFFFF"/>
        <w:spacing w:beforeAutospacing="0" w:afterAutospacing="0"/>
        <w:ind w:firstLine="420"/>
        <w:jc w:val="both"/>
        <w:rPr>
          <w:rFonts w:hint="eastAsia" w:ascii="黑体" w:hAnsi="黑体" w:eastAsia="黑体" w:cs="黑体"/>
          <w:color w:val="333333"/>
          <w:sz w:val="32"/>
          <w:szCs w:val="32"/>
        </w:rPr>
      </w:pPr>
      <w:r>
        <w:rPr>
          <w:rFonts w:hint="eastAsia" w:ascii="黑体" w:hAnsi="黑体" w:eastAsia="黑体" w:cs="黑体"/>
          <w:b/>
          <w:bCs/>
          <w:color w:val="333333"/>
          <w:sz w:val="32"/>
          <w:szCs w:val="32"/>
          <w:shd w:val="clear" w:color="auto" w:fill="FFFFFF"/>
        </w:rPr>
        <w:t>三、收到和处理政府信息公开申请情况</w:t>
      </w:r>
    </w:p>
    <w:p>
      <w:pPr>
        <w:pStyle w:val="2"/>
        <w:widowControl/>
        <w:shd w:val="clear" w:color="auto" w:fill="FFFFFF"/>
        <w:spacing w:beforeAutospacing="0" w:afterAutospacing="0"/>
        <w:ind w:firstLine="420"/>
        <w:jc w:val="both"/>
        <w:rPr>
          <w:rFonts w:ascii="宋体" w:hAnsi="宋体" w:eastAsia="宋体" w:cs="宋体"/>
          <w:color w:val="333333"/>
          <w:sz w:val="19"/>
          <w:szCs w:val="19"/>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商业</w:t>
            </w:r>
          </w:p>
          <w:p>
            <w:pPr>
              <w:widowControl/>
              <w:jc w:val="center"/>
            </w:pPr>
            <w:r>
              <w:rPr>
                <w:rFonts w:hint="eastAsia" w:ascii="宋体" w:hAnsi="宋体" w:eastAsia="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科研</w:t>
            </w:r>
          </w:p>
          <w:p>
            <w:pPr>
              <w:widowControl/>
              <w:jc w:val="center"/>
            </w:pPr>
            <w:r>
              <w:rPr>
                <w:rFonts w:hint="eastAsia" w:ascii="宋体" w:hAnsi="宋体" w:eastAsia="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rPr>
                <w:rFonts w:hint="eastAsia" w:eastAsiaTheme="minorEastAsia"/>
                <w:lang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jc w:val="center"/>
              <w:rPr>
                <w:rFonts w:hint="eastAsia" w:eastAsiaTheme="minorEastAsia"/>
                <w:lang w:eastAsia="zh-CN"/>
              </w:rP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jc w:val="center"/>
            </w:pPr>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jc w:val="center"/>
            </w:pPr>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jc w:val="center"/>
            </w:pPr>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jc w:val="center"/>
            </w:pPr>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jc w:val="center"/>
            </w:pPr>
            <w:r>
              <w:rPr>
                <w:rFonts w:ascii="Calibri" w:hAnsi="Calibri" w:cs="Calibri"/>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hint="eastAsia" w:eastAsiaTheme="minorEastAsia"/>
                <w:lang w:eastAsia="zh-CN"/>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eastAsiaTheme="minorEastAsia"/>
                <w:lang w:eastAsia="zh-CN"/>
              </w:rPr>
            </w:pPr>
            <w:r>
              <w:rPr>
                <w:rFonts w:hint="eastAsia" w:ascii="Calibri" w:hAnsi="Calibri" w:cs="Calibri"/>
                <w:kern w:val="0"/>
                <w:sz w:val="20"/>
                <w:szCs w:val="20"/>
                <w:lang w:val="en-US" w:eastAsia="zh-CN" w:bidi="ar"/>
              </w:rPr>
              <w:t>4</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ascii="Calibri" w:hAnsi="Calibri" w:cs="Calibri"/>
                <w:kern w:val="0"/>
                <w:sz w:val="20"/>
                <w:szCs w:val="20"/>
                <w:lang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rPr>
                <w:rFonts w:ascii="宋体"/>
                <w:sz w:val="24"/>
              </w:rPr>
            </w:pPr>
            <w:r>
              <w:rPr>
                <w:rFonts w:hint="eastAsia" w:ascii="宋体"/>
                <w:sz w:val="24"/>
              </w:rPr>
              <w:t>0</w:t>
            </w:r>
          </w:p>
        </w:tc>
      </w:tr>
    </w:tbl>
    <w:p>
      <w:pPr>
        <w:widowControl/>
        <w:shd w:val="clear" w:color="auto" w:fill="FFFFFF"/>
        <w:jc w:val="center"/>
        <w:rPr>
          <w:rFonts w:ascii="宋体" w:hAnsi="宋体" w:eastAsia="宋体" w:cs="宋体"/>
          <w:color w:val="333333"/>
          <w:sz w:val="19"/>
          <w:szCs w:val="19"/>
        </w:rPr>
      </w:pPr>
    </w:p>
    <w:p>
      <w:pPr>
        <w:pStyle w:val="2"/>
        <w:keepNext w:val="0"/>
        <w:keepLines w:val="0"/>
        <w:widowControl/>
        <w:suppressLineNumbers w:val="0"/>
        <w:spacing w:before="13" w:beforeAutospacing="0"/>
        <w:ind w:left="0" w:right="3109" w:firstLine="420"/>
        <w:jc w:val="both"/>
      </w:pPr>
    </w:p>
    <w:p>
      <w:pPr>
        <w:pStyle w:val="2"/>
        <w:keepNext w:val="0"/>
        <w:keepLines w:val="0"/>
        <w:widowControl/>
        <w:suppressLineNumbers w:val="0"/>
        <w:ind w:left="0" w:firstLine="420"/>
      </w:pPr>
    </w:p>
    <w:p>
      <w:pPr>
        <w:pStyle w:val="2"/>
        <w:keepNext w:val="0"/>
        <w:keepLines w:val="0"/>
        <w:widowControl/>
        <w:suppressLineNumbers w:val="0"/>
        <w:ind w:left="0" w:firstLine="420"/>
      </w:pPr>
      <w:r>
        <w:rPr>
          <w:rFonts w:hint="eastAsia" w:ascii="仿宋_GB2312" w:eastAsia="仿宋_GB2312" w:cs="仿宋_GB2312"/>
          <w:sz w:val="22"/>
          <w:szCs w:val="22"/>
        </w:rPr>
        <w:t> </w:t>
      </w:r>
    </w:p>
    <w:p>
      <w:pPr>
        <w:pStyle w:val="2"/>
        <w:keepNext w:val="0"/>
        <w:keepLines w:val="0"/>
        <w:widowControl/>
        <w:numPr>
          <w:ilvl w:val="0"/>
          <w:numId w:val="2"/>
        </w:numPr>
        <w:suppressLineNumbers w:val="0"/>
        <w:ind w:left="0" w:firstLine="420"/>
        <w:rPr>
          <w:rStyle w:val="5"/>
          <w:rFonts w:hint="eastAsia" w:ascii="仿宋_GB2312" w:eastAsia="仿宋_GB2312" w:cs="仿宋_GB2312"/>
          <w:caps w:val="0"/>
          <w:color w:val="000000"/>
          <w:spacing w:val="0"/>
          <w:sz w:val="32"/>
          <w:szCs w:val="32"/>
          <w:shd w:val="clear" w:fill="FFFFFF"/>
        </w:rPr>
      </w:pPr>
      <w:r>
        <w:rPr>
          <w:rStyle w:val="5"/>
          <w:rFonts w:hint="eastAsia" w:ascii="仿宋_GB2312" w:eastAsia="仿宋_GB2312" w:cs="仿宋_GB2312"/>
          <w:caps w:val="0"/>
          <w:color w:val="000000"/>
          <w:spacing w:val="0"/>
          <w:sz w:val="32"/>
          <w:szCs w:val="32"/>
          <w:shd w:val="clear" w:fill="FFFFFF"/>
        </w:rPr>
        <w:t>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jc w:val="left"/>
            </w:pPr>
            <w:r>
              <w:rPr>
                <w:rFonts w:ascii="黑体" w:hAnsi="宋体" w:eastAsia="黑体" w:cs="黑体"/>
                <w:kern w:val="0"/>
                <w:sz w:val="20"/>
                <w:szCs w:val="20"/>
                <w:lang w:bidi="ar"/>
              </w:rPr>
              <w:t>0</w:t>
            </w:r>
          </w:p>
        </w:tc>
      </w:tr>
    </w:tbl>
    <w:p>
      <w:pPr>
        <w:pStyle w:val="2"/>
        <w:keepNext w:val="0"/>
        <w:keepLines w:val="0"/>
        <w:widowControl/>
        <w:suppressLineNumbers w:val="0"/>
        <w:ind w:left="0" w:firstLine="420"/>
      </w:pPr>
      <w:r>
        <w:rPr>
          <w:rStyle w:val="5"/>
          <w:rFonts w:hint="eastAsia" w:ascii="仿宋_GB2312" w:eastAsia="仿宋_GB2312" w:cs="仿宋_GB2312"/>
          <w:caps w:val="0"/>
          <w:color w:val="000000"/>
          <w:spacing w:val="0"/>
          <w:sz w:val="32"/>
          <w:szCs w:val="32"/>
          <w:shd w:val="clear" w:fill="FFFFFF"/>
        </w:rPr>
        <w:t>五、存在的主要问题及改进情况</w:t>
      </w:r>
    </w:p>
    <w:p>
      <w:pPr>
        <w:pStyle w:val="2"/>
        <w:keepNext w:val="0"/>
        <w:keepLines w:val="0"/>
        <w:widowControl/>
        <w:suppressLineNumbers w:val="0"/>
        <w:ind w:left="0" w:right="0" w:firstLine="420"/>
      </w:pPr>
      <w:r>
        <w:rPr>
          <w:rFonts w:hint="eastAsia" w:ascii="仿宋_GB2312" w:eastAsia="仿宋_GB2312" w:cs="仿宋_GB2312"/>
          <w:caps w:val="0"/>
          <w:color w:val="000000"/>
          <w:spacing w:val="0"/>
          <w:sz w:val="32"/>
          <w:szCs w:val="32"/>
          <w:shd w:val="clear" w:fill="FFFFFF"/>
        </w:rPr>
        <w:t>（一）存在的主要问题。</w:t>
      </w:r>
    </w:p>
    <w:p>
      <w:pPr>
        <w:pStyle w:val="2"/>
        <w:keepNext w:val="0"/>
        <w:keepLines w:val="0"/>
        <w:widowControl/>
        <w:suppressLineNumbers w:val="0"/>
        <w:ind w:left="0" w:right="0" w:firstLine="420"/>
      </w:pPr>
      <w:r>
        <w:rPr>
          <w:rFonts w:hint="eastAsia" w:ascii="仿宋_GB2312" w:eastAsia="仿宋_GB2312" w:cs="仿宋_GB2312"/>
          <w:caps w:val="0"/>
          <w:color w:val="000000"/>
          <w:spacing w:val="0"/>
          <w:sz w:val="32"/>
          <w:szCs w:val="32"/>
          <w:shd w:val="clear" w:fill="FFFFFF"/>
        </w:rPr>
        <w:t>我局采取政府网站公示、微信公众号推送等方式，多渠道、多方式的向社会公开政务重点信息，在不断加强信息公开的时效性等方面取得了进步，但还存在着许多问题：信息公开的广度和深度不足，对可进行政府信息公开的内容认识还不够全面，有待进一步加强学习；公开形式单一，多以文字为主，缺少用图片、表格等简易化的形式发布信息。新平台启用以来，因操作不熟练导致信息公开工作录入格式不够规范。</w:t>
      </w:r>
    </w:p>
    <w:p>
      <w:pPr>
        <w:pStyle w:val="2"/>
        <w:keepNext w:val="0"/>
        <w:keepLines w:val="0"/>
        <w:widowControl/>
        <w:suppressLineNumbers w:val="0"/>
        <w:ind w:left="220" w:right="0" w:firstLine="420"/>
        <w:jc w:val="both"/>
      </w:pPr>
      <w:r>
        <w:rPr>
          <w:rFonts w:hint="eastAsia" w:ascii="仿宋_GB2312" w:eastAsia="仿宋_GB2312" w:cs="仿宋_GB2312"/>
          <w:caps w:val="0"/>
          <w:color w:val="000000"/>
          <w:spacing w:val="0"/>
          <w:sz w:val="32"/>
          <w:szCs w:val="32"/>
          <w:shd w:val="clear" w:fill="FFFFFF"/>
        </w:rPr>
        <w:t>（二）改进措施</w:t>
      </w:r>
    </w:p>
    <w:p>
      <w:pPr>
        <w:pStyle w:val="2"/>
        <w:keepNext w:val="0"/>
        <w:keepLines w:val="0"/>
        <w:widowControl/>
        <w:suppressLineNumbers w:val="0"/>
        <w:ind w:left="0" w:right="0" w:firstLine="420"/>
        <w:jc w:val="both"/>
      </w:pPr>
      <w:r>
        <w:rPr>
          <w:rFonts w:hint="eastAsia" w:ascii="仿宋_GB2312" w:eastAsia="仿宋_GB2312" w:cs="仿宋_GB2312"/>
          <w:caps w:val="0"/>
          <w:color w:val="000000"/>
          <w:spacing w:val="0"/>
          <w:sz w:val="32"/>
          <w:szCs w:val="32"/>
          <w:shd w:val="clear" w:fill="FFFFFF"/>
        </w:rPr>
        <w:t>1.202</w:t>
      </w:r>
      <w:r>
        <w:rPr>
          <w:rFonts w:hint="eastAsia" w:ascii="仿宋_GB2312" w:eastAsia="仿宋_GB2312" w:cs="仿宋_GB2312"/>
          <w:caps w:val="0"/>
          <w:color w:val="000000"/>
          <w:spacing w:val="0"/>
          <w:sz w:val="32"/>
          <w:szCs w:val="32"/>
          <w:shd w:val="clear" w:fill="FFFFFF"/>
          <w:lang w:val="en-US" w:eastAsia="zh-CN"/>
        </w:rPr>
        <w:t>2</w:t>
      </w:r>
      <w:r>
        <w:rPr>
          <w:rFonts w:hint="eastAsia" w:ascii="仿宋_GB2312" w:eastAsia="仿宋_GB2312" w:cs="仿宋_GB2312"/>
          <w:caps w:val="0"/>
          <w:color w:val="000000"/>
          <w:spacing w:val="0"/>
          <w:sz w:val="32"/>
          <w:szCs w:val="32"/>
          <w:shd w:val="clear" w:fill="FFFFFF"/>
        </w:rPr>
        <w:t>年我局将进一步加强对有关政务公开制度的学习，完善各项公开制度。加强政府信息公开深度与广度。围绕中心工作深度拓展主动公开的内容和形式，让政务公开真正起到为民服务的作用。</w:t>
      </w:r>
    </w:p>
    <w:p>
      <w:pPr>
        <w:pStyle w:val="2"/>
        <w:keepNext w:val="0"/>
        <w:keepLines w:val="0"/>
        <w:widowControl/>
        <w:suppressLineNumbers w:val="0"/>
        <w:ind w:left="0" w:right="0" w:firstLine="420"/>
        <w:jc w:val="both"/>
      </w:pPr>
      <w:r>
        <w:rPr>
          <w:rFonts w:hint="eastAsia" w:ascii="仿宋_GB2312" w:eastAsia="仿宋_GB2312" w:cs="仿宋_GB2312"/>
          <w:caps w:val="0"/>
          <w:color w:val="000000"/>
          <w:spacing w:val="0"/>
          <w:sz w:val="32"/>
          <w:szCs w:val="32"/>
          <w:shd w:val="clear" w:fill="FFFFFF"/>
        </w:rPr>
        <w:t>2. 扩展多形式的内容解读。加强用图片、表格等简易化的表述形式，使内容更加丰富、直观。</w:t>
      </w:r>
    </w:p>
    <w:p>
      <w:pPr>
        <w:pStyle w:val="2"/>
        <w:keepNext w:val="0"/>
        <w:keepLines w:val="0"/>
        <w:widowControl/>
        <w:suppressLineNumbers w:val="0"/>
        <w:ind w:left="0" w:right="0" w:firstLine="420"/>
        <w:jc w:val="both"/>
      </w:pPr>
      <w:r>
        <w:rPr>
          <w:rFonts w:hint="eastAsia" w:ascii="仿宋_GB2312" w:eastAsia="仿宋_GB2312" w:cs="仿宋_GB2312"/>
          <w:caps w:val="0"/>
          <w:color w:val="000000"/>
          <w:spacing w:val="0"/>
          <w:sz w:val="32"/>
          <w:szCs w:val="32"/>
          <w:shd w:val="clear" w:fill="FFFFFF"/>
        </w:rPr>
        <w:t>3. 加强对政务公开业务知识的全面学习，提升业务人员能力。认真制定政务公开培训和学习计划，组织政府信息工作人员认真学习政府信息公开工作各种文件和规章制度，积极参加区政府组织的相关业务培训，不断提高工作人员的能力和素质。</w:t>
      </w:r>
    </w:p>
    <w:p>
      <w:pPr>
        <w:pStyle w:val="2"/>
        <w:keepNext w:val="0"/>
        <w:keepLines w:val="0"/>
        <w:widowControl/>
        <w:suppressLineNumbers w:val="0"/>
        <w:ind w:left="0" w:right="0" w:firstLine="420"/>
        <w:jc w:val="both"/>
      </w:pPr>
      <w:r>
        <w:rPr>
          <w:rStyle w:val="5"/>
          <w:rFonts w:hint="eastAsia" w:ascii="仿宋_GB2312" w:eastAsia="仿宋_GB2312" w:cs="仿宋_GB2312"/>
          <w:sz w:val="32"/>
          <w:szCs w:val="32"/>
        </w:rPr>
        <w:t>六、需要报告的其他事项</w:t>
      </w:r>
    </w:p>
    <w:p>
      <w:pPr>
        <w:pStyle w:val="2"/>
        <w:keepNext w:val="0"/>
        <w:keepLines w:val="0"/>
        <w:widowControl/>
        <w:suppressLineNumbers w:val="0"/>
        <w:ind w:left="0" w:right="0" w:firstLine="420"/>
        <w:jc w:val="both"/>
      </w:pPr>
      <w:r>
        <w:rPr>
          <w:rFonts w:hint="eastAsia" w:ascii="仿宋_GB2312" w:eastAsia="仿宋_GB2312" w:cs="仿宋_GB2312"/>
          <w:sz w:val="32"/>
          <w:szCs w:val="32"/>
        </w:rPr>
        <w:t>无需要报告的其他事项。</w:t>
      </w:r>
    </w:p>
    <w:p>
      <w:pPr>
        <w:pStyle w:val="2"/>
        <w:keepNext w:val="0"/>
        <w:keepLines w:val="0"/>
        <w:widowControl/>
        <w:suppressLineNumbers w:val="0"/>
        <w:ind w:left="0" w:right="0" w:firstLine="420"/>
        <w:jc w:val="both"/>
      </w:pPr>
      <w:r>
        <w:rPr>
          <w:rFonts w:hint="eastAsia" w:ascii="仿宋_GB2312" w:eastAsia="仿宋_GB2312" w:cs="仿宋_GB2312"/>
          <w:sz w:val="32"/>
          <w:szCs w:val="32"/>
        </w:rPr>
        <w:t> </w:t>
      </w:r>
    </w:p>
    <w:p>
      <w:pPr>
        <w:pStyle w:val="2"/>
        <w:keepNext w:val="0"/>
        <w:keepLines w:val="0"/>
        <w:widowControl/>
        <w:suppressLineNumbers w:val="0"/>
        <w:ind w:left="0" w:right="0" w:firstLine="420"/>
        <w:jc w:val="both"/>
      </w:pPr>
      <w:r>
        <w:rPr>
          <w:rFonts w:hint="eastAsia" w:ascii="仿宋_GB2312" w:eastAsia="仿宋_GB2312" w:cs="仿宋_GB2312"/>
          <w:sz w:val="32"/>
          <w:szCs w:val="32"/>
        </w:rPr>
        <w:t>                                博山区住房和城乡建设局</w:t>
      </w:r>
    </w:p>
    <w:p>
      <w:pPr>
        <w:pStyle w:val="2"/>
        <w:keepNext w:val="0"/>
        <w:keepLines w:val="0"/>
        <w:widowControl/>
        <w:suppressLineNumbers w:val="0"/>
        <w:ind w:left="0" w:right="0" w:firstLine="420"/>
        <w:jc w:val="both"/>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年1月2</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F7825"/>
    <w:multiLevelType w:val="singleLevel"/>
    <w:tmpl w:val="9B5F7825"/>
    <w:lvl w:ilvl="0" w:tentative="0">
      <w:start w:val="2"/>
      <w:numFmt w:val="chineseCounting"/>
      <w:suff w:val="nothing"/>
      <w:lvlText w:val="%1、"/>
      <w:lvlJc w:val="left"/>
      <w:rPr>
        <w:rFonts w:hint="eastAsia"/>
      </w:rPr>
    </w:lvl>
  </w:abstractNum>
  <w:abstractNum w:abstractNumId="1">
    <w:nsid w:val="061F5344"/>
    <w:multiLevelType w:val="singleLevel"/>
    <w:tmpl w:val="061F534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52BA"/>
    <w:rsid w:val="077F7DBD"/>
    <w:rsid w:val="0D551101"/>
    <w:rsid w:val="128B4CB7"/>
    <w:rsid w:val="135703AD"/>
    <w:rsid w:val="32FB5BE1"/>
    <w:rsid w:val="403C4F3C"/>
    <w:rsid w:val="50C5009A"/>
    <w:rsid w:val="5A29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2022-01-12T03:04:00Z</dcterms:created>
  <dc:creator>Administrator</dc:creator>
  <cp:lastModifiedBy>桃花依旧笑春风</cp:lastModifiedBy>
  <dcterms:modified xsi:type="dcterms:W3CDTF">2022-01-26T02:18:44Z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