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right="0" w:rightChars="0"/>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p>
    <w:p>
      <w:pPr>
        <w:pStyle w:val="2"/>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博建发〔202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74</w:t>
      </w:r>
      <w:r>
        <w:rPr>
          <w:rFonts w:hint="eastAsia" w:ascii="仿宋_GB2312" w:hAnsi="仿宋_GB2312" w:eastAsia="仿宋_GB2312" w:cs="仿宋_GB2312"/>
          <w:color w:val="auto"/>
          <w:sz w:val="32"/>
          <w:szCs w:val="32"/>
        </w:rPr>
        <w:t>号</w:t>
      </w:r>
    </w:p>
    <w:p>
      <w:pPr>
        <w:pStyle w:val="2"/>
        <w:rPr>
          <w:rFonts w:hint="eastAsia" w:ascii="仿宋_GB2312" w:hAnsi="仿宋_GB2312" w:eastAsia="仿宋_GB2312" w:cs="仿宋_GB2312"/>
          <w:color w:val="auto"/>
          <w:sz w:val="32"/>
          <w:szCs w:val="32"/>
          <w:lang w:val="en-US" w:eastAsia="zh-CN"/>
        </w:rPr>
      </w:pP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博山区住房和城乡建设局</w:t>
      </w: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pacing w:val="2"/>
          <w:sz w:val="44"/>
          <w:szCs w:val="44"/>
        </w:rPr>
        <w:t>关于印发</w:t>
      </w:r>
      <w:r>
        <w:rPr>
          <w:rFonts w:hint="eastAsia" w:ascii="方正小标宋简体" w:hAnsi="方正小标宋简体" w:eastAsia="方正小标宋简体" w:cs="方正小标宋简体"/>
          <w:color w:val="auto"/>
          <w:spacing w:val="2"/>
          <w:sz w:val="44"/>
          <w:szCs w:val="44"/>
          <w:lang w:val="en-US" w:eastAsia="zh-CN"/>
        </w:rPr>
        <w:t>全区房屋市政工程</w:t>
      </w:r>
      <w:r>
        <w:rPr>
          <w:rFonts w:hint="eastAsia" w:ascii="方正小标宋简体" w:hAnsi="方正小标宋简体" w:eastAsia="方正小标宋简体" w:cs="方正小标宋简体"/>
          <w:color w:val="auto"/>
          <w:sz w:val="44"/>
          <w:szCs w:val="44"/>
          <w:lang w:val="en-US" w:eastAsia="zh-CN"/>
        </w:rPr>
        <w:t>预防高处坠落、</w:t>
      </w: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违规电气焊作业和违规施工专项整治</w:t>
      </w: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行动方案</w:t>
      </w:r>
      <w:r>
        <w:rPr>
          <w:rFonts w:hint="eastAsia" w:ascii="方正小标宋简体" w:hAnsi="方正小标宋简体" w:eastAsia="方正小标宋简体" w:cs="方正小标宋简体"/>
          <w:color w:val="auto"/>
          <w:sz w:val="44"/>
          <w:szCs w:val="44"/>
        </w:rPr>
        <w:t>的通知</w:t>
      </w:r>
    </w:p>
    <w:p>
      <w:pPr>
        <w:keepNext w:val="0"/>
        <w:keepLines w:val="0"/>
        <w:pageBreakBefore w:val="0"/>
        <w:overflowPunct/>
        <w:topLinePunct w:val="0"/>
        <w:bidi w:val="0"/>
        <w:spacing w:line="560" w:lineRule="exact"/>
        <w:ind w:right="0" w:rightChars="0"/>
        <w:rPr>
          <w:rFonts w:ascii="仿宋_GB2312" w:hAnsi="仿宋_GB2312" w:eastAsia="仿宋_GB2312" w:cs="仿宋_GB2312"/>
          <w:color w:val="auto"/>
          <w:sz w:val="32"/>
          <w:szCs w:val="32"/>
        </w:rPr>
      </w:pPr>
    </w:p>
    <w:p>
      <w:pPr>
        <w:keepNext w:val="0"/>
        <w:keepLines w:val="0"/>
        <w:pageBreakBefore w:val="0"/>
        <w:overflowPunct/>
        <w:topLinePunct w:val="0"/>
        <w:bidi w:val="0"/>
        <w:spacing w:line="560" w:lineRule="exact"/>
        <w:ind w:right="0" w:rightChars="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局有关科室（中心），各建设、施工、监理企业：</w:t>
      </w:r>
    </w:p>
    <w:p>
      <w:pPr>
        <w:keepNext w:val="0"/>
        <w:keepLines w:val="0"/>
        <w:pageBreakBefore w:val="0"/>
        <w:overflowPunct/>
        <w:topLinePunct w:val="0"/>
        <w:bidi w:val="0"/>
        <w:adjustRightInd/>
        <w:spacing w:line="560" w:lineRule="exac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认真贯彻落实全国、省、市安全生产会议精神，按照省政府安委会办公室、省住房城乡建设厅、市住房城乡建设局、区安委会有关要求，区住建局起草了全区房屋市政工程预防高处坠落、违规电气焊作业和违规施工专项整治行动方案，现印发给你们，请认真贯彻落实。</w:t>
      </w:r>
    </w:p>
    <w:p>
      <w:pPr>
        <w:pStyle w:val="2"/>
        <w:rPr>
          <w:rFonts w:hint="eastAsia"/>
          <w:lang w:val="en-US" w:eastAsia="zh-CN"/>
        </w:rPr>
      </w:pPr>
    </w:p>
    <w:p>
      <w:pPr>
        <w:pStyle w:val="2"/>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博山区住房和城乡建设局</w:t>
      </w:r>
    </w:p>
    <w:p>
      <w:pPr>
        <w:pStyle w:val="2"/>
        <w:wordWrap w:val="0"/>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2023年8月9日   </w:t>
      </w: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pacing w:val="2"/>
          <w:sz w:val="44"/>
          <w:szCs w:val="44"/>
          <w:lang w:val="en-US" w:eastAsia="zh-CN"/>
        </w:rPr>
        <w:sectPr>
          <w:footerReference r:id="rId3" w:type="default"/>
          <w:pgSz w:w="11906" w:h="16839"/>
          <w:pgMar w:top="2098" w:right="1474" w:bottom="1985" w:left="1474" w:header="0" w:footer="1168" w:gutter="0"/>
          <w:pgNumType w:fmt="numberInDash" w:start="1"/>
          <w:cols w:space="720" w:num="1"/>
        </w:sectPr>
      </w:pP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pacing w:val="2"/>
          <w:sz w:val="44"/>
          <w:szCs w:val="44"/>
        </w:rPr>
      </w:pPr>
      <w:r>
        <w:rPr>
          <w:rFonts w:hint="eastAsia" w:ascii="方正小标宋简体" w:hAnsi="方正小标宋简体" w:eastAsia="方正小标宋简体" w:cs="方正小标宋简体"/>
          <w:color w:val="auto"/>
          <w:spacing w:val="2"/>
          <w:sz w:val="44"/>
          <w:szCs w:val="44"/>
          <w:lang w:val="en-US" w:eastAsia="zh-CN"/>
        </w:rPr>
        <w:t>全区房屋市政工程</w:t>
      </w:r>
      <w:r>
        <w:rPr>
          <w:rFonts w:hint="eastAsia" w:ascii="方正小标宋简体" w:hAnsi="方正小标宋简体" w:eastAsia="方正小标宋简体" w:cs="方正小标宋简体"/>
          <w:color w:val="auto"/>
          <w:spacing w:val="2"/>
          <w:sz w:val="44"/>
          <w:szCs w:val="44"/>
        </w:rPr>
        <w:t>预防高处坠落</w:t>
      </w:r>
    </w:p>
    <w:p>
      <w:pPr>
        <w:keepNext w:val="0"/>
        <w:keepLines w:val="0"/>
        <w:pageBreakBefore w:val="0"/>
        <w:overflowPunct/>
        <w:topLinePunct w:val="0"/>
        <w:bidi w:val="0"/>
        <w:spacing w:line="560" w:lineRule="exact"/>
        <w:ind w:right="0" w:rightChars="0"/>
        <w:jc w:val="center"/>
        <w:rPr>
          <w:rFonts w:hint="eastAsia" w:ascii="方正小标宋简体" w:hAnsi="方正小标宋简体" w:eastAsia="方正小标宋简体" w:cs="方正小标宋简体"/>
          <w:color w:val="auto"/>
          <w:spacing w:val="2"/>
          <w:sz w:val="44"/>
          <w:szCs w:val="44"/>
        </w:rPr>
      </w:pPr>
      <w:r>
        <w:rPr>
          <w:rFonts w:hint="eastAsia" w:ascii="方正小标宋简体" w:hAnsi="方正小标宋简体" w:eastAsia="方正小标宋简体" w:cs="方正小标宋简体"/>
          <w:color w:val="auto"/>
          <w:spacing w:val="2"/>
          <w:sz w:val="44"/>
          <w:szCs w:val="44"/>
        </w:rPr>
        <w:t>专项整治行动方案</w:t>
      </w:r>
    </w:p>
    <w:p>
      <w:pPr>
        <w:pStyle w:val="2"/>
        <w:ind w:firstLine="648" w:firstLineChars="200"/>
        <w:rPr>
          <w:rFonts w:hint="eastAsia" w:ascii="仿宋_GB2312" w:hAnsi="仿宋_GB2312" w:eastAsia="仿宋_GB2312" w:cs="仿宋_GB2312"/>
          <w:color w:val="auto"/>
          <w:spacing w:val="2"/>
          <w:sz w:val="32"/>
          <w:szCs w:val="32"/>
          <w:lang w:val="en-US" w:eastAsia="zh-CN"/>
        </w:rPr>
      </w:pPr>
    </w:p>
    <w:p>
      <w:pPr>
        <w:pStyle w:val="2"/>
        <w:ind w:firstLine="648" w:firstLineChars="200"/>
        <w:rPr>
          <w:rFonts w:hint="default" w:eastAsia="仿宋_GB2312"/>
          <w:lang w:val="en-US" w:eastAsia="zh-CN"/>
        </w:rPr>
      </w:pPr>
      <w:r>
        <w:rPr>
          <w:rFonts w:hint="eastAsia" w:ascii="仿宋_GB2312" w:hAnsi="仿宋_GB2312" w:eastAsia="仿宋_GB2312" w:cs="仿宋_GB2312"/>
          <w:color w:val="auto"/>
          <w:spacing w:val="2"/>
          <w:sz w:val="32"/>
          <w:szCs w:val="32"/>
          <w:lang w:val="en-US" w:eastAsia="zh-CN"/>
        </w:rPr>
        <w:t>为巩固提升预防高处坠落专项整治百日行动和“回头看”工作成效，</w:t>
      </w:r>
      <w:r>
        <w:rPr>
          <w:rFonts w:hint="eastAsia" w:ascii="Times New Roman" w:hAnsi="Times New Roman" w:eastAsia="仿宋_GB2312" w:cs="Times New Roman"/>
          <w:sz w:val="32"/>
          <w:szCs w:val="32"/>
          <w:lang w:val="en-US" w:eastAsia="zh-CN"/>
        </w:rPr>
        <w:t>为</w:t>
      </w:r>
      <w:r>
        <w:rPr>
          <w:rFonts w:hint="eastAsia" w:ascii="仿宋_GB2312" w:hAnsi="仿宋_GB2312" w:eastAsia="仿宋_GB2312" w:cs="仿宋_GB2312"/>
          <w:color w:val="auto"/>
          <w:sz w:val="32"/>
          <w:szCs w:val="32"/>
        </w:rPr>
        <w:t>进一步强化</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建筑施工生产安全管理，坚决遏制高处坠落事故，决定自即日起在</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房屋市政工程预防</w:t>
      </w:r>
      <w:r>
        <w:rPr>
          <w:rFonts w:hint="eastAsia" w:ascii="仿宋_GB2312" w:hAnsi="仿宋_GB2312" w:eastAsia="仿宋_GB2312" w:cs="仿宋_GB2312"/>
          <w:color w:val="auto"/>
          <w:sz w:val="32"/>
          <w:szCs w:val="32"/>
        </w:rPr>
        <w:t>高处坠落专项整治行动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制定方案如下。</w:t>
      </w:r>
    </w:p>
    <w:p>
      <w:pPr>
        <w:keepNext w:val="0"/>
        <w:keepLines w:val="0"/>
        <w:pageBreakBefore w:val="0"/>
        <w:overflowPunct/>
        <w:topLinePunct w:val="0"/>
        <w:bidi w:val="0"/>
        <w:spacing w:line="560" w:lineRule="exact"/>
        <w:ind w:right="0" w:rightChars="0" w:firstLine="640" w:firstLineChars="200"/>
        <w:rPr>
          <w:rFonts w:ascii="Times New Roman" w:hAnsi="Times New Roman" w:eastAsia="黑体"/>
          <w:sz w:val="32"/>
          <w:szCs w:val="32"/>
        </w:rPr>
      </w:pPr>
      <w:r>
        <w:rPr>
          <w:rFonts w:hint="eastAsia" w:ascii="黑体" w:hAnsi="黑体" w:eastAsia="黑体" w:cs="黑体"/>
          <w:color w:val="auto"/>
          <w:sz w:val="32"/>
          <w:szCs w:val="32"/>
        </w:rPr>
        <w:t>一、</w:t>
      </w:r>
      <w:r>
        <w:rPr>
          <w:rFonts w:hint="eastAsia" w:ascii="Times New Roman" w:hAnsi="Times New Roman" w:eastAsia="黑体"/>
          <w:sz w:val="32"/>
          <w:szCs w:val="32"/>
          <w:lang w:val="en-US" w:eastAsia="zh-CN"/>
        </w:rPr>
        <w:t>整治</w:t>
      </w:r>
      <w:r>
        <w:rPr>
          <w:rFonts w:ascii="Times New Roman" w:hAnsi="Times New Roman" w:eastAsia="黑体"/>
          <w:sz w:val="32"/>
          <w:szCs w:val="32"/>
        </w:rPr>
        <w:t>范围</w:t>
      </w:r>
    </w:p>
    <w:p>
      <w:pPr>
        <w:keepNext w:val="0"/>
        <w:keepLines w:val="0"/>
        <w:pageBreakBefore w:val="0"/>
        <w:overflowPunct/>
        <w:topLinePunct w:val="0"/>
        <w:bidi w:val="0"/>
        <w:spacing w:line="560" w:lineRule="exact"/>
        <w:ind w:right="0" w:rightChars="0"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全区</w:t>
      </w:r>
      <w:r>
        <w:rPr>
          <w:rFonts w:ascii="Times New Roman" w:hAnsi="Times New Roman" w:eastAsia="仿宋_GB2312"/>
          <w:sz w:val="32"/>
          <w:szCs w:val="32"/>
        </w:rPr>
        <w:t>房屋建筑、市政基础设施在建工程。</w:t>
      </w:r>
    </w:p>
    <w:p>
      <w:pPr>
        <w:keepNext w:val="0"/>
        <w:keepLines w:val="0"/>
        <w:pageBreakBefore w:val="0"/>
        <w:overflowPunct/>
        <w:topLinePunct w:val="0"/>
        <w:bidi w:val="0"/>
        <w:adjustRightInd/>
        <w:spacing w:line="560" w:lineRule="exact"/>
        <w:ind w:right="0" w:rightChars="0"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二、整治目标</w:t>
      </w: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通过开展专项整治</w:t>
      </w:r>
      <w:r>
        <w:rPr>
          <w:rFonts w:hint="eastAsia" w:ascii="仿宋_GB2312" w:hAnsi="仿宋_GB2312" w:eastAsia="仿宋_GB2312" w:cs="仿宋_GB2312"/>
          <w:color w:val="auto"/>
          <w:sz w:val="32"/>
          <w:szCs w:val="32"/>
          <w:lang w:val="en-US" w:eastAsia="zh-CN"/>
        </w:rPr>
        <w:t>行动</w:t>
      </w:r>
      <w:r>
        <w:rPr>
          <w:rFonts w:hint="eastAsia" w:ascii="仿宋_GB2312" w:hAnsi="仿宋_GB2312" w:eastAsia="仿宋_GB2312" w:cs="仿宋_GB2312"/>
          <w:color w:val="auto"/>
          <w:sz w:val="32"/>
          <w:szCs w:val="32"/>
        </w:rPr>
        <w:t>，督促企业落实安全生产主体责任，</w:t>
      </w:r>
      <w:r>
        <w:rPr>
          <w:rFonts w:hint="eastAsia" w:ascii="仿宋_GB2312" w:hAnsi="仿宋_GB2312" w:eastAsia="仿宋_GB2312" w:cs="仿宋_GB2312"/>
          <w:color w:val="auto"/>
          <w:sz w:val="32"/>
          <w:szCs w:val="32"/>
          <w:lang w:val="en-US" w:eastAsia="zh-CN"/>
        </w:rPr>
        <w:t>强化双重预防体系和标准化建设，</w:t>
      </w:r>
      <w:r>
        <w:rPr>
          <w:rFonts w:hint="eastAsia" w:ascii="仿宋_GB2312" w:hAnsi="仿宋_GB2312" w:eastAsia="仿宋_GB2312" w:cs="仿宋_GB2312"/>
          <w:color w:val="auto"/>
          <w:sz w:val="32"/>
          <w:szCs w:val="32"/>
        </w:rPr>
        <w:t>切实解决施工现场安全责任不落实、安全管理不到位、防护措施不完善、作业行为不规范、教育培训不到位等问题，有效消除人的不安全行为、物的不安全状态和管理缺陷</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推动高处坠落事故隐患见底清零，持续推动住建领域施工安全生产形势稳定向好。</w:t>
      </w:r>
    </w:p>
    <w:p>
      <w:pPr>
        <w:keepNext w:val="0"/>
        <w:keepLines w:val="0"/>
        <w:pageBreakBefore w:val="0"/>
        <w:overflowPunct/>
        <w:topLinePunct w:val="0"/>
        <w:bidi w:val="0"/>
        <w:adjustRightInd/>
        <w:spacing w:line="560" w:lineRule="exact"/>
        <w:ind w:right="0" w:rightChars="0"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三、整治依据</w:t>
      </w: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法》《建设工程安全生产管理条例》《山东省安全生产条例》《建筑施工高处作业安全技术规范》（JGJ80-2016）《房屋市政工程高处坠落事故预防指南》《施工现场预防高处坠落检查标准》《房屋市政工程施工预防高处坠落“四必须”“三严禁”“五不登”规定》（鲁建安办字〔2022〕1号）等法律法规、规范标准和政策规定。</w:t>
      </w:r>
    </w:p>
    <w:p>
      <w:pPr>
        <w:keepNext w:val="0"/>
        <w:keepLines w:val="0"/>
        <w:pageBreakBefore w:val="0"/>
        <w:overflowPunct/>
        <w:topLinePunct w:val="0"/>
        <w:bidi w:val="0"/>
        <w:adjustRightInd/>
        <w:spacing w:line="560" w:lineRule="exact"/>
        <w:ind w:right="0" w:rightChars="0"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四、整治重点</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按规定编制、审查高处作业专项施工方案和技术措施的。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建筑施工特种作业人员未经建设主管部门考核合格，取得建筑施工特种作业人员操作资格证书上岗作业的。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非法将含有高处作业相关工作内容的工程发包给不具备安全生产条件或者相应资质的单位（个人）的。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未对高处作业人员进行安全教育培训、配发符合安全作业要求的劳动防护用品、定期体检的。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实施作业前，未向作业人员进行安全技术交底，未做好作业现场应急准备工作的；实施作业时，未严格落实高处作业方案和技术措施的。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业现场安全防护措施不到位，未对作业现场进行安全风险辨识的；未指定安全生产管理人员对作业方案、应急措施等进行现场查验，确认作业人员的上岗资格、身体状况以及配戴的劳动防护用品等符合安全作业要求的；未按照规定配备、安装、验收安全防护设备设施、应急救援装备，设置安全警示标志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施工单位主要负责人、项目负责人以及专职安全生产管理人员未取得安全生产考核合格证书的；危大工程施工作业期间，项目负责人未在施工现场履职，项目专职安全生产管理人员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及</w:t>
      </w:r>
      <w:r>
        <w:rPr>
          <w:rFonts w:hint="eastAsia" w:ascii="仿宋_GB2312" w:hAnsi="仿宋_GB2312" w:eastAsia="仿宋_GB2312" w:cs="仿宋_GB2312"/>
          <w:color w:val="auto"/>
          <w:sz w:val="32"/>
          <w:szCs w:val="32"/>
        </w:rPr>
        <w:t>生产管理人员</w:t>
      </w:r>
      <w:r>
        <w:rPr>
          <w:rFonts w:hint="eastAsia" w:ascii="仿宋_GB2312" w:hAnsi="仿宋_GB2312" w:eastAsia="仿宋_GB2312" w:cs="仿宋_GB2312"/>
          <w:sz w:val="32"/>
          <w:szCs w:val="32"/>
        </w:rPr>
        <w:t>未对专项施工方案实施情况进行现场监督，监理单位未对危大工程施工实施专项巡视检查的。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安全检查频次不足、记录缺失，发现隐患问题不纠正不整改，或者整改不彻底，屡改屡犯的。</w:t>
      </w:r>
    </w:p>
    <w:p>
      <w:pPr>
        <w:keepNext w:val="0"/>
        <w:keepLines w:val="0"/>
        <w:pageBreakBefore w:val="0"/>
        <w:overflowPunct/>
        <w:topLinePunct w:val="0"/>
        <w:bidi w:val="0"/>
        <w:spacing w:line="560" w:lineRule="exact"/>
        <w:ind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未开展施工安全标准化考评，</w:t>
      </w:r>
      <w:r>
        <w:rPr>
          <w:rFonts w:hint="eastAsia" w:ascii="仿宋_GB2312" w:hAnsi="仿宋_GB2312" w:eastAsia="仿宋_GB2312" w:cs="仿宋_GB2312"/>
          <w:sz w:val="32"/>
          <w:szCs w:val="32"/>
        </w:rPr>
        <w:t>建立安全风险分级管控和隐患排查治理双重预防机制，</w:t>
      </w:r>
      <w:r>
        <w:rPr>
          <w:rFonts w:ascii="仿宋_GB2312" w:hAnsi="仿宋_GB2312" w:eastAsia="仿宋_GB2312" w:cs="仿宋_GB2312"/>
          <w:sz w:val="32"/>
          <w:szCs w:val="32"/>
        </w:rPr>
        <w:t>落实质量安全手册制度的</w:t>
      </w:r>
      <w:r>
        <w:rPr>
          <w:rFonts w:hint="eastAsia" w:ascii="仿宋_GB2312" w:hAnsi="仿宋_GB2312" w:eastAsia="仿宋_GB2312" w:cs="仿宋_GB2312"/>
          <w:sz w:val="32"/>
          <w:szCs w:val="32"/>
        </w:rPr>
        <w:t>。</w:t>
      </w:r>
    </w:p>
    <w:p>
      <w:pPr>
        <w:keepNext w:val="0"/>
        <w:keepLines w:val="0"/>
        <w:pageBreakBefore w:val="0"/>
        <w:overflowPunct/>
        <w:topLinePunct w:val="0"/>
        <w:bidi w:val="0"/>
        <w:spacing w:line="560" w:lineRule="exact"/>
        <w:ind w:right="0"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高处作业人员违章作业、违反劳动纪律的；施工管理人员违章指挥、强令冒险作业的；高处作业设备未定期保养维护，超载、超员使用的。</w:t>
      </w:r>
    </w:p>
    <w:p>
      <w:pPr>
        <w:pStyle w:val="2"/>
        <w:keepNext w:val="0"/>
        <w:keepLines w:val="0"/>
        <w:pageBreakBefore w:val="0"/>
        <w:overflowPunct/>
        <w:topLinePunct w:val="0"/>
        <w:bidi w:val="0"/>
        <w:spacing w:line="560" w:lineRule="exact"/>
        <w:ind w:right="0" w:rightChars="0" w:firstLine="640" w:firstLineChars="200"/>
        <w:rPr>
          <w:rFonts w:hint="default" w:eastAsia="仿宋_GB2312"/>
          <w:color w:val="FF0000"/>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违反房屋市政工程生产安全重大事故隐患判定标准第九条规定的。</w:t>
      </w:r>
    </w:p>
    <w:p>
      <w:pPr>
        <w:keepNext w:val="0"/>
        <w:keepLines w:val="0"/>
        <w:pageBreakBefore w:val="0"/>
        <w:overflowPunct/>
        <w:topLinePunct w:val="0"/>
        <w:bidi w:val="0"/>
        <w:adjustRightInd/>
        <w:spacing w:line="560" w:lineRule="exact"/>
        <w:ind w:right="0" w:rightChars="0"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五、时间安排</w:t>
      </w:r>
    </w:p>
    <w:p>
      <w:pPr>
        <w:keepNext w:val="0"/>
        <w:keepLines w:val="0"/>
        <w:pageBreakBefore w:val="0"/>
        <w:overflowPunct/>
        <w:topLinePunct w:val="0"/>
        <w:bidi w:val="0"/>
        <w:spacing w:line="560" w:lineRule="exac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动员部署阶段（</w:t>
      </w:r>
      <w:r>
        <w:rPr>
          <w:rFonts w:ascii="楷体_GB2312" w:hAnsi="楷体_GB2312" w:eastAsia="楷体_GB2312" w:cs="楷体_GB2312"/>
          <w:color w:val="auto"/>
          <w:sz w:val="32"/>
          <w:szCs w:val="32"/>
        </w:rPr>
        <w:t>2023年</w:t>
      </w:r>
      <w:r>
        <w:rPr>
          <w:rFonts w:hint="eastAsia" w:ascii="楷体_GB2312" w:hAnsi="楷体_GB2312" w:eastAsia="楷体_GB2312" w:cs="楷体_GB2312"/>
          <w:color w:val="auto"/>
          <w:sz w:val="32"/>
          <w:szCs w:val="32"/>
          <w:lang w:val="en-US" w:eastAsia="zh-CN"/>
        </w:rPr>
        <w:t>8月10日前）。</w:t>
      </w:r>
      <w:r>
        <w:rPr>
          <w:rFonts w:hint="eastAsia" w:ascii="仿宋_GB2312" w:hAnsi="仿宋_GB2312" w:eastAsia="仿宋_GB2312" w:cs="仿宋_GB2312"/>
          <w:color w:val="auto"/>
          <w:sz w:val="32"/>
          <w:szCs w:val="32"/>
          <w:lang w:val="en-US" w:eastAsia="zh-CN"/>
        </w:rPr>
        <w:t>局有关科室（中心）、各企业项目要结合实际，迅速研究制定预防高处坠落专项行动具体实施方案或施工方案，并确保方案传达到所有在建项目。</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自查自纠阶段（</w:t>
      </w:r>
      <w:r>
        <w:rPr>
          <w:rFonts w:ascii="楷体_GB2312" w:hAnsi="楷体_GB2312" w:eastAsia="楷体_GB2312" w:cs="楷体_GB2312"/>
          <w:color w:val="auto"/>
          <w:sz w:val="32"/>
          <w:szCs w:val="32"/>
        </w:rPr>
        <w:t>2023年</w:t>
      </w:r>
      <w:r>
        <w:rPr>
          <w:rFonts w:hint="eastAsia" w:ascii="楷体_GB2312" w:hAnsi="楷体_GB2312" w:eastAsia="楷体_GB2312" w:cs="楷体_GB2312"/>
          <w:color w:val="auto"/>
          <w:sz w:val="32"/>
          <w:szCs w:val="32"/>
          <w:lang w:val="en-US" w:eastAsia="zh-CN"/>
        </w:rPr>
        <w:t>8月11日</w:t>
      </w:r>
      <w:r>
        <w:rPr>
          <w:rFonts w:hint="eastAsia" w:ascii="楷体_GB2312" w:hAnsi="楷体_GB2312" w:eastAsia="楷体_GB2312" w:cs="楷体_GB2312"/>
          <w:color w:val="auto"/>
          <w:sz w:val="32"/>
          <w:szCs w:val="32"/>
        </w:rPr>
        <w:t>至</w:t>
      </w:r>
      <w:r>
        <w:rPr>
          <w:rFonts w:ascii="楷体_GB2312" w:hAnsi="楷体_GB2312" w:eastAsia="楷体_GB2312" w:cs="楷体_GB2312"/>
          <w:color w:val="auto"/>
          <w:sz w:val="32"/>
          <w:szCs w:val="32"/>
        </w:rPr>
        <w:t>8</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31日</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项目参建单位组织召开预防高处坠落专项行动部署会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施工现场预防高处坠落检查标准》，对照整治重点内容组织1次全面自查，及时消除安全隐患，并将自查整改情况存档备查。对高处作业人员岗位责任落实情况施工企业每月、项目部每周、安全员每天、班组长每班检查核实</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次，详细记入项目考评资料和施工</w:t>
      </w:r>
      <w:r>
        <w:rPr>
          <w:rFonts w:hint="eastAsia" w:ascii="仿宋_GB2312" w:hAnsi="仿宋_GB2312" w:eastAsia="仿宋_GB2312" w:cs="仿宋_GB2312"/>
          <w:color w:val="auto"/>
          <w:sz w:val="32"/>
          <w:szCs w:val="32"/>
          <w:lang w:val="en-US" w:eastAsia="zh-CN"/>
        </w:rPr>
        <w:t>安全</w:t>
      </w:r>
      <w:r>
        <w:rPr>
          <w:rFonts w:hint="eastAsia" w:ascii="仿宋_GB2312" w:hAnsi="仿宋_GB2312" w:eastAsia="仿宋_GB2312" w:cs="仿宋_GB2312"/>
          <w:color w:val="auto"/>
          <w:sz w:val="32"/>
          <w:szCs w:val="32"/>
        </w:rPr>
        <w:t>日志</w:t>
      </w:r>
      <w:r>
        <w:rPr>
          <w:rFonts w:hint="eastAsia" w:ascii="仿宋_GB2312" w:hAnsi="仿宋_GB2312" w:eastAsia="仿宋_GB2312" w:cs="仿宋_GB2312"/>
          <w:color w:val="auto"/>
          <w:sz w:val="32"/>
          <w:szCs w:val="32"/>
          <w:lang w:eastAsia="zh-CN"/>
        </w:rPr>
        <w:t>；对危大工程施工作业人员进行登记，</w:t>
      </w:r>
      <w:r>
        <w:rPr>
          <w:rFonts w:hint="eastAsia" w:ascii="仿宋_GB2312" w:hAnsi="仿宋_GB2312" w:eastAsia="仿宋_GB2312" w:cs="仿宋_GB2312"/>
          <w:color w:val="auto"/>
          <w:sz w:val="32"/>
          <w:szCs w:val="32"/>
        </w:rPr>
        <w:t>严防因证书过期造成无证上岗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明确“谁招人员、谁负责任”的管理制度，严禁聘用和招请未经安全培训合格、未取得资格证书的人员上岗作业。</w:t>
      </w:r>
    </w:p>
    <w:p>
      <w:pPr>
        <w:keepNext w:val="0"/>
        <w:keepLines w:val="0"/>
        <w:pageBreakBefore w:val="0"/>
        <w:overflowPunct/>
        <w:topLinePunct w:val="0"/>
        <w:bidi w:val="0"/>
        <w:spacing w:line="560" w:lineRule="exact"/>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）推进实施阶段（</w:t>
      </w:r>
      <w:r>
        <w:rPr>
          <w:rFonts w:ascii="楷体_GB2312" w:hAnsi="楷体_GB2312" w:eastAsia="楷体_GB2312" w:cs="楷体_GB2312"/>
          <w:color w:val="auto"/>
          <w:sz w:val="32"/>
          <w:szCs w:val="32"/>
        </w:rPr>
        <w:t>2023年</w:t>
      </w:r>
      <w:r>
        <w:rPr>
          <w:rFonts w:hint="eastAsia" w:ascii="楷体_GB2312" w:hAnsi="楷体_GB2312" w:eastAsia="楷体_GB2312" w:cs="楷体_GB2312"/>
          <w:color w:val="auto"/>
          <w:sz w:val="32"/>
          <w:szCs w:val="32"/>
          <w:lang w:val="en-US" w:eastAsia="zh-CN"/>
        </w:rPr>
        <w:t>9月至11月</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val="en-US" w:eastAsia="zh-CN"/>
        </w:rPr>
        <w:t>各有关科室（中心）要</w:t>
      </w:r>
      <w:r>
        <w:rPr>
          <w:rFonts w:hint="eastAsia" w:ascii="仿宋_GB2312" w:hAnsi="仿宋_GB2312" w:eastAsia="仿宋_GB2312" w:cs="仿宋_GB2312"/>
          <w:color w:val="auto"/>
          <w:sz w:val="32"/>
          <w:szCs w:val="32"/>
        </w:rPr>
        <w:t>结合日常</w:t>
      </w:r>
      <w:r>
        <w:rPr>
          <w:rFonts w:hint="eastAsia" w:ascii="仿宋_GB2312" w:hAnsi="仿宋_GB2312" w:eastAsia="仿宋_GB2312" w:cs="仿宋_GB2312"/>
          <w:color w:val="auto"/>
          <w:sz w:val="32"/>
          <w:szCs w:val="32"/>
          <w:lang w:val="en-US" w:eastAsia="zh-CN"/>
        </w:rPr>
        <w:t>监管</w:t>
      </w:r>
      <w:r>
        <w:rPr>
          <w:rFonts w:hint="eastAsia" w:ascii="仿宋_GB2312" w:hAnsi="仿宋_GB2312" w:eastAsia="仿宋_GB2312" w:cs="仿宋_GB2312"/>
          <w:color w:val="auto"/>
          <w:sz w:val="32"/>
          <w:szCs w:val="32"/>
        </w:rPr>
        <w:t>，对企业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自查自纠开展情况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按照项目全覆盖原则</w:t>
      </w:r>
      <w:r>
        <w:rPr>
          <w:rFonts w:hint="eastAsia" w:ascii="仿宋_GB2312" w:hAnsi="仿宋_GB2312" w:eastAsia="仿宋_GB2312" w:cs="仿宋_GB2312"/>
          <w:color w:val="auto"/>
          <w:sz w:val="32"/>
          <w:szCs w:val="32"/>
        </w:rPr>
        <w:t>进行检查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对施工现场各类安全防护措施进行抽查；对作业人员高处作业安全防护情况进行检查。</w:t>
      </w:r>
      <w:r>
        <w:rPr>
          <w:rFonts w:hint="eastAsia" w:ascii="仿宋_GB2312" w:hAnsi="仿宋_GB2312" w:eastAsia="仿宋_GB2312" w:cs="仿宋_GB2312"/>
          <w:color w:val="auto"/>
          <w:sz w:val="32"/>
          <w:szCs w:val="32"/>
          <w:lang w:val="en-US" w:eastAsia="zh-CN"/>
        </w:rPr>
        <w:t>区住房城乡建设局将结合年度检查计划，队专项整治工作开展情况进行检查。</w:t>
      </w: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巩固</w:t>
      </w:r>
      <w:r>
        <w:rPr>
          <w:rFonts w:hint="eastAsia" w:ascii="楷体_GB2312" w:hAnsi="楷体_GB2312" w:eastAsia="楷体_GB2312" w:cs="楷体_GB2312"/>
          <w:color w:val="auto"/>
          <w:sz w:val="32"/>
          <w:szCs w:val="32"/>
        </w:rPr>
        <w:t>提升阶段（</w:t>
      </w:r>
      <w:r>
        <w:rPr>
          <w:rFonts w:ascii="楷体_GB2312" w:hAnsi="楷体_GB2312" w:eastAsia="楷体_GB2312" w:cs="楷体_GB2312"/>
          <w:color w:val="auto"/>
          <w:sz w:val="32"/>
          <w:szCs w:val="32"/>
        </w:rPr>
        <w:t>2023</w:t>
      </w:r>
      <w:r>
        <w:rPr>
          <w:rFonts w:hint="eastAsia" w:ascii="楷体_GB2312" w:hAnsi="楷体_GB2312" w:eastAsia="楷体_GB2312" w:cs="楷体_GB2312"/>
          <w:color w:val="auto"/>
          <w:sz w:val="32"/>
          <w:szCs w:val="32"/>
          <w:lang w:val="en-US" w:eastAsia="zh-CN"/>
        </w:rPr>
        <w:t>年12月底前</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对整治情况总结提升，</w:t>
      </w:r>
      <w:r>
        <w:rPr>
          <w:rFonts w:ascii="仿宋_GB2312" w:hAnsi="仿宋_GB2312" w:eastAsia="仿宋_GB2312" w:cs="仿宋_GB2312"/>
          <w:color w:val="auto"/>
          <w:sz w:val="32"/>
          <w:szCs w:val="32"/>
        </w:rPr>
        <w:t>选树一批标杆企业、项目，</w:t>
      </w:r>
      <w:r>
        <w:rPr>
          <w:rFonts w:hint="eastAsia" w:ascii="仿宋_GB2312" w:hAnsi="仿宋_GB2312" w:eastAsia="仿宋_GB2312" w:cs="仿宋_GB2312"/>
          <w:color w:val="auto"/>
          <w:sz w:val="32"/>
          <w:szCs w:val="32"/>
          <w:lang w:val="en-US" w:eastAsia="zh-CN"/>
        </w:rPr>
        <w:t>将</w:t>
      </w:r>
      <w:r>
        <w:rPr>
          <w:rFonts w:ascii="仿宋_GB2312" w:hAnsi="仿宋_GB2312" w:eastAsia="仿宋_GB2312" w:cs="仿宋_GB2312"/>
          <w:color w:val="auto"/>
          <w:sz w:val="32"/>
          <w:szCs w:val="32"/>
        </w:rPr>
        <w:t>屡纠屡犯、隐患突出的企业</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分类提级监管</w:t>
      </w:r>
      <w:r>
        <w:rPr>
          <w:rFonts w:ascii="仿宋_GB2312" w:hAnsi="仿宋_GB2312" w:eastAsia="仿宋_GB2312" w:cs="仿宋_GB2312"/>
          <w:color w:val="auto"/>
          <w:sz w:val="32"/>
          <w:szCs w:val="32"/>
        </w:rPr>
        <w:t>，巩固提升行动成</w:t>
      </w:r>
      <w:r>
        <w:rPr>
          <w:rFonts w:ascii="仿宋_GB2312" w:hAnsi="仿宋_GB2312" w:eastAsia="仿宋_GB2312" w:cs="仿宋_GB2312"/>
          <w:sz w:val="32"/>
          <w:szCs w:val="32"/>
        </w:rPr>
        <w:t>效。</w:t>
      </w:r>
    </w:p>
    <w:p>
      <w:pPr>
        <w:keepNext w:val="0"/>
        <w:keepLines w:val="0"/>
        <w:pageBreakBefore w:val="0"/>
        <w:overflowPunct/>
        <w:topLinePunct w:val="0"/>
        <w:bidi w:val="0"/>
        <w:adjustRightInd/>
        <w:spacing w:line="560" w:lineRule="exact"/>
        <w:ind w:right="0" w:rightChars="0"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六、工作要求</w:t>
      </w:r>
    </w:p>
    <w:p>
      <w:pPr>
        <w:keepNext w:val="0"/>
        <w:keepLines w:val="0"/>
        <w:pageBreakBefore w:val="0"/>
        <w:overflowPunct/>
        <w:topLinePunct w:val="0"/>
        <w:bidi w:val="0"/>
        <w:adjustRightInd/>
        <w:spacing w:line="560" w:lineRule="exact"/>
        <w:ind w:right="0" w:rightChars="0"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（一）提高认识，强化落实。</w:t>
      </w:r>
      <w:r>
        <w:rPr>
          <w:rFonts w:hint="eastAsia" w:ascii="仿宋_GB2312" w:hAnsi="仿宋_GB2312" w:eastAsia="仿宋_GB2312" w:cs="仿宋_GB2312"/>
          <w:color w:val="auto"/>
          <w:sz w:val="32"/>
          <w:szCs w:val="32"/>
          <w:lang w:val="en-US" w:eastAsia="zh-CN"/>
        </w:rPr>
        <w:t>局有关科室（中心）、各企业项目</w:t>
      </w:r>
      <w:r>
        <w:rPr>
          <w:rFonts w:hint="eastAsia" w:ascii="仿宋_GB2312" w:hAnsi="仿宋_GB2312" w:eastAsia="仿宋_GB2312" w:cs="仿宋_GB2312"/>
          <w:color w:val="auto"/>
          <w:sz w:val="32"/>
          <w:szCs w:val="32"/>
        </w:rPr>
        <w:t>务必高度重视，结合安全生产治理巩固提升和重大事故隐患专项排查整治行动，确保专项整治行动见实效。</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广泛宣传，营造氛围。</w:t>
      </w:r>
      <w:r>
        <w:rPr>
          <w:rFonts w:hint="eastAsia" w:ascii="仿宋_GB2312" w:hAnsi="仿宋_GB2312" w:eastAsia="仿宋_GB2312" w:cs="仿宋_GB2312"/>
          <w:color w:val="auto"/>
          <w:sz w:val="32"/>
          <w:szCs w:val="32"/>
        </w:rPr>
        <w:t>强化公益宣传，利用</w:t>
      </w:r>
      <w:r>
        <w:rPr>
          <w:rFonts w:hint="eastAsia" w:ascii="仿宋_GB2312" w:hAnsi="仿宋_GB2312" w:eastAsia="仿宋_GB2312" w:cs="仿宋_GB2312"/>
          <w:color w:val="auto"/>
          <w:sz w:val="32"/>
          <w:szCs w:val="32"/>
          <w:lang w:val="en-US" w:eastAsia="zh-CN"/>
        </w:rPr>
        <w:t>网络媒体</w:t>
      </w:r>
      <w:r>
        <w:rPr>
          <w:rFonts w:hint="eastAsia" w:ascii="仿宋_GB2312" w:hAnsi="仿宋_GB2312" w:eastAsia="仿宋_GB2312" w:cs="仿宋_GB2312"/>
          <w:color w:val="auto"/>
          <w:sz w:val="32"/>
          <w:szCs w:val="32"/>
        </w:rPr>
        <w:t>向社会群众广泛宣传专项整治行动，作业现场要张贴标语、播放警示视频和警示语。进一步健全安全生产举报奖励体系，鼓励“内部吹哨人”和</w:t>
      </w:r>
      <w:r>
        <w:rPr>
          <w:rFonts w:hint="eastAsia" w:ascii="仿宋_GB2312" w:hAnsi="仿宋_GB2312" w:eastAsia="仿宋_GB2312" w:cs="仿宋_GB2312"/>
          <w:color w:val="auto"/>
          <w:sz w:val="32"/>
          <w:szCs w:val="32"/>
          <w:lang w:val="en-US" w:eastAsia="zh-CN"/>
        </w:rPr>
        <w:t>群众</w:t>
      </w:r>
      <w:r>
        <w:rPr>
          <w:rFonts w:hint="eastAsia" w:ascii="仿宋_GB2312" w:hAnsi="仿宋_GB2312" w:eastAsia="仿宋_GB2312" w:cs="仿宋_GB2312"/>
          <w:color w:val="auto"/>
          <w:sz w:val="32"/>
          <w:szCs w:val="32"/>
        </w:rPr>
        <w:t>举报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查实重奖，充分发挥社会监督作用。</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）加大力度，严管重罚。</w:t>
      </w:r>
      <w:r>
        <w:rPr>
          <w:rFonts w:hint="eastAsia" w:ascii="仿宋_GB2312" w:hAnsi="仿宋_GB2312" w:eastAsia="仿宋_GB2312" w:cs="仿宋_GB2312"/>
          <w:color w:val="auto"/>
          <w:sz w:val="32"/>
          <w:szCs w:val="32"/>
        </w:rPr>
        <w:t>要加大监督检查力度，发现问题隐患，要督促企业立即整改，做到隐患整改闭环。对隐患问题不整改、主体责任不落实、现场安全生产管理不到位的责任单位，要按照“一二三工作法”的要求，依法依规严肃处理。</w:t>
      </w:r>
    </w:p>
    <w:p>
      <w:pPr>
        <w:pStyle w:val="2"/>
        <w:keepNext w:val="0"/>
        <w:keepLines w:val="0"/>
        <w:pageBreakBefore w:val="0"/>
        <w:overflowPunct/>
        <w:topLinePunct w:val="0"/>
        <w:bidi w:val="0"/>
        <w:spacing w:line="560" w:lineRule="exact"/>
        <w:ind w:right="0" w:rightChars="0" w:firstLine="640" w:firstLineChars="200"/>
        <w:rPr>
          <w:rFonts w:hint="eastAsia" w:ascii="仿宋_GB2312" w:hAnsi="仿宋_GB2312" w:eastAsia="仿宋_GB2312" w:cs="仿宋_GB2312"/>
          <w:snapToGrid w:val="0"/>
          <w:color w:val="auto"/>
          <w:kern w:val="0"/>
          <w:sz w:val="32"/>
          <w:szCs w:val="32"/>
          <w:lang w:val="en-US" w:eastAsia="zh-CN" w:bidi="ar-SA"/>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彻查事故，依法追责。</w:t>
      </w:r>
      <w:r>
        <w:rPr>
          <w:rFonts w:hint="eastAsia" w:ascii="仿宋_GB2312" w:hAnsi="仿宋_GB2312" w:eastAsia="仿宋_GB2312" w:cs="仿宋_GB2312"/>
          <w:snapToGrid w:val="0"/>
          <w:color w:val="auto"/>
          <w:kern w:val="0"/>
          <w:sz w:val="32"/>
          <w:szCs w:val="32"/>
          <w:lang w:val="en-US" w:eastAsia="zh-CN" w:bidi="ar-SA"/>
        </w:rPr>
        <w:t>对造成人员死亡的高处坠落事故,要一律按照“四位一体”调查处理要求和“四不放过”原则，彻查事故原因和责任,对事故发生单位负有事故责任的有关人员，依法暂停或者撤销其与安全生产有关的执业资格、岗位证书，一律依法顶格处罚，强化行刑衔接，坚决克服和纠正失之于软、失之于宽的倾向。</w:t>
      </w:r>
    </w:p>
    <w:p>
      <w:pPr>
        <w:keepNext w:val="0"/>
        <w:keepLines w:val="0"/>
        <w:pageBreakBefore w:val="0"/>
        <w:overflowPunct/>
        <w:topLinePunct w:val="0"/>
        <w:bidi w:val="0"/>
        <w:adjustRightInd/>
        <w:spacing w:line="560" w:lineRule="exact"/>
        <w:ind w:right="0" w:rightChars="0"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）深入分析，总结提升。</w:t>
      </w:r>
      <w:r>
        <w:rPr>
          <w:rFonts w:hint="eastAsia" w:ascii="仿宋_GB2312" w:hAnsi="仿宋_GB2312" w:eastAsia="仿宋_GB2312" w:cs="仿宋_GB2312"/>
          <w:color w:val="auto"/>
          <w:sz w:val="32"/>
          <w:szCs w:val="32"/>
        </w:rPr>
        <w:t>要定期分析、评估专项整治工作情况，通过隐患深挖企业行为问题，研究对策、完善措施。</w:t>
      </w: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局有关科室（中心）于每周二前</w:t>
      </w:r>
      <w:r>
        <w:rPr>
          <w:rFonts w:hint="eastAsia" w:ascii="仿宋_GB2312" w:hAnsi="仿宋_GB2312" w:eastAsia="仿宋_GB2312" w:cs="仿宋_GB2312"/>
          <w:color w:val="auto"/>
          <w:sz w:val="32"/>
          <w:szCs w:val="32"/>
        </w:rPr>
        <w:t>报送《住建领域预防高处坠落专项整治行动情况表》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累计数据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val="en-US" w:eastAsia="zh-CN"/>
        </w:rPr>
        <w:t>报送</w:t>
      </w:r>
      <w:r>
        <w:rPr>
          <w:rFonts w:hint="eastAsia" w:ascii="仿宋_GB2312" w:hAnsi="仿宋_GB2312" w:eastAsia="仿宋_GB2312" w:cs="仿宋_GB2312"/>
          <w:color w:val="auto"/>
          <w:sz w:val="32"/>
          <w:szCs w:val="32"/>
        </w:rPr>
        <w:t>工作情况</w:t>
      </w:r>
      <w:r>
        <w:rPr>
          <w:rFonts w:hint="eastAsia" w:ascii="仿宋_GB2312" w:hAnsi="仿宋_GB2312" w:eastAsia="仿宋_GB2312" w:cs="仿宋_GB2312"/>
          <w:color w:val="auto"/>
          <w:sz w:val="32"/>
          <w:szCs w:val="32"/>
          <w:lang w:val="en-US" w:eastAsia="zh-CN"/>
        </w:rPr>
        <w:t>总结</w:t>
      </w:r>
      <w:r>
        <w:rPr>
          <w:rFonts w:hint="eastAsia" w:ascii="仿宋_GB2312" w:hAnsi="仿宋_GB2312" w:eastAsia="仿宋_GB2312" w:cs="仿宋_GB2312"/>
          <w:color w:val="auto"/>
          <w:sz w:val="32"/>
          <w:szCs w:val="32"/>
        </w:rPr>
        <w:t>。</w:t>
      </w: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岳峰、王天成，</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4198796，</w:t>
      </w:r>
      <w:r>
        <w:rPr>
          <w:rFonts w:ascii="仿宋_GB2312" w:hAnsi="仿宋_GB2312" w:eastAsia="仿宋_GB2312" w:cs="仿宋_GB2312"/>
          <w:color w:val="auto"/>
          <w:sz w:val="32"/>
          <w:szCs w:val="32"/>
        </w:rPr>
        <w:t>联系邮箱：</w:t>
      </w:r>
      <w:r>
        <w:rPr>
          <w:rFonts w:hint="eastAsia" w:ascii="Times New Roman" w:hAnsi="Times New Roman" w:eastAsia="仿宋_GB2312"/>
          <w:sz w:val="32"/>
          <w:szCs w:val="32"/>
        </w:rPr>
        <w:t>bsqzjjzjz@zb.shandong.cn</w:t>
      </w:r>
      <w:r>
        <w:rPr>
          <w:rFonts w:hint="eastAsia" w:ascii="Times New Roman" w:hAnsi="Times New Roman" w:eastAsia="仿宋_GB2312"/>
          <w:sz w:val="32"/>
          <w:szCs w:val="32"/>
          <w:lang w:eastAsia="zh-CN"/>
        </w:rPr>
        <w:t>。</w:t>
      </w:r>
      <w:r>
        <w:fldChar w:fldCharType="begin"/>
      </w:r>
      <w:r>
        <w:instrText xml:space="preserve"> HYPERLINK "mailto:zaek@zb.shandong.cn" </w:instrText>
      </w:r>
      <w:r>
        <w:fldChar w:fldCharType="separate"/>
      </w:r>
      <w:r>
        <w:fldChar w:fldCharType="end"/>
      </w: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p>
    <w:p>
      <w:pPr>
        <w:keepNext w:val="0"/>
        <w:keepLines w:val="0"/>
        <w:pageBreakBefore w:val="0"/>
        <w:overflowPunct/>
        <w:topLinePunct w:val="0"/>
        <w:bidi w:val="0"/>
        <w:adjustRightInd/>
        <w:spacing w:line="560" w:lineRule="exact"/>
        <w:ind w:right="0" w:rightChars="0" w:firstLine="640" w:firstLineChars="200"/>
        <w:jc w:val="both"/>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附件：</w:t>
      </w:r>
      <w:r>
        <w:rPr>
          <w:rFonts w:hint="eastAsia" w:ascii="宋体" w:hAnsi="宋体" w:eastAsia="宋体" w:cs="宋体"/>
        </w:rPr>
        <w:t xml:space="preserve"> </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住建领域预防高处坠落专项整治行动情况表</w:t>
      </w:r>
    </w:p>
    <w:p>
      <w:pPr>
        <w:keepNext w:val="0"/>
        <w:keepLines w:val="0"/>
        <w:pageBreakBefore w:val="0"/>
        <w:wordWrap w:val="0"/>
        <w:overflowPunct/>
        <w:topLinePunct w:val="0"/>
        <w:bidi w:val="0"/>
        <w:adjustRightInd/>
        <w:spacing w:line="560" w:lineRule="exact"/>
        <w:ind w:right="0" w:rightChars="0" w:firstLine="1600" w:firstLineChars="500"/>
        <w:jc w:val="right"/>
        <w:rPr>
          <w:rFonts w:hint="default" w:ascii="仿宋_GB2312" w:hAnsi="仿宋_GB2312" w:eastAsia="仿宋_GB2312" w:cs="仿宋_GB2312"/>
          <w:color w:val="auto"/>
          <w:sz w:val="32"/>
          <w:szCs w:val="32"/>
          <w:lang w:val="en-US" w:eastAsia="zh-CN"/>
        </w:rPr>
        <w:sectPr>
          <w:footerReference r:id="rId4" w:type="default"/>
          <w:pgSz w:w="11906" w:h="16839"/>
          <w:pgMar w:top="2098" w:right="1474" w:bottom="1985" w:left="1474" w:header="0" w:footer="1168" w:gutter="0"/>
          <w:pgNumType w:fmt="numberInDash" w:start="1"/>
          <w:cols w:space="720" w:num="1"/>
        </w:sect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spacing w:line="578" w:lineRule="exact"/>
        <w:rPr>
          <w:rFonts w:eastAsia="黑体"/>
          <w:bCs/>
          <w:sz w:val="32"/>
          <w:szCs w:val="32"/>
        </w:rPr>
      </w:pPr>
      <w:r>
        <w:rPr>
          <w:rFonts w:hint="eastAsia" w:eastAsia="黑体"/>
          <w:bCs/>
          <w:sz w:val="32"/>
          <w:szCs w:val="32"/>
        </w:rPr>
        <w:t>附件</w:t>
      </w:r>
    </w:p>
    <w:p>
      <w:pPr>
        <w:spacing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全区</w:t>
      </w:r>
      <w:r>
        <w:rPr>
          <w:rFonts w:hint="eastAsia" w:ascii="方正小标宋简体" w:hAnsi="方正小标宋简体" w:eastAsia="方正小标宋简体" w:cs="方正小标宋简体"/>
          <w:bCs/>
          <w:sz w:val="44"/>
          <w:szCs w:val="44"/>
        </w:rPr>
        <w:t>住建领域预防高处坠落专项整治行动情况表</w:t>
      </w:r>
    </w:p>
    <w:p>
      <w:pPr>
        <w:spacing w:line="400" w:lineRule="exact"/>
        <w:rPr>
          <w:rFonts w:ascii="楷体_GB2312" w:hAnsi="楷体_GB2312" w:eastAsia="楷体_GB2312" w:cs="楷体_GB2312"/>
          <w:sz w:val="24"/>
        </w:rPr>
      </w:pPr>
      <w:r>
        <w:rPr>
          <w:rFonts w:hint="eastAsia" w:ascii="楷体_GB2312" w:hAnsi="楷体_GB2312" w:eastAsia="楷体_GB2312" w:cs="楷体_GB2312"/>
          <w:sz w:val="24"/>
        </w:rPr>
        <w:t>填报</w:t>
      </w:r>
      <w:r>
        <w:rPr>
          <w:rFonts w:hint="eastAsia" w:ascii="楷体_GB2312" w:hAnsi="楷体_GB2312" w:eastAsia="楷体_GB2312" w:cs="楷体_GB2312"/>
          <w:sz w:val="24"/>
          <w:lang w:val="en-US" w:eastAsia="zh-CN"/>
        </w:rPr>
        <w:t>科室（中心）</w:t>
      </w:r>
      <w:r>
        <w:rPr>
          <w:rFonts w:hint="eastAsia" w:ascii="楷体_GB2312" w:hAnsi="楷体_GB2312" w:eastAsia="楷体_GB2312" w:cs="楷体_GB2312"/>
          <w:sz w:val="24"/>
        </w:rPr>
        <w:t xml:space="preserve">：                                                              </w:t>
      </w:r>
    </w:p>
    <w:tbl>
      <w:tblPr>
        <w:tblStyle w:val="9"/>
        <w:tblW w:w="13880"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20"/>
        <w:gridCol w:w="1180"/>
        <w:gridCol w:w="980"/>
        <w:gridCol w:w="1360"/>
        <w:gridCol w:w="1180"/>
        <w:gridCol w:w="1140"/>
        <w:gridCol w:w="820"/>
        <w:gridCol w:w="1280"/>
        <w:gridCol w:w="1380"/>
        <w:gridCol w:w="740"/>
        <w:gridCol w:w="1080"/>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80" w:hRule="atLeast"/>
        </w:trPr>
        <w:tc>
          <w:tcPr>
            <w:tcW w:w="1120" w:type="dxa"/>
            <w:vAlign w:val="center"/>
          </w:tcPr>
          <w:p>
            <w:pPr>
              <w:pStyle w:val="2"/>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序号</w:t>
            </w:r>
          </w:p>
        </w:tc>
        <w:tc>
          <w:tcPr>
            <w:tcW w:w="11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抽查单位总数</w:t>
            </w:r>
          </w:p>
        </w:tc>
        <w:tc>
          <w:tcPr>
            <w:tcW w:w="9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派出</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检查组</w:t>
            </w:r>
          </w:p>
        </w:tc>
        <w:tc>
          <w:tcPr>
            <w:tcW w:w="13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出动</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执法人员</w:t>
            </w:r>
          </w:p>
        </w:tc>
        <w:tc>
          <w:tcPr>
            <w:tcW w:w="11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组织专家</w:t>
            </w:r>
          </w:p>
        </w:tc>
        <w:tc>
          <w:tcPr>
            <w:tcW w:w="114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发现问题</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隐患</w:t>
            </w:r>
          </w:p>
        </w:tc>
        <w:tc>
          <w:tcPr>
            <w:tcW w:w="8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完成</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整改</w:t>
            </w:r>
          </w:p>
        </w:tc>
        <w:tc>
          <w:tcPr>
            <w:tcW w:w="12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发现</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重大隐患</w:t>
            </w:r>
          </w:p>
        </w:tc>
        <w:tc>
          <w:tcPr>
            <w:tcW w:w="13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已整改</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重大隐患</w:t>
            </w:r>
          </w:p>
        </w:tc>
        <w:tc>
          <w:tcPr>
            <w:tcW w:w="74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行政</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处罚</w:t>
            </w:r>
          </w:p>
        </w:tc>
        <w:tc>
          <w:tcPr>
            <w:tcW w:w="10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罚款</w:t>
            </w:r>
          </w:p>
        </w:tc>
        <w:tc>
          <w:tcPr>
            <w:tcW w:w="16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企业和企业</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主要负责人</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“一案双罚”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00" w:hRule="atLeast"/>
        </w:trPr>
        <w:tc>
          <w:tcPr>
            <w:tcW w:w="11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单位</w:t>
            </w:r>
          </w:p>
        </w:tc>
        <w:tc>
          <w:tcPr>
            <w:tcW w:w="11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个</w:t>
            </w:r>
          </w:p>
        </w:tc>
        <w:tc>
          <w:tcPr>
            <w:tcW w:w="9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个</w:t>
            </w:r>
          </w:p>
        </w:tc>
        <w:tc>
          <w:tcPr>
            <w:tcW w:w="13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人次</w:t>
            </w:r>
          </w:p>
        </w:tc>
        <w:tc>
          <w:tcPr>
            <w:tcW w:w="11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人次</w:t>
            </w:r>
          </w:p>
        </w:tc>
        <w:tc>
          <w:tcPr>
            <w:tcW w:w="114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项</w:t>
            </w:r>
          </w:p>
        </w:tc>
        <w:tc>
          <w:tcPr>
            <w:tcW w:w="8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项</w:t>
            </w:r>
          </w:p>
        </w:tc>
        <w:tc>
          <w:tcPr>
            <w:tcW w:w="12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项</w:t>
            </w:r>
          </w:p>
        </w:tc>
        <w:tc>
          <w:tcPr>
            <w:tcW w:w="13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项</w:t>
            </w:r>
          </w:p>
        </w:tc>
        <w:tc>
          <w:tcPr>
            <w:tcW w:w="74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次</w:t>
            </w:r>
          </w:p>
        </w:tc>
        <w:tc>
          <w:tcPr>
            <w:tcW w:w="10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万元</w:t>
            </w:r>
          </w:p>
        </w:tc>
        <w:tc>
          <w:tcPr>
            <w:tcW w:w="16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80" w:hRule="atLeast"/>
        </w:trPr>
        <w:tc>
          <w:tcPr>
            <w:tcW w:w="1120" w:type="dxa"/>
            <w:vAlign w:val="center"/>
          </w:tcPr>
          <w:p>
            <w:pPr>
              <w:spacing w:line="240" w:lineRule="exact"/>
              <w:jc w:val="center"/>
            </w:pPr>
          </w:p>
        </w:tc>
        <w:tc>
          <w:tcPr>
            <w:tcW w:w="1180" w:type="dxa"/>
            <w:vAlign w:val="center"/>
          </w:tcPr>
          <w:p>
            <w:pPr>
              <w:spacing w:line="240" w:lineRule="exact"/>
              <w:jc w:val="center"/>
            </w:pPr>
          </w:p>
        </w:tc>
        <w:tc>
          <w:tcPr>
            <w:tcW w:w="980" w:type="dxa"/>
            <w:vAlign w:val="center"/>
          </w:tcPr>
          <w:p>
            <w:pPr>
              <w:spacing w:line="240" w:lineRule="exact"/>
              <w:jc w:val="center"/>
            </w:pPr>
          </w:p>
        </w:tc>
        <w:tc>
          <w:tcPr>
            <w:tcW w:w="1360" w:type="dxa"/>
            <w:vAlign w:val="center"/>
          </w:tcPr>
          <w:p>
            <w:pPr>
              <w:spacing w:line="240" w:lineRule="exact"/>
              <w:jc w:val="center"/>
            </w:pPr>
          </w:p>
        </w:tc>
        <w:tc>
          <w:tcPr>
            <w:tcW w:w="1180" w:type="dxa"/>
            <w:vAlign w:val="center"/>
          </w:tcPr>
          <w:p>
            <w:pPr>
              <w:spacing w:line="240" w:lineRule="exact"/>
              <w:jc w:val="center"/>
            </w:pPr>
          </w:p>
        </w:tc>
        <w:tc>
          <w:tcPr>
            <w:tcW w:w="1140" w:type="dxa"/>
            <w:vAlign w:val="center"/>
          </w:tcPr>
          <w:p>
            <w:pPr>
              <w:spacing w:line="240" w:lineRule="exact"/>
              <w:jc w:val="center"/>
            </w:pPr>
          </w:p>
        </w:tc>
        <w:tc>
          <w:tcPr>
            <w:tcW w:w="820" w:type="dxa"/>
            <w:vAlign w:val="center"/>
          </w:tcPr>
          <w:p>
            <w:pPr>
              <w:spacing w:line="240" w:lineRule="exact"/>
              <w:jc w:val="center"/>
            </w:pPr>
          </w:p>
        </w:tc>
        <w:tc>
          <w:tcPr>
            <w:tcW w:w="1280" w:type="dxa"/>
            <w:vAlign w:val="center"/>
          </w:tcPr>
          <w:p>
            <w:pPr>
              <w:spacing w:line="240" w:lineRule="exact"/>
              <w:jc w:val="center"/>
            </w:pPr>
          </w:p>
        </w:tc>
        <w:tc>
          <w:tcPr>
            <w:tcW w:w="1380" w:type="dxa"/>
            <w:vAlign w:val="center"/>
          </w:tcPr>
          <w:p>
            <w:pPr>
              <w:spacing w:line="240" w:lineRule="exact"/>
              <w:jc w:val="center"/>
            </w:pPr>
          </w:p>
        </w:tc>
        <w:tc>
          <w:tcPr>
            <w:tcW w:w="740" w:type="dxa"/>
            <w:vAlign w:val="center"/>
          </w:tcPr>
          <w:p>
            <w:pPr>
              <w:spacing w:line="240" w:lineRule="exact"/>
              <w:jc w:val="center"/>
            </w:pPr>
          </w:p>
        </w:tc>
        <w:tc>
          <w:tcPr>
            <w:tcW w:w="1080" w:type="dxa"/>
            <w:vAlign w:val="center"/>
          </w:tcPr>
          <w:p>
            <w:pPr>
              <w:spacing w:line="240" w:lineRule="exact"/>
              <w:jc w:val="center"/>
            </w:pPr>
          </w:p>
        </w:tc>
        <w:tc>
          <w:tcPr>
            <w:tcW w:w="1620" w:type="dxa"/>
            <w:vAlign w:val="center"/>
          </w:tcPr>
          <w:p>
            <w:pPr>
              <w:spacing w:line="240" w:lineRule="exact"/>
              <w:jc w:val="center"/>
            </w:pPr>
          </w:p>
        </w:tc>
      </w:tr>
    </w:tbl>
    <w:p>
      <w:pPr>
        <w:spacing w:line="578" w:lineRule="exact"/>
        <w:rPr>
          <w:rFonts w:eastAsia="黑体"/>
          <w:bCs/>
          <w:sz w:val="32"/>
          <w:szCs w:val="32"/>
        </w:rPr>
      </w:pPr>
    </w:p>
    <w:tbl>
      <w:tblPr>
        <w:tblStyle w:val="9"/>
        <w:tblW w:w="9460"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1160"/>
        <w:gridCol w:w="1020"/>
        <w:gridCol w:w="2019"/>
        <w:gridCol w:w="1261"/>
        <w:gridCol w:w="1160"/>
        <w:gridCol w:w="16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40" w:hRule="atLeast"/>
        </w:trPr>
        <w:tc>
          <w:tcPr>
            <w:tcW w:w="11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序号</w:t>
            </w:r>
          </w:p>
        </w:tc>
        <w:tc>
          <w:tcPr>
            <w:tcW w:w="11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移送司法</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机关</w:t>
            </w:r>
          </w:p>
        </w:tc>
        <w:tc>
          <w:tcPr>
            <w:tcW w:w="10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责令停</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产整顿</w:t>
            </w:r>
          </w:p>
        </w:tc>
        <w:tc>
          <w:tcPr>
            <w:tcW w:w="2019"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曝光、约谈、联合惩戒企业</w:t>
            </w:r>
          </w:p>
        </w:tc>
        <w:tc>
          <w:tcPr>
            <w:tcW w:w="1261"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公布典型</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执法案例</w:t>
            </w:r>
          </w:p>
        </w:tc>
        <w:tc>
          <w:tcPr>
            <w:tcW w:w="11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责任倒查</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追责问责</w:t>
            </w:r>
          </w:p>
        </w:tc>
        <w:tc>
          <w:tcPr>
            <w:tcW w:w="16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约谈通报有关</w:t>
            </w:r>
          </w:p>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地区及部门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00" w:hRule="atLeast"/>
        </w:trPr>
        <w:tc>
          <w:tcPr>
            <w:tcW w:w="118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单位</w:t>
            </w:r>
          </w:p>
        </w:tc>
        <w:tc>
          <w:tcPr>
            <w:tcW w:w="11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人</w:t>
            </w:r>
          </w:p>
        </w:tc>
        <w:tc>
          <w:tcPr>
            <w:tcW w:w="102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家</w:t>
            </w:r>
          </w:p>
        </w:tc>
        <w:tc>
          <w:tcPr>
            <w:tcW w:w="2019"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家</w:t>
            </w:r>
          </w:p>
        </w:tc>
        <w:tc>
          <w:tcPr>
            <w:tcW w:w="1261"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个</w:t>
            </w:r>
          </w:p>
        </w:tc>
        <w:tc>
          <w:tcPr>
            <w:tcW w:w="11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人</w:t>
            </w:r>
          </w:p>
        </w:tc>
        <w:tc>
          <w:tcPr>
            <w:tcW w:w="1660" w:type="dxa"/>
            <w:vAlign w:val="center"/>
          </w:tcPr>
          <w:p>
            <w:pPr>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00" w:hRule="atLeast"/>
        </w:trPr>
        <w:tc>
          <w:tcPr>
            <w:tcW w:w="1180" w:type="dxa"/>
            <w:vAlign w:val="center"/>
          </w:tcPr>
          <w:p>
            <w:pPr>
              <w:spacing w:line="400" w:lineRule="exact"/>
              <w:jc w:val="center"/>
              <w:rPr>
                <w:rFonts w:ascii="楷体_GB2312" w:hAnsi="楷体_GB2312" w:eastAsia="楷体_GB2312" w:cs="楷体_GB2312"/>
                <w:sz w:val="24"/>
              </w:rPr>
            </w:pPr>
          </w:p>
        </w:tc>
        <w:tc>
          <w:tcPr>
            <w:tcW w:w="1160" w:type="dxa"/>
            <w:vAlign w:val="center"/>
          </w:tcPr>
          <w:p>
            <w:pPr>
              <w:spacing w:line="400" w:lineRule="exact"/>
              <w:jc w:val="center"/>
              <w:rPr>
                <w:rFonts w:ascii="楷体_GB2312" w:hAnsi="楷体_GB2312" w:eastAsia="楷体_GB2312" w:cs="楷体_GB2312"/>
                <w:sz w:val="24"/>
              </w:rPr>
            </w:pPr>
          </w:p>
        </w:tc>
        <w:tc>
          <w:tcPr>
            <w:tcW w:w="1020" w:type="dxa"/>
            <w:vAlign w:val="center"/>
          </w:tcPr>
          <w:p>
            <w:pPr>
              <w:spacing w:line="400" w:lineRule="exact"/>
              <w:jc w:val="center"/>
              <w:rPr>
                <w:rFonts w:ascii="楷体_GB2312" w:hAnsi="楷体_GB2312" w:eastAsia="楷体_GB2312" w:cs="楷体_GB2312"/>
                <w:sz w:val="24"/>
              </w:rPr>
            </w:pPr>
          </w:p>
        </w:tc>
        <w:tc>
          <w:tcPr>
            <w:tcW w:w="2019" w:type="dxa"/>
            <w:vAlign w:val="center"/>
          </w:tcPr>
          <w:p>
            <w:pPr>
              <w:spacing w:line="400" w:lineRule="exact"/>
              <w:jc w:val="center"/>
              <w:rPr>
                <w:rFonts w:ascii="楷体_GB2312" w:hAnsi="楷体_GB2312" w:eastAsia="楷体_GB2312" w:cs="楷体_GB2312"/>
                <w:sz w:val="24"/>
              </w:rPr>
            </w:pPr>
          </w:p>
        </w:tc>
        <w:tc>
          <w:tcPr>
            <w:tcW w:w="1261" w:type="dxa"/>
            <w:vAlign w:val="center"/>
          </w:tcPr>
          <w:p>
            <w:pPr>
              <w:spacing w:line="400" w:lineRule="exact"/>
              <w:jc w:val="center"/>
              <w:rPr>
                <w:rFonts w:ascii="楷体_GB2312" w:hAnsi="楷体_GB2312" w:eastAsia="楷体_GB2312" w:cs="楷体_GB2312"/>
                <w:sz w:val="24"/>
              </w:rPr>
            </w:pPr>
          </w:p>
        </w:tc>
        <w:tc>
          <w:tcPr>
            <w:tcW w:w="1160" w:type="dxa"/>
            <w:vAlign w:val="center"/>
          </w:tcPr>
          <w:p>
            <w:pPr>
              <w:spacing w:line="400" w:lineRule="exact"/>
              <w:jc w:val="center"/>
              <w:rPr>
                <w:rFonts w:ascii="楷体_GB2312" w:hAnsi="楷体_GB2312" w:eastAsia="楷体_GB2312" w:cs="楷体_GB2312"/>
                <w:sz w:val="24"/>
              </w:rPr>
            </w:pPr>
          </w:p>
        </w:tc>
        <w:tc>
          <w:tcPr>
            <w:tcW w:w="1660" w:type="dxa"/>
            <w:vAlign w:val="center"/>
          </w:tcPr>
          <w:p>
            <w:pPr>
              <w:spacing w:line="400" w:lineRule="exact"/>
              <w:jc w:val="center"/>
              <w:rPr>
                <w:rFonts w:ascii="楷体_GB2312" w:hAnsi="楷体_GB2312" w:eastAsia="楷体_GB2312" w:cs="楷体_GB2312"/>
                <w:sz w:val="24"/>
              </w:rPr>
            </w:pPr>
          </w:p>
        </w:tc>
      </w:tr>
    </w:tbl>
    <w:p>
      <w:pPr>
        <w:spacing w:before="4" w:line="269" w:lineRule="auto"/>
        <w:ind w:right="350"/>
        <w:rPr>
          <w:rFonts w:ascii="楷体_GB2312" w:hAnsi="楷体_GB2312" w:eastAsia="楷体_GB2312" w:cs="楷体_GB2312"/>
          <w:bCs/>
          <w:sz w:val="24"/>
        </w:rPr>
      </w:pPr>
    </w:p>
    <w:p>
      <w:pPr>
        <w:spacing w:before="4" w:line="269" w:lineRule="auto"/>
        <w:ind w:right="350"/>
        <w:rPr>
          <w:rFonts w:ascii="楷体_GB2312" w:hAnsi="楷体_GB2312" w:eastAsia="楷体_GB2312" w:cs="楷体_GB2312"/>
          <w:bCs/>
          <w:sz w:val="24"/>
        </w:rPr>
      </w:pPr>
    </w:p>
    <w:p>
      <w:pPr>
        <w:spacing w:before="579" w:beforeLines="100" w:line="269" w:lineRule="auto"/>
        <w:rPr>
          <w:rFonts w:hint="eastAsia" w:ascii="楷体_GB2312" w:hAnsi="楷体" w:eastAsia="楷体_GB2312" w:cs="仿宋"/>
          <w:color w:val="0C0C0C"/>
          <w:spacing w:val="1"/>
          <w:sz w:val="23"/>
          <w:szCs w:val="23"/>
        </w:rPr>
        <w:sectPr>
          <w:footerReference r:id="rId5" w:type="default"/>
          <w:pgSz w:w="16838" w:h="11906" w:orient="landscape"/>
          <w:pgMar w:top="1474" w:right="2098" w:bottom="1474" w:left="1984" w:header="851" w:footer="1417" w:gutter="0"/>
          <w:pgNumType w:fmt="numberInDash"/>
          <w:cols w:space="720" w:num="1"/>
          <w:docGrid w:type="lines" w:linePitch="579" w:charSpace="0"/>
        </w:sectPr>
      </w:pPr>
      <w:r>
        <w:rPr>
          <w:rFonts w:hint="eastAsia" w:ascii="楷体_GB2312" w:hAnsi="楷体" w:eastAsia="楷体_GB2312" w:cs="仿宋"/>
          <w:color w:val="0C0C0C"/>
          <w:spacing w:val="1"/>
          <w:sz w:val="23"/>
          <w:szCs w:val="23"/>
        </w:rPr>
        <w:t xml:space="preserve">填报日期：      年   月  </w:t>
      </w:r>
      <w:bookmarkStart w:id="0" w:name="_GoBack"/>
      <w:bookmarkEnd w:id="0"/>
      <w:r>
        <w:rPr>
          <w:rFonts w:hint="eastAsia" w:ascii="楷体_GB2312" w:hAnsi="楷体" w:eastAsia="楷体_GB2312" w:cs="仿宋"/>
          <w:color w:val="0C0C0C"/>
          <w:spacing w:val="1"/>
          <w:sz w:val="23"/>
          <w:szCs w:val="23"/>
        </w:rPr>
        <w:t xml:space="preserve"> 日              填报人：                联系电话：</w:t>
      </w:r>
    </w:p>
    <w:p>
      <w:pPr>
        <w:keepNext w:val="0"/>
        <w:keepLines w:val="0"/>
        <w:pageBreakBefore w:val="0"/>
        <w:wordWrap/>
        <w:overflowPunct/>
        <w:topLinePunct w:val="0"/>
        <w:bidi w:val="0"/>
        <w:spacing w:line="560" w:lineRule="exact"/>
        <w:ind w:right="0" w:rightChars="0"/>
      </w:pPr>
    </w:p>
    <w:sectPr>
      <w:footerReference r:id="rId6" w:type="default"/>
      <w:pgSz w:w="16838" w:h="11906" w:orient="landscape"/>
      <w:pgMar w:top="1474" w:right="2098" w:bottom="1474" w:left="1984" w:header="851" w:footer="1417"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603"/>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603"/>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ascii="宋体" w:hAnsi="宋体" w:eastAsia="宋体" w:cs="宋体"/>
                              <w:sz w:val="32"/>
                              <w:szCs w:val="32"/>
                            </w:rPr>
                            <w:t>- 5 -</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ascii="宋体" w:hAnsi="宋体" w:eastAsia="宋体" w:cs="宋体"/>
                        <w:sz w:val="32"/>
                        <w:szCs w:val="32"/>
                      </w:rPr>
                      <w:t>- 5 -</w:t>
                    </w:r>
                    <w:r>
                      <w:rPr>
                        <w:rFonts w:hint="eastAsia" w:ascii="宋体" w:hAnsi="宋体" w:eastAsia="宋体" w:cs="宋体"/>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4ZGVlNjk4ZWFhYzE4YjNjNTdkYjkzZjdjOGVlMDgifQ=="/>
  </w:docVars>
  <w:rsids>
    <w:rsidRoot w:val="006427E5"/>
    <w:rsid w:val="000556DD"/>
    <w:rsid w:val="00090654"/>
    <w:rsid w:val="002734D7"/>
    <w:rsid w:val="002B0BAE"/>
    <w:rsid w:val="0038434B"/>
    <w:rsid w:val="004C334E"/>
    <w:rsid w:val="00584254"/>
    <w:rsid w:val="00587A3B"/>
    <w:rsid w:val="006427E5"/>
    <w:rsid w:val="006E7451"/>
    <w:rsid w:val="00703CBA"/>
    <w:rsid w:val="00915E57"/>
    <w:rsid w:val="0099080B"/>
    <w:rsid w:val="00B06117"/>
    <w:rsid w:val="00D952E4"/>
    <w:rsid w:val="00F6092D"/>
    <w:rsid w:val="01417D75"/>
    <w:rsid w:val="08065A88"/>
    <w:rsid w:val="122F6499"/>
    <w:rsid w:val="13D83DF6"/>
    <w:rsid w:val="147E778C"/>
    <w:rsid w:val="153746AA"/>
    <w:rsid w:val="15D86D30"/>
    <w:rsid w:val="15FB49F9"/>
    <w:rsid w:val="196F55FF"/>
    <w:rsid w:val="27625A02"/>
    <w:rsid w:val="29133B45"/>
    <w:rsid w:val="2FEB746A"/>
    <w:rsid w:val="316F0545"/>
    <w:rsid w:val="33943444"/>
    <w:rsid w:val="36AC3DCB"/>
    <w:rsid w:val="3B6B730A"/>
    <w:rsid w:val="3D475531"/>
    <w:rsid w:val="42AC4A5D"/>
    <w:rsid w:val="43B449A0"/>
    <w:rsid w:val="45217B57"/>
    <w:rsid w:val="45F51E7A"/>
    <w:rsid w:val="468C4CA3"/>
    <w:rsid w:val="474B2FD1"/>
    <w:rsid w:val="477E6174"/>
    <w:rsid w:val="4DC97AD4"/>
    <w:rsid w:val="4E09518A"/>
    <w:rsid w:val="4FCB0A7B"/>
    <w:rsid w:val="5A542118"/>
    <w:rsid w:val="5D293B03"/>
    <w:rsid w:val="618C17C7"/>
    <w:rsid w:val="685C1DC4"/>
    <w:rsid w:val="691D0819"/>
    <w:rsid w:val="6BB235AF"/>
    <w:rsid w:val="6EB03E9F"/>
    <w:rsid w:val="709F7C28"/>
    <w:rsid w:val="71E26140"/>
    <w:rsid w:val="732C35A4"/>
    <w:rsid w:val="746546D1"/>
    <w:rsid w:val="7DD5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7"/>
    <w:qFormat/>
    <w:uiPriority w:val="0"/>
    <w:pPr>
      <w:widowControl w:val="0"/>
      <w:kinsoku/>
      <w:autoSpaceDE/>
      <w:autoSpaceDN/>
      <w:adjustRightInd/>
      <w:snapToGrid/>
      <w:spacing w:line="578" w:lineRule="exact"/>
      <w:jc w:val="both"/>
      <w:textAlignment w:val="auto"/>
    </w:pPr>
    <w:rPr>
      <w:rFonts w:ascii="宋体" w:hAnsi="宋体" w:eastAsia="宋体" w:cs="Times New Roman"/>
      <w:snapToGrid/>
      <w:color w:val="auto"/>
      <w:kern w:val="2"/>
      <w:szCs w:val="24"/>
    </w:rPr>
  </w:style>
  <w:style w:type="paragraph" w:styleId="3">
    <w:name w:val="Normal Indent"/>
    <w:basedOn w:val="1"/>
    <w:next w:val="1"/>
    <w:qFormat/>
    <w:uiPriority w:val="0"/>
    <w:pPr>
      <w:ind w:firstLine="420" w:firstLineChars="200"/>
    </w:pPr>
    <w:rPr>
      <w:rFonts w:eastAsia="宋体"/>
      <w:sz w:val="21"/>
    </w:rPr>
  </w:style>
  <w:style w:type="paragraph" w:styleId="4">
    <w:name w:val="Body Text Indent"/>
    <w:basedOn w:val="1"/>
    <w:next w:val="3"/>
    <w:qFormat/>
    <w:uiPriority w:val="0"/>
    <w:pPr>
      <w:spacing w:after="120"/>
      <w:ind w:left="420" w:leftChars="200"/>
    </w:pPr>
  </w:style>
  <w:style w:type="paragraph" w:styleId="5">
    <w:name w:val="footer"/>
    <w:basedOn w:val="1"/>
    <w:link w:val="15"/>
    <w:unhideWhenUsed/>
    <w:qFormat/>
    <w:uiPriority w:val="0"/>
    <w:pPr>
      <w:tabs>
        <w:tab w:val="center" w:pos="4153"/>
        <w:tab w:val="right" w:pos="8306"/>
      </w:tabs>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next w:val="4"/>
    <w:unhideWhenUsed/>
    <w:qFormat/>
    <w:uiPriority w:val="99"/>
    <w:pPr>
      <w:ind w:firstLine="420" w:firstLineChars="200"/>
    </w:p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table" w:customStyle="1" w:styleId="16">
    <w:name w:val="Table Normal"/>
    <w:semiHidden/>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17">
    <w:name w:val="正文文本 Char"/>
    <w:basedOn w:val="11"/>
    <w:link w:val="2"/>
    <w:qFormat/>
    <w:uiPriority w:val="0"/>
    <w:rPr>
      <w:rFonts w:ascii="宋体" w:hAnsi="宋体"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5D1F2-6DBA-4C4E-A521-5CA459F04F47}">
  <ds:schemaRefs/>
</ds:datastoreItem>
</file>

<file path=docProps/app.xml><?xml version="1.0" encoding="utf-8"?>
<Properties xmlns="http://schemas.openxmlformats.org/officeDocument/2006/extended-properties" xmlns:vt="http://schemas.openxmlformats.org/officeDocument/2006/docPropsVTypes">
  <Template>Normal</Template>
  <Pages>13</Pages>
  <Words>4975</Words>
  <Characters>5106</Characters>
  <Lines>83</Lines>
  <Paragraphs>23</Paragraphs>
  <TotalTime>26</TotalTime>
  <ScaleCrop>false</ScaleCrop>
  <LinksUpToDate>false</LinksUpToDate>
  <CharactersWithSpaces>5391</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2023-08-03T05:46:00Z</dcterms:created>
  <dc:creator>Lenovo</dc:creator>
  <cp:lastModifiedBy>Administrator</cp:lastModifiedBy>
  <cp:lastPrinted>2023-08-09T02:08:00Z</cp:lastPrinted>
  <dcterms:modified xsi:type="dcterms:W3CDTF">2025-07-14T07:44:35Z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BC9D6F9C22BC455B972AEDBAE4CB93E5_13</vt:lpwstr>
  </property>
</Properties>
</file>