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96EFF">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bookmarkStart w:id="0" w:name="_Toc18696"/>
      <w:bookmarkStart w:id="1" w:name="_Toc13013"/>
      <w:bookmarkStart w:id="2" w:name="_Toc3495"/>
      <w:bookmarkStart w:id="3" w:name="_Toc9298"/>
      <w:bookmarkStart w:id="4" w:name="_Toc24060"/>
      <w:bookmarkStart w:id="5" w:name="_Toc25443"/>
      <w:bookmarkStart w:id="6" w:name="_Toc2578"/>
      <w:bookmarkStart w:id="7" w:name="_Toc17421"/>
    </w:p>
    <w:p w14:paraId="2D1C3ED7">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p w14:paraId="25734F51">
      <w:pPr>
        <w:pageBreakBefore w:val="0"/>
        <w:widowControl w:val="0"/>
        <w:kinsoku/>
        <w:wordWrap/>
        <w:overflowPunct/>
        <w:topLinePunct w:val="0"/>
        <w:autoSpaceDE/>
        <w:autoSpaceDN/>
        <w:bidi w:val="0"/>
        <w:spacing w:line="576" w:lineRule="exact"/>
        <w:jc w:val="center"/>
        <w:outlineLvl w:val="0"/>
        <w:rPr>
          <w:rFonts w:hint="eastAsia" w:ascii="方正小标宋简体" w:hAnsi="华文中宋" w:eastAsia="方正小标宋简体"/>
          <w:sz w:val="44"/>
          <w:szCs w:val="44"/>
        </w:rPr>
      </w:pPr>
      <w:bookmarkStart w:id="8" w:name="_Toc18331"/>
      <w:r>
        <w:rPr>
          <w:rFonts w:hint="eastAsia" w:ascii="方正小标宋简体" w:hAnsi="华文中宋" w:eastAsia="方正小标宋简体"/>
          <w:sz w:val="44"/>
          <w:szCs w:val="44"/>
        </w:rPr>
        <w:t>博山区人民政府办公室</w:t>
      </w:r>
      <w:bookmarkEnd w:id="8"/>
    </w:p>
    <w:p w14:paraId="4EB050E1">
      <w:pPr>
        <w:keepNext w:val="0"/>
        <w:keepLines w:val="0"/>
        <w:pageBreakBefore w:val="0"/>
        <w:widowControl w:val="0"/>
        <w:suppressLineNumbers w:val="0"/>
        <w:kinsoku/>
        <w:wordWrap/>
        <w:overflowPunct/>
        <w:topLinePunct w:val="0"/>
        <w:autoSpaceDE/>
        <w:autoSpaceDN/>
        <w:bidi w:val="0"/>
        <w:adjustRightInd w:val="0"/>
        <w:snapToGrid w:val="0"/>
        <w:spacing w:line="576" w:lineRule="exact"/>
        <w:ind w:leftChars="0"/>
        <w:jc w:val="center"/>
        <w:outlineLvl w:val="0"/>
        <w:rPr>
          <w:rFonts w:hint="eastAsia" w:ascii="方正小标宋简体" w:hAnsi="方正小标宋简体" w:eastAsia="方正小标宋简体" w:cs="方正小标宋简体"/>
          <w:color w:val="000000"/>
          <w:kern w:val="0"/>
          <w:sz w:val="44"/>
          <w:szCs w:val="44"/>
          <w:lang w:val="en-US" w:eastAsia="zh-CN"/>
        </w:rPr>
      </w:pPr>
      <w:bookmarkStart w:id="9" w:name="_Toc3598"/>
      <w:r>
        <w:rPr>
          <w:rFonts w:hint="eastAsia" w:ascii="方正小标宋简体" w:hAnsi="华文中宋" w:eastAsia="方正小标宋简体"/>
          <w:sz w:val="44"/>
          <w:szCs w:val="44"/>
        </w:rPr>
        <w:t>关于</w:t>
      </w:r>
      <w:r>
        <w:rPr>
          <w:rFonts w:hint="eastAsia" w:ascii="方正小标宋简体" w:eastAsia="方正小标宋简体"/>
          <w:sz w:val="44"/>
          <w:szCs w:val="44"/>
        </w:rPr>
        <w:t>印发</w:t>
      </w:r>
      <w:r>
        <w:rPr>
          <w:rFonts w:hint="eastAsia" w:ascii="方正小标宋简体" w:hAnsi="方正小标宋简体" w:eastAsia="方正小标宋简体" w:cs="方正小标宋简体"/>
          <w:color w:val="000000"/>
          <w:kern w:val="0"/>
          <w:sz w:val="44"/>
          <w:szCs w:val="44"/>
          <w:lang w:val="en-US" w:eastAsia="zh-CN"/>
        </w:rPr>
        <w:t>博山区琉璃产业发展规划</w:t>
      </w:r>
      <w:bookmarkEnd w:id="9"/>
    </w:p>
    <w:p w14:paraId="6C21866A">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color w:val="000000"/>
          <w:kern w:val="0"/>
          <w:sz w:val="44"/>
          <w:szCs w:val="44"/>
          <w:lang w:val="en-US" w:eastAsia="zh-CN"/>
        </w:rPr>
        <w:t>（2026—2035年）</w:t>
      </w:r>
      <w:r>
        <w:rPr>
          <w:rFonts w:hint="eastAsia" w:ascii="方正小标宋简体" w:hAnsi="华文中宋" w:eastAsia="方正小标宋简体"/>
          <w:sz w:val="44"/>
          <w:szCs w:val="44"/>
        </w:rPr>
        <w:t>的通知</w:t>
      </w:r>
    </w:p>
    <w:p w14:paraId="5339DCF4">
      <w:pPr>
        <w:pageBreakBefore w:val="0"/>
        <w:widowControl w:val="0"/>
        <w:kinsoku/>
        <w:wordWrap/>
        <w:overflowPunct/>
        <w:topLinePunct w:val="0"/>
        <w:autoSpaceDE/>
        <w:autoSpaceDN/>
        <w:bidi w:val="0"/>
        <w:spacing w:line="576" w:lineRule="exact"/>
        <w:jc w:val="center"/>
        <w:rPr>
          <w:rFonts w:hint="eastAsia" w:ascii="仿宋_GB2312" w:eastAsia="仿宋_GB2312"/>
          <w:sz w:val="32"/>
          <w:szCs w:val="32"/>
        </w:rPr>
      </w:pPr>
      <w:r>
        <w:rPr>
          <w:rFonts w:hint="eastAsia" w:ascii="仿宋_GB2312" w:eastAsia="仿宋_GB2312"/>
          <w:sz w:val="32"/>
          <w:szCs w:val="32"/>
        </w:rPr>
        <w:t>博政办字〔</w:t>
      </w:r>
      <w:r>
        <w:rPr>
          <w:rFonts w:hint="eastAsia" w:ascii="仿宋_GB2312" w:eastAsia="仿宋_GB2312"/>
          <w:sz w:val="32"/>
          <w:szCs w:val="32"/>
          <w:lang w:eastAsia="zh-CN"/>
        </w:rPr>
        <w:t>202</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7</w:t>
      </w:r>
      <w:r>
        <w:rPr>
          <w:rFonts w:hint="eastAsia" w:ascii="仿宋_GB2312" w:eastAsia="仿宋_GB2312"/>
          <w:sz w:val="32"/>
          <w:szCs w:val="32"/>
        </w:rPr>
        <w:t>号</w:t>
      </w:r>
    </w:p>
    <w:p w14:paraId="0EF11ADA">
      <w:pPr>
        <w:pageBreakBefore w:val="0"/>
        <w:widowControl w:val="0"/>
        <w:kinsoku/>
        <w:wordWrap/>
        <w:overflowPunct/>
        <w:topLinePunct w:val="0"/>
        <w:autoSpaceDE/>
        <w:autoSpaceDN/>
        <w:bidi w:val="0"/>
        <w:spacing w:line="576" w:lineRule="exact"/>
        <w:rPr>
          <w:rFonts w:ascii="仿宋_GB2312" w:eastAsia="仿宋_GB2312"/>
          <w:sz w:val="32"/>
          <w:szCs w:val="32"/>
        </w:rPr>
      </w:pPr>
    </w:p>
    <w:p w14:paraId="1C2B224B">
      <w:pPr>
        <w:pageBreakBefore w:val="0"/>
        <w:widowControl w:val="0"/>
        <w:kinsoku/>
        <w:wordWrap/>
        <w:overflowPunct/>
        <w:topLinePunct w:val="0"/>
        <w:autoSpaceDE/>
        <w:autoSpaceDN/>
        <w:bidi w:val="0"/>
        <w:spacing w:line="576" w:lineRule="exact"/>
        <w:rPr>
          <w:rFonts w:hint="eastAsia" w:ascii="仿宋_GB2312" w:eastAsia="仿宋_GB2312"/>
          <w:sz w:val="32"/>
          <w:szCs w:val="32"/>
        </w:rPr>
      </w:pPr>
      <w:r>
        <w:rPr>
          <w:rFonts w:hint="eastAsia" w:ascii="仿宋_GB2312" w:eastAsia="仿宋_GB2312"/>
          <w:sz w:val="32"/>
          <w:szCs w:val="32"/>
        </w:rPr>
        <w:t>各镇</w:t>
      </w:r>
      <w:r>
        <w:rPr>
          <w:rFonts w:hint="eastAsia" w:ascii="仿宋_GB2312" w:hAnsi="仿宋" w:eastAsia="仿宋_GB2312"/>
          <w:sz w:val="32"/>
          <w:szCs w:val="32"/>
        </w:rPr>
        <w:t>人民</w:t>
      </w:r>
      <w:r>
        <w:rPr>
          <w:rFonts w:hint="eastAsia" w:ascii="仿宋_GB2312" w:eastAsia="仿宋_GB2312"/>
          <w:sz w:val="32"/>
          <w:szCs w:val="32"/>
        </w:rPr>
        <w:t>政府、街道办事处，开发区管委会，区政府有关部门，有关单位：</w:t>
      </w:r>
    </w:p>
    <w:p w14:paraId="0204633A">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《博山区</w:t>
      </w:r>
      <w:r>
        <w:rPr>
          <w:rFonts w:hint="eastAsia" w:ascii="仿宋_GB2312" w:eastAsia="仿宋_GB2312"/>
          <w:sz w:val="32"/>
          <w:szCs w:val="32"/>
          <w:lang w:eastAsia="zh-CN"/>
        </w:rPr>
        <w:t>琉璃产业发展规划（</w:t>
      </w:r>
      <w:r>
        <w:rPr>
          <w:rFonts w:hint="eastAsia" w:ascii="仿宋_GB2312" w:eastAsia="仿宋_GB2312"/>
          <w:sz w:val="32"/>
          <w:szCs w:val="32"/>
          <w:lang w:val="en-US" w:eastAsia="zh-CN"/>
        </w:rPr>
        <w:t>2026—2035年）</w:t>
      </w:r>
      <w:r>
        <w:rPr>
          <w:rFonts w:hint="eastAsia" w:ascii="仿宋_GB2312" w:eastAsia="仿宋_GB2312"/>
          <w:sz w:val="32"/>
          <w:szCs w:val="32"/>
        </w:rPr>
        <w:t>》已经区政府研究同意，现印发给你们，请认真贯彻执行。</w:t>
      </w:r>
    </w:p>
    <w:p w14:paraId="0EF465FA">
      <w:pPr>
        <w:pageBreakBefore w:val="0"/>
        <w:widowControl w:val="0"/>
        <w:kinsoku/>
        <w:wordWrap/>
        <w:overflowPunct/>
        <w:topLinePunct w:val="0"/>
        <w:autoSpaceDE/>
        <w:autoSpaceDN/>
        <w:bidi w:val="0"/>
        <w:spacing w:line="576" w:lineRule="exact"/>
        <w:ind w:firstLine="420" w:firstLineChars="200"/>
        <w:jc w:val="center"/>
        <w:rPr>
          <w:rFonts w:hint="eastAsia" w:ascii="宋体" w:hAnsi="宋体"/>
          <w:szCs w:val="21"/>
          <w:u w:val="wave"/>
        </w:rPr>
      </w:pPr>
    </w:p>
    <w:p w14:paraId="29D8FD1E">
      <w:pPr>
        <w:pageBreakBefore w:val="0"/>
        <w:widowControl w:val="0"/>
        <w:kinsoku/>
        <w:wordWrap/>
        <w:overflowPunct/>
        <w:topLinePunct w:val="0"/>
        <w:autoSpaceDE/>
        <w:autoSpaceDN/>
        <w:bidi w:val="0"/>
        <w:spacing w:line="576" w:lineRule="exact"/>
        <w:ind w:firstLine="640" w:firstLineChars="200"/>
        <w:rPr>
          <w:rFonts w:hint="eastAsia" w:ascii="仿宋_GB2312" w:eastAsia="仿宋_GB2312"/>
          <w:sz w:val="32"/>
          <w:szCs w:val="20"/>
        </w:rPr>
      </w:pPr>
      <w:r>
        <w:rPr>
          <w:rFonts w:hint="eastAsia" w:ascii="仿宋_GB2312" w:eastAsia="仿宋_GB2312"/>
          <w:sz w:val="32"/>
          <w:szCs w:val="20"/>
        </w:rPr>
        <w:t xml:space="preserve">                         博山区人民政府办公室</w:t>
      </w:r>
    </w:p>
    <w:p w14:paraId="2FA1FB6E">
      <w:pPr>
        <w:pageBreakBefore w:val="0"/>
        <w:widowControl w:val="0"/>
        <w:kinsoku/>
        <w:wordWrap/>
        <w:overflowPunct/>
        <w:topLinePunct w:val="0"/>
        <w:autoSpaceDE/>
        <w:autoSpaceDN/>
        <w:bidi w:val="0"/>
        <w:spacing w:line="576" w:lineRule="exact"/>
        <w:ind w:right="-5" w:firstLine="5120" w:firstLineChars="1600"/>
        <w:rPr>
          <w:rFonts w:hint="eastAsia" w:ascii="仿宋_GB2312" w:eastAsia="仿宋_GB2312"/>
          <w:sz w:val="32"/>
          <w:szCs w:val="20"/>
        </w:rPr>
      </w:pPr>
      <w:r>
        <w:rPr>
          <w:rFonts w:hint="eastAsia" w:ascii="仿宋_GB2312" w:eastAsia="仿宋_GB2312"/>
          <w:sz w:val="32"/>
          <w:szCs w:val="20"/>
          <w:lang w:eastAsia="zh-CN"/>
        </w:rPr>
        <w:t>202</w:t>
      </w:r>
      <w:r>
        <w:rPr>
          <w:rFonts w:hint="eastAsia" w:ascii="仿宋_GB2312" w:eastAsia="仿宋_GB2312"/>
          <w:sz w:val="32"/>
          <w:szCs w:val="20"/>
          <w:lang w:val="en-US" w:eastAsia="zh-CN"/>
        </w:rPr>
        <w:t>5</w:t>
      </w:r>
      <w:r>
        <w:rPr>
          <w:rFonts w:hint="eastAsia" w:ascii="仿宋_GB2312" w:eastAsia="仿宋_GB2312"/>
          <w:sz w:val="32"/>
          <w:szCs w:val="20"/>
        </w:rPr>
        <w:t>年</w:t>
      </w:r>
      <w:r>
        <w:rPr>
          <w:rFonts w:hint="eastAsia" w:ascii="仿宋_GB2312" w:eastAsia="仿宋_GB2312"/>
          <w:sz w:val="32"/>
          <w:szCs w:val="20"/>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日</w:t>
      </w:r>
    </w:p>
    <w:p w14:paraId="363E60E7">
      <w:pPr>
        <w:pageBreakBefore w:val="0"/>
        <w:widowControl w:val="0"/>
        <w:kinsoku/>
        <w:wordWrap/>
        <w:overflowPunct/>
        <w:topLinePunct w:val="0"/>
        <w:autoSpaceDE/>
        <w:autoSpaceDN/>
        <w:bidi w:val="0"/>
        <w:spacing w:line="576" w:lineRule="exact"/>
        <w:ind w:right="-5" w:firstLine="640" w:firstLineChars="200"/>
        <w:rPr>
          <w:rFonts w:hint="eastAsia" w:ascii="方正小标宋简体" w:hAnsi="方正小标宋简体" w:eastAsia="方正小标宋简体" w:cs="方正小标宋简体"/>
          <w:b w:val="0"/>
          <w:bCs/>
        </w:rPr>
      </w:pPr>
      <w:r>
        <w:rPr>
          <w:rFonts w:hint="eastAsia" w:ascii="仿宋_GB2312" w:eastAsia="仿宋_GB2312"/>
          <w:sz w:val="32"/>
          <w:szCs w:val="20"/>
          <w:lang w:val="en-US" w:eastAsia="zh-CN"/>
        </w:rPr>
        <w:t>（此件公开发布）</w:t>
      </w:r>
    </w:p>
    <w:p w14:paraId="0461F87B">
      <w:pPr>
        <w:pStyle w:val="2"/>
        <w:pageBreakBefore w:val="0"/>
        <w:widowControl w:val="0"/>
        <w:kinsoku/>
        <w:wordWrap/>
        <w:overflowPunct/>
        <w:topLinePunct w:val="0"/>
        <w:autoSpaceDE/>
        <w:autoSpaceDN/>
        <w:bidi w:val="0"/>
        <w:spacing w:after="0" w:line="576" w:lineRule="exact"/>
        <w:rPr>
          <w:rFonts w:hint="eastAsia" w:ascii="方正小标宋简体" w:hAnsi="方正小标宋简体" w:eastAsia="方正小标宋简体" w:cs="方正小标宋简体"/>
          <w:sz w:val="36"/>
          <w:szCs w:val="44"/>
          <w:lang w:eastAsia="zh-CN"/>
        </w:rPr>
      </w:pPr>
    </w:p>
    <w:p w14:paraId="55059D58">
      <w:pPr>
        <w:pStyle w:val="4"/>
        <w:pageBreakBefore w:val="0"/>
        <w:widowControl w:val="0"/>
        <w:kinsoku/>
        <w:wordWrap/>
        <w:overflowPunct/>
        <w:topLinePunct w:val="0"/>
        <w:autoSpaceDE/>
        <w:autoSpaceDN/>
        <w:bidi w:val="0"/>
        <w:adjustRightInd w:val="0"/>
        <w:snapToGrid w:val="0"/>
        <w:spacing w:before="0" w:beforeLines="0" w:after="0" w:afterLines="0" w:line="576" w:lineRule="exact"/>
        <w:jc w:val="center"/>
        <w:textAlignment w:val="auto"/>
        <w:rPr>
          <w:rFonts w:hint="eastAsia" w:ascii="方正小标宋简体" w:hAnsi="方正小标宋简体" w:eastAsia="方正小标宋简体" w:cs="方正小标宋简体"/>
          <w:b w:val="0"/>
          <w:bCs/>
        </w:rPr>
      </w:pPr>
      <w:bookmarkStart w:id="10" w:name="_Toc6483"/>
    </w:p>
    <w:p w14:paraId="31B96FC1">
      <w:pPr>
        <w:pStyle w:val="4"/>
        <w:pageBreakBefore w:val="0"/>
        <w:widowControl w:val="0"/>
        <w:kinsoku/>
        <w:wordWrap/>
        <w:overflowPunct/>
        <w:topLinePunct w:val="0"/>
        <w:autoSpaceDE/>
        <w:autoSpaceDN/>
        <w:bidi w:val="0"/>
        <w:adjustRightInd w:val="0"/>
        <w:snapToGrid w:val="0"/>
        <w:spacing w:before="0" w:beforeLines="0" w:after="0" w:afterLines="0" w:line="576" w:lineRule="exact"/>
        <w:jc w:val="center"/>
        <w:textAlignment w:val="auto"/>
        <w:rPr>
          <w:rFonts w:hint="eastAsia" w:ascii="方正小标宋简体" w:hAnsi="方正小标宋简体" w:eastAsia="方正小标宋简体" w:cs="方正小标宋简体"/>
          <w:b w:val="0"/>
          <w:bCs/>
        </w:rPr>
      </w:pPr>
    </w:p>
    <w:p w14:paraId="69DCCF02">
      <w:pPr>
        <w:pageBreakBefore w:val="0"/>
        <w:widowControl w:val="0"/>
        <w:kinsoku/>
        <w:wordWrap/>
        <w:overflowPunct/>
        <w:topLinePunct w:val="0"/>
        <w:autoSpaceDE/>
        <w:autoSpaceDN/>
        <w:bidi w:val="0"/>
        <w:spacing w:line="576" w:lineRule="exact"/>
        <w:rPr>
          <w:rFonts w:hint="eastAsia" w:ascii="方正小标宋简体" w:hAnsi="方正小标宋简体" w:eastAsia="方正小标宋简体" w:cs="方正小标宋简体"/>
          <w:b w:val="0"/>
          <w:bCs/>
        </w:rPr>
      </w:pPr>
    </w:p>
    <w:p w14:paraId="39906D3A">
      <w:pPr>
        <w:pStyle w:val="2"/>
        <w:pageBreakBefore w:val="0"/>
        <w:widowControl w:val="0"/>
        <w:kinsoku/>
        <w:wordWrap/>
        <w:overflowPunct/>
        <w:topLinePunct w:val="0"/>
        <w:autoSpaceDE/>
        <w:autoSpaceDN/>
        <w:bidi w:val="0"/>
        <w:spacing w:after="0" w:line="576" w:lineRule="exact"/>
        <w:rPr>
          <w:rFonts w:hint="eastAsia" w:ascii="方正小标宋简体" w:hAnsi="方正小标宋简体" w:eastAsia="方正小标宋简体" w:cs="方正小标宋简体"/>
          <w:b w:val="0"/>
          <w:bCs/>
        </w:rPr>
      </w:pPr>
    </w:p>
    <w:p w14:paraId="5CB83643">
      <w:pPr>
        <w:pStyle w:val="2"/>
        <w:pageBreakBefore w:val="0"/>
        <w:widowControl w:val="0"/>
        <w:kinsoku/>
        <w:wordWrap/>
        <w:overflowPunct/>
        <w:topLinePunct w:val="0"/>
        <w:autoSpaceDE/>
        <w:autoSpaceDN/>
        <w:bidi w:val="0"/>
        <w:spacing w:after="0" w:line="576" w:lineRule="exact"/>
        <w:rPr>
          <w:rFonts w:hint="eastAsia" w:ascii="方正小标宋简体" w:hAnsi="方正小标宋简体" w:eastAsia="方正小标宋简体" w:cs="方正小标宋简体"/>
          <w:b w:val="0"/>
          <w:bCs/>
        </w:rPr>
      </w:pPr>
    </w:p>
    <w:p w14:paraId="281F91D9">
      <w:pPr>
        <w:pStyle w:val="2"/>
        <w:pageBreakBefore w:val="0"/>
        <w:widowControl w:val="0"/>
        <w:kinsoku/>
        <w:wordWrap/>
        <w:overflowPunct/>
        <w:topLinePunct w:val="0"/>
        <w:autoSpaceDE/>
        <w:autoSpaceDN/>
        <w:bidi w:val="0"/>
        <w:spacing w:after="0" w:line="576" w:lineRule="exact"/>
        <w:rPr>
          <w:rFonts w:hint="eastAsia" w:ascii="方正小标宋简体" w:hAnsi="方正小标宋简体" w:eastAsia="方正小标宋简体" w:cs="方正小标宋简体"/>
          <w:b w:val="0"/>
          <w:bCs/>
        </w:rPr>
      </w:pPr>
    </w:p>
    <w:p w14:paraId="5723D89A">
      <w:pPr>
        <w:pStyle w:val="4"/>
        <w:pageBreakBefore w:val="0"/>
        <w:widowControl w:val="0"/>
        <w:kinsoku/>
        <w:wordWrap/>
        <w:overflowPunct/>
        <w:topLinePunct w:val="0"/>
        <w:autoSpaceDE/>
        <w:autoSpaceDN/>
        <w:bidi w:val="0"/>
        <w:adjustRightInd w:val="0"/>
        <w:snapToGrid w:val="0"/>
        <w:spacing w:before="0" w:beforeLines="0" w:after="0" w:afterLines="0" w:line="576" w:lineRule="exact"/>
        <w:jc w:val="center"/>
        <w:textAlignment w:val="auto"/>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rPr>
        <w:t>博山区琉璃产业发展规划</w:t>
      </w:r>
      <w:bookmarkEnd w:id="0"/>
      <w:bookmarkEnd w:id="1"/>
      <w:bookmarkEnd w:id="2"/>
      <w:bookmarkEnd w:id="3"/>
      <w:bookmarkEnd w:id="4"/>
      <w:bookmarkEnd w:id="5"/>
      <w:bookmarkEnd w:id="6"/>
      <w:bookmarkEnd w:id="7"/>
      <w:bookmarkEnd w:id="10"/>
    </w:p>
    <w:p w14:paraId="2CB66B18">
      <w:pPr>
        <w:pStyle w:val="4"/>
        <w:pageBreakBefore w:val="0"/>
        <w:widowControl w:val="0"/>
        <w:kinsoku/>
        <w:wordWrap/>
        <w:overflowPunct/>
        <w:topLinePunct w:val="0"/>
        <w:autoSpaceDE/>
        <w:autoSpaceDN/>
        <w:bidi w:val="0"/>
        <w:adjustRightInd w:val="0"/>
        <w:snapToGrid w:val="0"/>
        <w:spacing w:before="0" w:beforeLines="0" w:after="0" w:afterLines="0" w:line="576" w:lineRule="exact"/>
        <w:jc w:val="center"/>
        <w:textAlignment w:val="auto"/>
        <w:rPr>
          <w:rFonts w:hint="eastAsia" w:ascii="方正小标宋简体" w:hAnsi="方正小标宋简体" w:eastAsia="方正小标宋简体" w:cs="方正小标宋简体"/>
        </w:rPr>
      </w:pPr>
      <w:bookmarkStart w:id="11" w:name="_Toc21682"/>
      <w:bookmarkStart w:id="12" w:name="_Toc14744"/>
      <w:bookmarkStart w:id="13" w:name="_Toc4733"/>
      <w:bookmarkStart w:id="14" w:name="_Toc15607"/>
      <w:bookmarkStart w:id="15" w:name="_Toc11686"/>
      <w:bookmarkStart w:id="16" w:name="_Toc15178"/>
      <w:bookmarkStart w:id="17" w:name="_Toc28036"/>
      <w:bookmarkStart w:id="18" w:name="_Toc18840"/>
      <w:bookmarkStart w:id="19" w:name="_Toc8101"/>
      <w:r>
        <w:rPr>
          <w:rFonts w:hint="eastAsia" w:ascii="方正小标宋简体" w:hAnsi="方正小标宋简体" w:eastAsia="方正小标宋简体" w:cs="方正小标宋简体"/>
          <w:b w:val="0"/>
          <w:bCs/>
        </w:rPr>
        <w:t>（202</w:t>
      </w:r>
      <w:r>
        <w:rPr>
          <w:rFonts w:hint="eastAsia" w:ascii="方正小标宋简体" w:hAnsi="方正小标宋简体" w:eastAsia="方正小标宋简体" w:cs="方正小标宋简体"/>
          <w:b w:val="0"/>
          <w:bCs/>
          <w:lang w:val="en-US" w:eastAsia="zh-CN"/>
        </w:rPr>
        <w:t>6—</w:t>
      </w:r>
      <w:r>
        <w:rPr>
          <w:rFonts w:hint="eastAsia" w:ascii="方正小标宋简体" w:hAnsi="方正小标宋简体" w:eastAsia="方正小标宋简体" w:cs="方正小标宋简体"/>
          <w:b w:val="0"/>
          <w:bCs/>
        </w:rPr>
        <w:t>20</w:t>
      </w:r>
      <w:r>
        <w:rPr>
          <w:rFonts w:hint="eastAsia" w:ascii="方正小标宋简体" w:hAnsi="方正小标宋简体" w:eastAsia="方正小标宋简体" w:cs="方正小标宋简体"/>
          <w:b w:val="0"/>
          <w:bCs/>
          <w:lang w:val="en-US" w:eastAsia="zh-CN"/>
        </w:rPr>
        <w:t>35</w:t>
      </w:r>
      <w:r>
        <w:rPr>
          <w:rFonts w:hint="eastAsia" w:ascii="方正小标宋简体" w:hAnsi="方正小标宋简体" w:eastAsia="方正小标宋简体" w:cs="方正小标宋简体"/>
          <w:b w:val="0"/>
          <w:bCs/>
        </w:rPr>
        <w:t>年）</w:t>
      </w:r>
      <w:bookmarkEnd w:id="11"/>
      <w:bookmarkEnd w:id="12"/>
      <w:bookmarkEnd w:id="13"/>
      <w:bookmarkEnd w:id="14"/>
      <w:bookmarkEnd w:id="15"/>
      <w:bookmarkEnd w:id="16"/>
      <w:bookmarkEnd w:id="17"/>
      <w:bookmarkEnd w:id="18"/>
      <w:bookmarkEnd w:id="19"/>
    </w:p>
    <w:p w14:paraId="34E8CEC6">
      <w:pPr>
        <w:pStyle w:val="5"/>
        <w:keepNext/>
        <w:keepLines/>
        <w:pageBreakBefore w:val="0"/>
        <w:widowControl w:val="0"/>
        <w:kinsoku/>
        <w:wordWrap/>
        <w:overflowPunct/>
        <w:topLinePunct w:val="0"/>
        <w:autoSpaceDE/>
        <w:autoSpaceDN/>
        <w:bidi w:val="0"/>
        <w:adjustRightInd w:val="0"/>
        <w:snapToGrid w:val="0"/>
        <w:spacing w:before="0" w:beforeLines="0" w:after="0" w:afterLines="0" w:line="576" w:lineRule="exact"/>
        <w:ind w:leftChars="0"/>
        <w:jc w:val="both"/>
        <w:textAlignment w:val="auto"/>
        <w:outlineLvl w:val="9"/>
        <w:rPr>
          <w:rFonts w:hint="eastAsia"/>
          <w:b w:val="0"/>
          <w:bCs/>
          <w:lang w:eastAsia="zh-CN"/>
        </w:rPr>
      </w:pPr>
    </w:p>
    <w:p w14:paraId="330650B9">
      <w:pPr>
        <w:pStyle w:val="5"/>
        <w:keepNext/>
        <w:keepLines/>
        <w:pageBreakBefore w:val="0"/>
        <w:widowControl w:val="0"/>
        <w:kinsoku/>
        <w:wordWrap/>
        <w:overflowPunct/>
        <w:topLinePunct w:val="0"/>
        <w:autoSpaceDE/>
        <w:autoSpaceDN/>
        <w:bidi w:val="0"/>
        <w:adjustRightInd w:val="0"/>
        <w:snapToGrid w:val="0"/>
        <w:spacing w:before="0" w:beforeLines="0" w:after="0" w:afterLines="0" w:line="576" w:lineRule="exact"/>
        <w:jc w:val="center"/>
        <w:textAlignment w:val="auto"/>
        <w:outlineLvl w:val="0"/>
        <w:rPr>
          <w:rFonts w:hint="eastAsia" w:ascii="方正小标宋简体" w:hAnsi="方正小标宋简体" w:eastAsia="方正小标宋简体" w:cs="方正小标宋简体"/>
          <w:b w:val="0"/>
          <w:bCs/>
          <w:sz w:val="36"/>
          <w:szCs w:val="28"/>
          <w:lang w:eastAsia="zh-CN"/>
        </w:rPr>
      </w:pPr>
      <w:bookmarkStart w:id="20" w:name="_Toc14526"/>
      <w:r>
        <w:rPr>
          <w:rFonts w:hint="eastAsia" w:ascii="方正小标宋简体" w:hAnsi="方正小标宋简体" w:eastAsia="方正小标宋简体" w:cs="方正小标宋简体"/>
          <w:b w:val="0"/>
          <w:bCs/>
          <w:sz w:val="36"/>
          <w:szCs w:val="28"/>
          <w:lang w:eastAsia="zh-CN"/>
        </w:rPr>
        <w:t>【前 言】</w:t>
      </w:r>
      <w:bookmarkEnd w:id="20"/>
    </w:p>
    <w:p w14:paraId="41B54BEC">
      <w:pPr>
        <w:pageBreakBefore w:val="0"/>
        <w:widowControl w:val="0"/>
        <w:kinsoku/>
        <w:wordWrap/>
        <w:overflowPunct/>
        <w:topLinePunct w:val="0"/>
        <w:autoSpaceDE/>
        <w:autoSpaceDN/>
        <w:bidi w:val="0"/>
        <w:adjustRightInd w:val="0"/>
        <w:snapToGrid w:val="0"/>
        <w:spacing w:line="576" w:lineRule="exact"/>
        <w:textAlignment w:val="auto"/>
        <w:rPr>
          <w:rFonts w:hint="eastAsia"/>
          <w:lang w:eastAsia="zh-CN"/>
        </w:rPr>
      </w:pPr>
    </w:p>
    <w:p w14:paraId="561FB026">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玻璃是中国古代较早生产的人工材料之一，自诞生以来便深受人们喜爱，在社会生产和日常生活中发挥了重要作用。玻璃不仅是一种材料，也是一种工艺，更是一种文化。作为材料，玻璃被广泛应用于建筑、生活等诸多领域；作为工艺，它是化学、物理等学科的重要研究对象；在不同国家和地区的设计与制作过程中，玻璃承载了丰富的文化内涵，逐渐从一种材料升华为具有艺术价值和生命力的</w:t>
      </w:r>
      <w:r>
        <w:rPr>
          <w:rFonts w:hint="eastAsia" w:ascii="仿宋_GB2312" w:hAnsi="仿宋_GB2312" w:eastAsia="仿宋_GB2312" w:cs="仿宋_GB2312"/>
          <w:sz w:val="32"/>
          <w:szCs w:val="32"/>
          <w:lang w:val="en-US" w:eastAsia="zh-CN"/>
        </w:rPr>
        <w:t>琉璃（艺术玻璃）</w:t>
      </w:r>
      <w:r>
        <w:rPr>
          <w:rFonts w:hint="eastAsia" w:ascii="仿宋_GB2312" w:hAnsi="仿宋_GB2312" w:eastAsia="仿宋_GB2312" w:cs="仿宋_GB2312"/>
          <w:sz w:val="32"/>
          <w:szCs w:val="32"/>
          <w:lang w:eastAsia="zh-CN"/>
        </w:rPr>
        <w:t>。中国</w:t>
      </w:r>
      <w:r>
        <w:rPr>
          <w:rFonts w:hint="eastAsia" w:ascii="仿宋_GB2312" w:hAnsi="仿宋_GB2312" w:eastAsia="仿宋_GB2312" w:cs="仿宋_GB2312"/>
          <w:sz w:val="32"/>
          <w:szCs w:val="32"/>
          <w:lang w:val="en-US" w:eastAsia="zh-CN"/>
        </w:rPr>
        <w:t>琉璃经过</w:t>
      </w:r>
      <w:r>
        <w:rPr>
          <w:rFonts w:hint="eastAsia" w:ascii="仿宋_GB2312" w:hAnsi="仿宋_GB2312" w:eastAsia="仿宋_GB2312" w:cs="仿宋_GB2312"/>
          <w:sz w:val="32"/>
          <w:szCs w:val="32"/>
          <w:lang w:eastAsia="zh-CN"/>
        </w:rPr>
        <w:t>三千多年</w:t>
      </w:r>
      <w:r>
        <w:rPr>
          <w:rFonts w:hint="eastAsia" w:ascii="仿宋_GB2312" w:hAnsi="仿宋_GB2312" w:eastAsia="仿宋_GB2312" w:cs="仿宋_GB2312"/>
          <w:sz w:val="32"/>
          <w:szCs w:val="32"/>
          <w:lang w:val="en-US" w:eastAsia="zh-CN"/>
        </w:rPr>
        <w:t>的发展</w:t>
      </w:r>
      <w:r>
        <w:rPr>
          <w:rFonts w:hint="eastAsia" w:ascii="仿宋_GB2312" w:hAnsi="仿宋_GB2312" w:eastAsia="仿宋_GB2312" w:cs="仿宋_GB2312"/>
          <w:sz w:val="32"/>
          <w:szCs w:val="32"/>
          <w:lang w:eastAsia="zh-CN"/>
        </w:rPr>
        <w:t>，形成了鲜明的民族特色和艺术风格，在世界</w:t>
      </w:r>
      <w:r>
        <w:rPr>
          <w:rFonts w:hint="eastAsia" w:ascii="仿宋_GB2312" w:hAnsi="仿宋_GB2312" w:eastAsia="仿宋_GB2312" w:cs="仿宋_GB2312"/>
          <w:sz w:val="32"/>
          <w:szCs w:val="32"/>
          <w:lang w:val="en-US" w:eastAsia="zh-CN"/>
        </w:rPr>
        <w:t>艺术</w:t>
      </w:r>
      <w:r>
        <w:rPr>
          <w:rFonts w:hint="eastAsia" w:ascii="仿宋_GB2312" w:hAnsi="仿宋_GB2312" w:eastAsia="仿宋_GB2312" w:cs="仿宋_GB2312"/>
          <w:sz w:val="32"/>
          <w:szCs w:val="32"/>
          <w:lang w:eastAsia="zh-CN"/>
        </w:rPr>
        <w:t>玻璃发展史上占据重要地位。其中，博山琉璃作为中国</w:t>
      </w:r>
      <w:r>
        <w:rPr>
          <w:rFonts w:hint="eastAsia" w:ascii="仿宋_GB2312" w:hAnsi="仿宋_GB2312" w:eastAsia="仿宋_GB2312" w:cs="仿宋_GB2312"/>
          <w:sz w:val="32"/>
          <w:szCs w:val="32"/>
          <w:lang w:val="en-US" w:eastAsia="zh-CN"/>
        </w:rPr>
        <w:t>琉璃</w:t>
      </w:r>
      <w:r>
        <w:rPr>
          <w:rFonts w:hint="eastAsia" w:ascii="仿宋_GB2312" w:hAnsi="仿宋_GB2312" w:eastAsia="仿宋_GB2312" w:cs="仿宋_GB2312"/>
          <w:sz w:val="32"/>
          <w:szCs w:val="32"/>
          <w:lang w:eastAsia="zh-CN"/>
        </w:rPr>
        <w:t>工艺的重要代表，在行业发展中具有举足轻重的地位。</w:t>
      </w:r>
    </w:p>
    <w:p w14:paraId="5BF76FE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深入贯彻党的二十大精神，全面落实习近平总书记关于中华优秀传统文化创造性转化、创新性发展的重要指示，以及省委、省政府和市委、市政府关于推动琉璃文化传承创新和琉璃产业高质量发展的相关部署，博山区在省、市、区有关部门</w:t>
      </w:r>
      <w:r>
        <w:rPr>
          <w:rFonts w:hint="eastAsia" w:ascii="仿宋_GB2312" w:hAnsi="仿宋_GB2312" w:eastAsia="仿宋_GB2312" w:cs="仿宋_GB2312"/>
          <w:sz w:val="32"/>
          <w:szCs w:val="32"/>
          <w:lang w:val="en-US" w:eastAsia="zh-CN"/>
        </w:rPr>
        <w:t>前期</w:t>
      </w:r>
      <w:r>
        <w:rPr>
          <w:rFonts w:hint="eastAsia" w:ascii="仿宋_GB2312" w:hAnsi="仿宋_GB2312" w:eastAsia="仿宋_GB2312" w:cs="仿宋_GB2312"/>
          <w:sz w:val="32"/>
          <w:szCs w:val="32"/>
          <w:lang w:eastAsia="zh-CN"/>
        </w:rPr>
        <w:t>调研的基础上，结合国内琉璃企业的发展现状和国外艺术玻璃领域的最新趋势，组织编制了《博山区琉璃产业发展规划（2026—203</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年）》（以下简称《规划》）。</w:t>
      </w:r>
    </w:p>
    <w:p w14:paraId="6AA58BE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《规划》立足</w:t>
      </w:r>
      <w:r>
        <w:rPr>
          <w:rFonts w:hint="eastAsia" w:ascii="仿宋_GB2312" w:hAnsi="仿宋_GB2312" w:eastAsia="仿宋_GB2312" w:cs="仿宋_GB2312"/>
          <w:sz w:val="32"/>
          <w:szCs w:val="32"/>
          <w:lang w:val="en-US" w:eastAsia="zh-CN"/>
        </w:rPr>
        <w:t>博山琉璃的</w:t>
      </w:r>
      <w:r>
        <w:rPr>
          <w:rFonts w:hint="eastAsia" w:ascii="仿宋_GB2312" w:hAnsi="仿宋_GB2312" w:eastAsia="仿宋_GB2312" w:cs="仿宋_GB2312"/>
          <w:sz w:val="32"/>
          <w:szCs w:val="32"/>
          <w:lang w:eastAsia="zh-CN"/>
        </w:rPr>
        <w:t>发展历史，结合国内外琉璃（艺术玻璃）产业发展现状，科学界定琉璃产业概念，明确</w:t>
      </w:r>
      <w:r>
        <w:rPr>
          <w:rFonts w:hint="eastAsia" w:ascii="仿宋_GB2312" w:hAnsi="仿宋_GB2312" w:eastAsia="仿宋_GB2312" w:cs="仿宋_GB2312"/>
          <w:sz w:val="32"/>
          <w:szCs w:val="32"/>
          <w:lang w:val="en-US" w:eastAsia="zh-CN"/>
        </w:rPr>
        <w:t>琉璃</w:t>
      </w:r>
      <w:r>
        <w:rPr>
          <w:rFonts w:hint="eastAsia" w:ascii="仿宋_GB2312" w:hAnsi="仿宋_GB2312" w:eastAsia="仿宋_GB2312" w:cs="仿宋_GB2312"/>
          <w:sz w:val="32"/>
          <w:szCs w:val="32"/>
          <w:lang w:eastAsia="zh-CN"/>
        </w:rPr>
        <w:t>产业的发展定位、发展目标和总体思路。围绕琉璃全产业链，统筹推进建链、补链、延链、强链工作，系统谋划产业发展路径，明确重点任务和重大项目。与此同时，《规划》提出保障产业高质量发展的相关</w:t>
      </w:r>
      <w:r>
        <w:rPr>
          <w:rFonts w:hint="eastAsia" w:ascii="仿宋_GB2312" w:hAnsi="仿宋_GB2312" w:eastAsia="仿宋_GB2312" w:cs="仿宋_GB2312"/>
          <w:sz w:val="32"/>
          <w:szCs w:val="32"/>
          <w:lang w:val="en-US" w:eastAsia="zh-CN"/>
        </w:rPr>
        <w:t>保障</w:t>
      </w:r>
      <w:r>
        <w:rPr>
          <w:rFonts w:hint="eastAsia" w:ascii="仿宋_GB2312" w:hAnsi="仿宋_GB2312" w:eastAsia="仿宋_GB2312" w:cs="仿宋_GB2312"/>
          <w:sz w:val="32"/>
          <w:szCs w:val="32"/>
          <w:lang w:eastAsia="zh-CN"/>
        </w:rPr>
        <w:t>措施，确保各项任务有效落实。</w:t>
      </w:r>
    </w:p>
    <w:p w14:paraId="0E94B32B">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《规划》基准年为202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w:t>
      </w:r>
    </w:p>
    <w:p w14:paraId="46D994E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eastAsia="zh-CN"/>
        </w:rPr>
      </w:pPr>
    </w:p>
    <w:p w14:paraId="42DF8BCF">
      <w:pPr>
        <w:pStyle w:val="5"/>
        <w:pageBreakBefore w:val="0"/>
        <w:widowControl w:val="0"/>
        <w:numPr>
          <w:ilvl w:val="0"/>
          <w:numId w:val="3"/>
        </w:numPr>
        <w:kinsoku/>
        <w:wordWrap/>
        <w:overflowPunct/>
        <w:topLinePunct w:val="0"/>
        <w:autoSpaceDE/>
        <w:autoSpaceDN/>
        <w:bidi w:val="0"/>
        <w:adjustRightInd w:val="0"/>
        <w:snapToGrid w:val="0"/>
        <w:spacing w:before="0" w:beforeLines="0" w:after="0" w:afterLines="0" w:line="576" w:lineRule="exact"/>
        <w:jc w:val="center"/>
        <w:textAlignment w:val="auto"/>
        <w:outlineLvl w:val="0"/>
        <w:rPr>
          <w:rFonts w:hint="eastAsia" w:ascii="方正小标宋简体" w:hAnsi="方正小标宋简体" w:eastAsia="方正小标宋简体" w:cs="方正小标宋简体"/>
          <w:b w:val="0"/>
          <w:bCs/>
          <w:sz w:val="36"/>
          <w:szCs w:val="28"/>
          <w:lang w:val="en-US" w:eastAsia="zh-CN"/>
        </w:rPr>
      </w:pPr>
      <w:bookmarkStart w:id="21" w:name="_Toc26846"/>
      <w:r>
        <w:rPr>
          <w:rFonts w:hint="eastAsia" w:ascii="方正小标宋简体" w:hAnsi="方正小标宋简体" w:eastAsia="方正小标宋简体" w:cs="方正小标宋简体"/>
          <w:b w:val="0"/>
          <w:bCs/>
          <w:sz w:val="36"/>
          <w:szCs w:val="28"/>
          <w:lang w:val="en-US" w:eastAsia="zh-CN"/>
        </w:rPr>
        <w:t>博山琉璃的发展简史</w:t>
      </w:r>
      <w:bookmarkEnd w:id="21"/>
    </w:p>
    <w:p w14:paraId="50629434">
      <w:pPr>
        <w:pageBreakBefore w:val="0"/>
        <w:widowControl w:val="0"/>
        <w:kinsoku/>
        <w:wordWrap/>
        <w:overflowPunct/>
        <w:topLinePunct w:val="0"/>
        <w:autoSpaceDE/>
        <w:autoSpaceDN/>
        <w:bidi w:val="0"/>
        <w:spacing w:line="576" w:lineRule="exact"/>
        <w:rPr>
          <w:rFonts w:hint="eastAsia"/>
          <w:sz w:val="32"/>
          <w:szCs w:val="40"/>
          <w:lang w:val="en-US" w:eastAsia="zh-CN"/>
        </w:rPr>
      </w:pPr>
    </w:p>
    <w:p w14:paraId="0CBD224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博山区古称颜神镇，地处泰山东麓，得益于泰山的天然屏障，自古以来免受黄河泛滥的侵袭，生态</w:t>
      </w:r>
      <w:r>
        <w:rPr>
          <w:rFonts w:hint="eastAsia" w:ascii="仿宋_GB2312" w:hAnsi="仿宋_GB2312" w:eastAsia="仿宋_GB2312" w:cs="仿宋_GB2312"/>
          <w:sz w:val="32"/>
          <w:szCs w:val="32"/>
          <w:lang w:val="en-US" w:eastAsia="zh-CN"/>
        </w:rPr>
        <w:t>环境</w:t>
      </w:r>
      <w:r>
        <w:rPr>
          <w:rFonts w:hint="eastAsia" w:ascii="仿宋_GB2312" w:hAnsi="仿宋_GB2312" w:eastAsia="仿宋_GB2312" w:cs="仿宋_GB2312"/>
          <w:sz w:val="32"/>
          <w:szCs w:val="32"/>
        </w:rPr>
        <w:t>稳定，为农业生产的持续发展和文</w:t>
      </w:r>
      <w:r>
        <w:rPr>
          <w:rFonts w:hint="eastAsia" w:ascii="仿宋_GB2312" w:hAnsi="仿宋_GB2312" w:eastAsia="仿宋_GB2312" w:cs="仿宋_GB2312"/>
          <w:sz w:val="32"/>
          <w:szCs w:val="32"/>
          <w:lang w:val="en-US" w:eastAsia="zh-CN"/>
        </w:rPr>
        <w:t>化</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赓续</w:t>
      </w:r>
      <w:r>
        <w:rPr>
          <w:rFonts w:hint="eastAsia" w:ascii="仿宋_GB2312" w:hAnsi="仿宋_GB2312" w:eastAsia="仿宋_GB2312" w:cs="仿宋_GB2312"/>
          <w:sz w:val="32"/>
          <w:szCs w:val="32"/>
        </w:rPr>
        <w:t>传承提供了优越条件。博山不仅拥有丰富的煤炭资源，还蕴藏多种矿产，成为古代手工业发展的沃土。</w:t>
      </w:r>
    </w:p>
    <w:p w14:paraId="527D581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自宋代起，博山已成为中国重要的</w:t>
      </w:r>
      <w:r>
        <w:rPr>
          <w:rFonts w:hint="eastAsia" w:ascii="仿宋_GB2312" w:hAnsi="仿宋_GB2312" w:eastAsia="仿宋_GB2312" w:cs="仿宋_GB2312"/>
          <w:sz w:val="32"/>
          <w:szCs w:val="32"/>
          <w:lang w:val="en-US" w:eastAsia="zh-CN"/>
        </w:rPr>
        <w:t>琉璃</w:t>
      </w:r>
      <w:r>
        <w:rPr>
          <w:rFonts w:hint="eastAsia" w:ascii="仿宋_GB2312" w:hAnsi="仿宋_GB2312" w:eastAsia="仿宋_GB2312" w:cs="仿宋_GB2312"/>
          <w:sz w:val="32"/>
          <w:szCs w:val="32"/>
          <w:lang w:eastAsia="zh-CN"/>
        </w:rPr>
        <w:t>生产基地之一，奠定了琉璃产业发展的基础。元、明、清三代，博山</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lang w:eastAsia="zh-CN"/>
        </w:rPr>
        <w:t>是中国</w:t>
      </w:r>
      <w:r>
        <w:rPr>
          <w:rFonts w:hint="eastAsia" w:ascii="仿宋_GB2312" w:hAnsi="仿宋_GB2312" w:eastAsia="仿宋_GB2312" w:cs="仿宋_GB2312"/>
          <w:sz w:val="32"/>
          <w:szCs w:val="32"/>
          <w:lang w:val="en-US" w:eastAsia="zh-CN"/>
        </w:rPr>
        <w:t>琉璃</w:t>
      </w:r>
      <w:r>
        <w:rPr>
          <w:rFonts w:hint="eastAsia" w:ascii="仿宋_GB2312" w:hAnsi="仿宋_GB2312" w:eastAsia="仿宋_GB2312" w:cs="仿宋_GB2312"/>
          <w:sz w:val="32"/>
          <w:szCs w:val="32"/>
          <w:lang w:eastAsia="zh-CN"/>
        </w:rPr>
        <w:t>制造的核心区域，其精湛的工艺</w:t>
      </w:r>
      <w:r>
        <w:rPr>
          <w:rFonts w:hint="eastAsia" w:ascii="仿宋_GB2312" w:hAnsi="仿宋_GB2312" w:eastAsia="仿宋_GB2312" w:cs="仿宋_GB2312"/>
          <w:sz w:val="32"/>
          <w:szCs w:val="32"/>
          <w:lang w:val="en-US" w:eastAsia="zh-CN"/>
        </w:rPr>
        <w:t>和生产规模</w:t>
      </w:r>
      <w:r>
        <w:rPr>
          <w:rFonts w:hint="eastAsia" w:ascii="仿宋_GB2312" w:hAnsi="仿宋_GB2312" w:eastAsia="仿宋_GB2312" w:cs="仿宋_GB2312"/>
          <w:sz w:val="32"/>
          <w:szCs w:val="32"/>
          <w:lang w:eastAsia="zh-CN"/>
        </w:rPr>
        <w:t>使其在全国占据重要地位。1982年，博山大街窑炉遗址的考古发掘表明，早在元代，博山琉璃行业</w:t>
      </w:r>
      <w:r>
        <w:rPr>
          <w:rFonts w:hint="eastAsia" w:ascii="仿宋_GB2312" w:hAnsi="仿宋_GB2312" w:eastAsia="仿宋_GB2312" w:cs="仿宋_GB2312"/>
          <w:sz w:val="32"/>
          <w:szCs w:val="32"/>
          <w:lang w:val="en-US" w:eastAsia="zh-CN"/>
        </w:rPr>
        <w:t>已颇具规模</w:t>
      </w:r>
      <w:r>
        <w:rPr>
          <w:rFonts w:hint="eastAsia" w:ascii="仿宋_GB2312" w:hAnsi="仿宋_GB2312" w:eastAsia="仿宋_GB2312" w:cs="仿宋_GB2312"/>
          <w:sz w:val="32"/>
          <w:szCs w:val="32"/>
          <w:lang w:eastAsia="zh-CN"/>
        </w:rPr>
        <w:t>，展现出成熟的生产体系和旺盛的市场需求。至明朝时期，博山已</w:t>
      </w:r>
      <w:r>
        <w:rPr>
          <w:rFonts w:hint="eastAsia" w:ascii="仿宋_GB2312" w:hAnsi="仿宋_GB2312" w:eastAsia="仿宋_GB2312" w:cs="仿宋_GB2312"/>
          <w:sz w:val="32"/>
          <w:szCs w:val="32"/>
          <w:lang w:val="en-US" w:eastAsia="zh-CN"/>
        </w:rPr>
        <w:t>成为</w:t>
      </w:r>
      <w:r>
        <w:rPr>
          <w:rFonts w:hint="eastAsia" w:ascii="仿宋_GB2312" w:hAnsi="仿宋_GB2312" w:eastAsia="仿宋_GB2312" w:cs="仿宋_GB2312"/>
          <w:sz w:val="32"/>
          <w:szCs w:val="32"/>
          <w:lang w:eastAsia="zh-CN"/>
        </w:rPr>
        <w:t>全国</w:t>
      </w:r>
      <w:r>
        <w:rPr>
          <w:rFonts w:hint="eastAsia" w:ascii="仿宋_GB2312" w:hAnsi="仿宋_GB2312" w:eastAsia="仿宋_GB2312" w:cs="仿宋_GB2312"/>
          <w:sz w:val="32"/>
          <w:szCs w:val="32"/>
          <w:lang w:val="en-US" w:eastAsia="zh-CN"/>
        </w:rPr>
        <w:t>琉璃</w:t>
      </w:r>
      <w:r>
        <w:rPr>
          <w:rFonts w:hint="eastAsia" w:ascii="仿宋_GB2312" w:hAnsi="仿宋_GB2312" w:eastAsia="仿宋_GB2312" w:cs="仿宋_GB2312"/>
          <w:sz w:val="32"/>
          <w:szCs w:val="32"/>
          <w:lang w:eastAsia="zh-CN"/>
        </w:rPr>
        <w:t>生产中心之一。</w:t>
      </w:r>
    </w:p>
    <w:p w14:paraId="6AC763A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康熙三十五年（1696年），博山</w:t>
      </w:r>
      <w:r>
        <w:rPr>
          <w:rFonts w:hint="eastAsia" w:ascii="仿宋_GB2312" w:hAnsi="仿宋_GB2312" w:eastAsia="仿宋_GB2312" w:cs="仿宋_GB2312"/>
          <w:sz w:val="32"/>
          <w:szCs w:val="32"/>
          <w:lang w:val="en-US" w:eastAsia="zh-CN"/>
        </w:rPr>
        <w:t>工</w:t>
      </w:r>
      <w:r>
        <w:rPr>
          <w:rFonts w:hint="eastAsia" w:ascii="仿宋_GB2312" w:hAnsi="仿宋_GB2312" w:eastAsia="仿宋_GB2312" w:cs="仿宋_GB2312"/>
          <w:sz w:val="32"/>
          <w:szCs w:val="32"/>
          <w:lang w:eastAsia="zh-CN"/>
        </w:rPr>
        <w:t>匠进入</w:t>
      </w:r>
      <w:r>
        <w:rPr>
          <w:rFonts w:hint="eastAsia" w:ascii="仿宋_GB2312" w:hAnsi="仿宋_GB2312" w:eastAsia="仿宋_GB2312" w:cs="仿宋_GB2312"/>
          <w:sz w:val="32"/>
          <w:szCs w:val="32"/>
          <w:lang w:val="en-US" w:eastAsia="zh-CN"/>
        </w:rPr>
        <w:t>清宫</w:t>
      </w:r>
      <w:r>
        <w:rPr>
          <w:rFonts w:hint="eastAsia" w:ascii="仿宋_GB2312" w:hAnsi="仿宋_GB2312" w:eastAsia="仿宋_GB2312" w:cs="仿宋_GB2312"/>
          <w:sz w:val="32"/>
          <w:szCs w:val="32"/>
          <w:lang w:eastAsia="zh-CN"/>
        </w:rPr>
        <w:t>玻璃厂，与国内外优秀工匠学习、</w:t>
      </w:r>
      <w:r>
        <w:rPr>
          <w:rFonts w:hint="eastAsia" w:ascii="仿宋_GB2312" w:hAnsi="仿宋_GB2312" w:eastAsia="仿宋_GB2312" w:cs="仿宋_GB2312"/>
          <w:sz w:val="32"/>
          <w:szCs w:val="32"/>
          <w:lang w:val="en-US" w:eastAsia="zh-CN"/>
        </w:rPr>
        <w:t>交流</w:t>
      </w:r>
      <w:r>
        <w:rPr>
          <w:rFonts w:hint="eastAsia" w:ascii="仿宋_GB2312" w:hAnsi="仿宋_GB2312" w:eastAsia="仿宋_GB2312" w:cs="仿宋_GB2312"/>
          <w:sz w:val="32"/>
          <w:szCs w:val="32"/>
          <w:lang w:eastAsia="zh-CN"/>
        </w:rPr>
        <w:t>先进的生产技艺和设计理念。随后，</w:t>
      </w:r>
      <w:r>
        <w:rPr>
          <w:rFonts w:hint="eastAsia" w:ascii="仿宋_GB2312" w:hAnsi="仿宋_GB2312" w:eastAsia="仿宋_GB2312" w:cs="仿宋_GB2312"/>
          <w:sz w:val="32"/>
          <w:szCs w:val="32"/>
          <w:lang w:val="en-US" w:eastAsia="zh-CN"/>
        </w:rPr>
        <w:t>博山</w:t>
      </w:r>
      <w:r>
        <w:rPr>
          <w:rFonts w:hint="eastAsia" w:ascii="仿宋_GB2312" w:hAnsi="仿宋_GB2312" w:eastAsia="仿宋_GB2312" w:cs="仿宋_GB2312"/>
          <w:sz w:val="32"/>
          <w:szCs w:val="32"/>
          <w:lang w:eastAsia="zh-CN"/>
        </w:rPr>
        <w:t>工匠将玻璃厂的高超技艺与精美艺术风格带回博山，为</w:t>
      </w:r>
      <w:r>
        <w:rPr>
          <w:rFonts w:hint="eastAsia" w:ascii="仿宋_GB2312" w:hAnsi="仿宋_GB2312" w:eastAsia="仿宋_GB2312" w:cs="仿宋_GB2312"/>
          <w:sz w:val="32"/>
          <w:szCs w:val="32"/>
          <w:lang w:val="en-US" w:eastAsia="zh-CN"/>
        </w:rPr>
        <w:t>博山</w:t>
      </w:r>
      <w:r>
        <w:rPr>
          <w:rFonts w:hint="eastAsia" w:ascii="仿宋_GB2312" w:hAnsi="仿宋_GB2312" w:eastAsia="仿宋_GB2312" w:cs="仿宋_GB2312"/>
          <w:sz w:val="32"/>
          <w:szCs w:val="32"/>
          <w:lang w:eastAsia="zh-CN"/>
        </w:rPr>
        <w:t>琉璃的进一步提升注入了新的活力。至乾隆后期，博山凭借其悠久的制造传统、丰富的原料资源、雄厚的生产基础和技艺精湛的人才队伍，在北方地区发挥着原料供应中心和生产技术传播中心的双重作用，随着琉璃行业的繁荣，博山琉璃文化</w:t>
      </w:r>
      <w:r>
        <w:rPr>
          <w:rFonts w:hint="eastAsia" w:ascii="仿宋_GB2312" w:hAnsi="仿宋_GB2312" w:eastAsia="仿宋_GB2312" w:cs="仿宋_GB2312"/>
          <w:sz w:val="32"/>
          <w:szCs w:val="32"/>
          <w:lang w:val="en-US" w:eastAsia="zh-CN"/>
        </w:rPr>
        <w:t>亦</w:t>
      </w:r>
      <w:r>
        <w:rPr>
          <w:rFonts w:hint="eastAsia" w:ascii="仿宋_GB2312" w:hAnsi="仿宋_GB2312" w:eastAsia="仿宋_GB2312" w:cs="仿宋_GB2312"/>
          <w:sz w:val="32"/>
          <w:szCs w:val="32"/>
          <w:lang w:eastAsia="zh-CN"/>
        </w:rPr>
        <w:t>呈现出蓬勃发展的态势。博山</w:t>
      </w:r>
      <w:r>
        <w:rPr>
          <w:rFonts w:hint="eastAsia" w:ascii="仿宋_GB2312" w:hAnsi="仿宋_GB2312" w:eastAsia="仿宋_GB2312" w:cs="仿宋_GB2312"/>
          <w:sz w:val="32"/>
          <w:szCs w:val="32"/>
          <w:lang w:val="en-US" w:eastAsia="zh-CN"/>
        </w:rPr>
        <w:t>古代</w:t>
      </w:r>
      <w:r>
        <w:rPr>
          <w:rFonts w:hint="eastAsia" w:ascii="仿宋_GB2312" w:hAnsi="仿宋_GB2312" w:eastAsia="仿宋_GB2312" w:cs="仿宋_GB2312"/>
          <w:sz w:val="32"/>
          <w:szCs w:val="32"/>
          <w:lang w:eastAsia="zh-CN"/>
        </w:rPr>
        <w:t>匠人注重设计创新、材料创新、工艺创新，生产的琉璃制品兼具形式美、色彩美与实用性，</w:t>
      </w:r>
      <w:r>
        <w:rPr>
          <w:rFonts w:hint="eastAsia" w:ascii="仿宋_GB2312" w:hAnsi="仿宋_GB2312" w:eastAsia="仿宋_GB2312" w:cs="仿宋_GB2312"/>
          <w:sz w:val="32"/>
          <w:szCs w:val="32"/>
          <w:lang w:val="en-US" w:eastAsia="zh-CN"/>
        </w:rPr>
        <w:t>博山琉璃</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近千</w:t>
      </w:r>
      <w:r>
        <w:rPr>
          <w:rFonts w:hint="eastAsia" w:ascii="仿宋_GB2312" w:hAnsi="仿宋_GB2312" w:eastAsia="仿宋_GB2312" w:cs="仿宋_GB2312"/>
          <w:sz w:val="32"/>
          <w:szCs w:val="32"/>
          <w:lang w:eastAsia="zh-CN"/>
        </w:rPr>
        <w:t>年的发展历程中展现出持久的生命力，造就了“</w:t>
      </w:r>
      <w:r>
        <w:rPr>
          <w:rFonts w:hint="eastAsia" w:ascii="仿宋_GB2312" w:hAnsi="仿宋_GB2312" w:eastAsia="仿宋_GB2312" w:cs="仿宋_GB2312"/>
          <w:sz w:val="32"/>
          <w:szCs w:val="32"/>
          <w:lang w:val="en-US" w:eastAsia="zh-CN"/>
        </w:rPr>
        <w:t>中国琉璃</w:t>
      </w:r>
      <w:r>
        <w:rPr>
          <w:rFonts w:hint="eastAsia" w:ascii="仿宋_GB2312" w:hAnsi="仿宋_GB2312" w:eastAsia="仿宋_GB2312" w:cs="仿宋_GB2312"/>
          <w:sz w:val="32"/>
          <w:szCs w:val="32"/>
          <w:lang w:eastAsia="zh-CN"/>
        </w:rPr>
        <w:t>之乡”的美誉，为后世留下了深厚的文化积淀和独特的产业基因，奠定了</w:t>
      </w:r>
      <w:r>
        <w:rPr>
          <w:rFonts w:hint="eastAsia" w:ascii="仿宋_GB2312" w:hAnsi="仿宋_GB2312" w:eastAsia="仿宋_GB2312" w:cs="仿宋_GB2312"/>
          <w:sz w:val="32"/>
          <w:szCs w:val="32"/>
          <w:lang w:val="en-US" w:eastAsia="zh-CN"/>
        </w:rPr>
        <w:t>博山</w:t>
      </w:r>
      <w:r>
        <w:rPr>
          <w:rFonts w:hint="eastAsia" w:ascii="仿宋_GB2312" w:hAnsi="仿宋_GB2312" w:eastAsia="仿宋_GB2312" w:cs="仿宋_GB2312"/>
          <w:sz w:val="32"/>
          <w:szCs w:val="32"/>
          <w:lang w:eastAsia="zh-CN"/>
        </w:rPr>
        <w:t>在中国琉璃发展史上的重要地位。</w:t>
      </w:r>
    </w:p>
    <w:p w14:paraId="57FB31A6">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hint="eastAsia" w:ascii="仿宋_GB2312" w:hAnsi="仿宋_GB2312" w:eastAsia="仿宋_GB2312" w:cs="仿宋_GB2312"/>
          <w:sz w:val="40"/>
          <w:szCs w:val="40"/>
          <w:lang w:eastAsia="zh-CN"/>
        </w:rPr>
      </w:pPr>
    </w:p>
    <w:p w14:paraId="05A19199">
      <w:pPr>
        <w:pStyle w:val="5"/>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jc w:val="center"/>
        <w:textAlignment w:val="auto"/>
        <w:outlineLvl w:val="0"/>
        <w:rPr>
          <w:rFonts w:hint="eastAsia" w:ascii="方正小标宋简体" w:hAnsi="方正小标宋简体" w:eastAsia="方正小标宋简体" w:cs="方正小标宋简体"/>
          <w:b w:val="0"/>
          <w:bCs/>
          <w:sz w:val="36"/>
          <w:szCs w:val="28"/>
          <w:lang w:eastAsia="zh-CN"/>
        </w:rPr>
      </w:pPr>
      <w:bookmarkStart w:id="22" w:name="_Toc10103"/>
      <w:r>
        <w:rPr>
          <w:rFonts w:hint="eastAsia" w:ascii="方正小标宋简体" w:hAnsi="方正小标宋简体" w:eastAsia="方正小标宋简体" w:cs="方正小标宋简体"/>
          <w:b w:val="0"/>
          <w:bCs/>
          <w:sz w:val="36"/>
          <w:szCs w:val="28"/>
          <w:lang w:val="en-US" w:eastAsia="zh-CN"/>
        </w:rPr>
        <w:t xml:space="preserve">第二章 </w:t>
      </w:r>
      <w:r>
        <w:rPr>
          <w:rFonts w:hint="eastAsia" w:ascii="方正小标宋简体" w:hAnsi="方正小标宋简体" w:eastAsia="方正小标宋简体" w:cs="方正小标宋简体"/>
          <w:b w:val="0"/>
          <w:bCs/>
          <w:sz w:val="36"/>
          <w:szCs w:val="28"/>
          <w:lang w:eastAsia="zh-CN"/>
        </w:rPr>
        <w:t>琉璃产业的概念</w:t>
      </w:r>
      <w:bookmarkEnd w:id="22"/>
    </w:p>
    <w:p w14:paraId="5DA89AEA">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eastAsia="zh-CN"/>
        </w:rPr>
      </w:pPr>
    </w:p>
    <w:p w14:paraId="6B7CFE26">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本章围绕琉璃产品的定义、分类及产业链构成进行系统阐释，明确了琉璃产业的内涵外延和核心特征，剖析产业链结构和企业类型，为科学制定产业政策、优化资源配置提供理论依据和实践导向。</w:t>
      </w:r>
      <w:bookmarkStart w:id="23" w:name="_Toc14255"/>
    </w:p>
    <w:p w14:paraId="3FBF58B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黑体" w:hAnsi="黑体" w:eastAsia="黑体" w:cs="黑体"/>
          <w:b w:val="0"/>
          <w:bCs/>
          <w:lang w:eastAsia="zh-CN"/>
        </w:rPr>
      </w:pPr>
      <w:r>
        <w:rPr>
          <w:rFonts w:hint="eastAsia" w:ascii="黑体" w:hAnsi="黑体" w:eastAsia="黑体" w:cs="黑体"/>
          <w:b w:val="0"/>
          <w:bCs/>
          <w:sz w:val="32"/>
          <w:szCs w:val="40"/>
          <w:lang w:eastAsia="zh-CN"/>
        </w:rPr>
        <w:t>一、琉璃产品的定义和分类</w:t>
      </w:r>
      <w:bookmarkEnd w:id="23"/>
    </w:p>
    <w:p w14:paraId="53AF0153">
      <w:pPr>
        <w:pStyle w:val="7"/>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firstLine="640" w:firstLineChars="200"/>
        <w:textAlignment w:val="auto"/>
        <w:outlineLvl w:val="2"/>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kern w:val="2"/>
          <w:sz w:val="32"/>
          <w:szCs w:val="32"/>
          <w:lang w:val="en-US" w:eastAsia="zh-CN" w:bidi="ar-SA"/>
        </w:rPr>
        <w:t>（一）</w:t>
      </w:r>
      <w:r>
        <w:rPr>
          <w:rFonts w:hint="eastAsia" w:ascii="楷体_GB2312" w:hAnsi="楷体_GB2312" w:eastAsia="楷体_GB2312" w:cs="楷体_GB2312"/>
          <w:b w:val="0"/>
          <w:bCs/>
          <w:sz w:val="32"/>
          <w:szCs w:val="32"/>
          <w:lang w:eastAsia="zh-CN"/>
        </w:rPr>
        <w:t>琉璃</w:t>
      </w:r>
      <w:r>
        <w:rPr>
          <w:rFonts w:hint="eastAsia" w:ascii="楷体_GB2312" w:hAnsi="楷体_GB2312" w:eastAsia="楷体_GB2312" w:cs="楷体_GB2312"/>
          <w:b w:val="0"/>
          <w:bCs/>
          <w:sz w:val="32"/>
          <w:szCs w:val="32"/>
          <w:lang w:val="en-US" w:eastAsia="zh-CN"/>
        </w:rPr>
        <w:t>产品</w:t>
      </w:r>
      <w:r>
        <w:rPr>
          <w:rFonts w:hint="eastAsia" w:ascii="楷体_GB2312" w:hAnsi="楷体_GB2312" w:eastAsia="楷体_GB2312" w:cs="楷体_GB2312"/>
          <w:b w:val="0"/>
          <w:bCs/>
          <w:sz w:val="32"/>
          <w:szCs w:val="32"/>
          <w:lang w:eastAsia="zh-CN"/>
        </w:rPr>
        <w:t>的定义</w:t>
      </w:r>
    </w:p>
    <w:p w14:paraId="7BAB6C80">
      <w:pPr>
        <w:pStyle w:val="8"/>
        <w:keepNext/>
        <w:keepLines/>
        <w:pageBreakBefore w:val="0"/>
        <w:widowControl w:val="0"/>
        <w:kinsoku/>
        <w:wordWrap/>
        <w:overflowPunct/>
        <w:topLinePunct w:val="0"/>
        <w:autoSpaceDE/>
        <w:autoSpaceDN/>
        <w:bidi w:val="0"/>
        <w:adjustRightInd w:val="0"/>
        <w:snapToGrid w:val="0"/>
        <w:spacing w:before="0" w:beforeLines="0" w:after="0" w:afterLines="0" w:line="576" w:lineRule="exact"/>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1.定义</w:t>
      </w:r>
    </w:p>
    <w:p w14:paraId="49D91A8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以艺术创作为导向，</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lang w:eastAsia="zh-CN"/>
        </w:rPr>
        <w:t>以手工技艺为基础制成的玻璃制品，统称为琉璃制品，简称琉璃。琉璃制品进入市场流通时称其为：琉璃产品。</w:t>
      </w:r>
    </w:p>
    <w:p w14:paraId="33DAE1A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2.概念释义</w:t>
      </w:r>
    </w:p>
    <w:p w14:paraId="760FC043">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艺术创作导</w:t>
      </w:r>
      <w:r>
        <w:rPr>
          <w:rFonts w:hint="eastAsia" w:ascii="仿宋_GB2312" w:hAnsi="仿宋_GB2312" w:eastAsia="仿宋_GB2312" w:cs="仿宋_GB2312"/>
          <w:b w:val="0"/>
          <w:kern w:val="2"/>
          <w:sz w:val="32"/>
          <w:szCs w:val="32"/>
          <w:lang w:val="en-US" w:eastAsia="zh-CN" w:bidi="ar-SA"/>
        </w:rPr>
        <w:t>向是琉璃制品区别于普通玻璃制品的核心特征。琉璃是创作者知觉、情感、理想、意念等心理活动的艺术体现，应当具备设计概念或艺术表达效果，琉璃是玻璃艺术中国化的体现，二者的概念相似。</w:t>
      </w:r>
    </w:p>
    <w:p w14:paraId="67DF263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z w:val="28"/>
          <w:szCs w:val="28"/>
          <w:lang w:val="en-US" w:eastAsia="zh-CN"/>
        </w:rPr>
      </w:pPr>
      <w:r>
        <w:rPr>
          <w:rFonts w:hint="eastAsia" w:ascii="仿宋_GB2312" w:hAnsi="仿宋_GB2312" w:eastAsia="仿宋_GB2312" w:cs="仿宋_GB2312"/>
          <w:b w:val="0"/>
          <w:bCs w:val="0"/>
          <w:kern w:val="2"/>
          <w:sz w:val="32"/>
          <w:szCs w:val="32"/>
          <w:lang w:val="en-US" w:eastAsia="zh-CN" w:bidi="ar-SA"/>
        </w:rPr>
        <w:t>手工技艺是琉璃制</w:t>
      </w:r>
      <w:r>
        <w:rPr>
          <w:rFonts w:hint="eastAsia" w:ascii="仿宋_GB2312" w:hAnsi="仿宋_GB2312" w:eastAsia="仿宋_GB2312" w:cs="仿宋_GB2312"/>
          <w:b w:val="0"/>
          <w:kern w:val="2"/>
          <w:sz w:val="32"/>
          <w:szCs w:val="32"/>
          <w:lang w:val="en-US" w:eastAsia="zh-CN" w:bidi="ar-SA"/>
        </w:rPr>
        <w:t xml:space="preserve">作的基础和重要特征。琉璃的制作需要结合专业工艺、熟练技艺和复杂的生产流程，特别是对于复杂的设计、多样的色彩和独特的造型，艺术家和工匠的手工参与至关重要，与此同时，机器辅助加工可实现纯手工难以完成的工艺，有助于产品创新、品质提升和生产效率提高。因此，手工技艺是生产琉璃的基础和必备要素，但不排斥机器辅助。 </w:t>
      </w:r>
      <w:r>
        <w:rPr>
          <w:rFonts w:hint="eastAsia" w:ascii="仿宋" w:hAnsi="仿宋" w:eastAsia="仿宋" w:cs="仿宋"/>
          <w:sz w:val="28"/>
          <w:szCs w:val="28"/>
          <w:lang w:val="en-US" w:eastAsia="zh-CN"/>
        </w:rPr>
        <w:t xml:space="preserve">   </w:t>
      </w:r>
    </w:p>
    <w:p w14:paraId="4531687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“玻璃”属性</w:t>
      </w:r>
      <w:r>
        <w:rPr>
          <w:rFonts w:hint="eastAsia" w:ascii="仿宋_GB2312" w:hAnsi="仿宋_GB2312" w:eastAsia="仿宋_GB2312" w:cs="仿宋_GB2312"/>
          <w:b w:val="0"/>
          <w:kern w:val="2"/>
          <w:sz w:val="32"/>
          <w:szCs w:val="32"/>
          <w:lang w:val="en-US" w:eastAsia="zh-CN" w:bidi="ar-SA"/>
        </w:rPr>
        <w:t>是琉璃的科学判断标准</w:t>
      </w:r>
      <w:r>
        <w:rPr>
          <w:rFonts w:hint="eastAsia" w:ascii="仿宋_GB2312" w:hAnsi="仿宋_GB2312" w:eastAsia="仿宋_GB2312" w:cs="仿宋_GB2312"/>
          <w:b w:val="0"/>
          <w:bCs w:val="0"/>
          <w:kern w:val="2"/>
          <w:sz w:val="32"/>
          <w:szCs w:val="32"/>
          <w:lang w:val="en-US" w:eastAsia="zh-CN" w:bidi="ar-SA"/>
        </w:rPr>
        <w:t>；“制品”是琉璃</w:t>
      </w:r>
      <w:r>
        <w:rPr>
          <w:rFonts w:hint="eastAsia" w:ascii="仿宋_GB2312" w:hAnsi="仿宋_GB2312" w:eastAsia="仿宋_GB2312" w:cs="仿宋_GB2312"/>
          <w:b w:val="0"/>
          <w:kern w:val="2"/>
          <w:sz w:val="32"/>
          <w:szCs w:val="32"/>
          <w:lang w:val="en-US" w:eastAsia="zh-CN" w:bidi="ar-SA"/>
        </w:rPr>
        <w:t>区别于黑曜石、玻陨石等自然玻璃的重要特征。</w:t>
      </w:r>
    </w:p>
    <w:p w14:paraId="41E6A04B">
      <w:pPr>
        <w:pStyle w:val="7"/>
        <w:keepNext/>
        <w:keepLines/>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left="0" w:leftChars="0" w:firstLine="640" w:firstLineChars="200"/>
        <w:textAlignment w:val="auto"/>
        <w:outlineLvl w:val="2"/>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kern w:val="2"/>
          <w:sz w:val="32"/>
          <w:szCs w:val="32"/>
          <w:lang w:val="en-US" w:eastAsia="zh-CN" w:bidi="ar-SA"/>
        </w:rPr>
        <w:t>（二）</w:t>
      </w:r>
      <w:r>
        <w:rPr>
          <w:rFonts w:hint="eastAsia" w:ascii="楷体_GB2312" w:hAnsi="楷体_GB2312" w:eastAsia="楷体_GB2312" w:cs="楷体_GB2312"/>
          <w:b w:val="0"/>
          <w:bCs/>
          <w:sz w:val="32"/>
          <w:szCs w:val="32"/>
          <w:lang w:eastAsia="zh-CN"/>
        </w:rPr>
        <w:t>琉璃产品的分类</w:t>
      </w:r>
    </w:p>
    <w:p w14:paraId="7105BFA5">
      <w:pPr>
        <w:pStyle w:val="8"/>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1.按艺术价值分类</w:t>
      </w:r>
    </w:p>
    <w:p w14:paraId="715427A6">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根据琉璃产品的艺术性可分为：琉璃艺术品、琉璃工艺品。</w:t>
      </w:r>
    </w:p>
    <w:p w14:paraId="78B99817">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2.按产品主题风格分类</w:t>
      </w:r>
    </w:p>
    <w:p w14:paraId="3C15F5D6">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根据琉璃产品所展现的主题风格可分为：中式传统琉璃、西式古典琉璃、现代艺术琉璃、民族风格琉璃等。</w:t>
      </w:r>
    </w:p>
    <w:p w14:paraId="19894D40">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3.按应用场景分类</w:t>
      </w:r>
    </w:p>
    <w:p w14:paraId="7FCE8A2A">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从产品应用领域分类可分为：商用和家用，具体到应用场景可分为：建筑装饰、家居装饰、器皿、器具、饰品等。</w:t>
      </w:r>
      <w:bookmarkStart w:id="24" w:name="_Toc7493"/>
      <w:bookmarkStart w:id="25" w:name="_Toc15451"/>
      <w:bookmarkStart w:id="26" w:name="_Toc28605"/>
    </w:p>
    <w:p w14:paraId="7D270C7D">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outlineLvl w:val="1"/>
        <w:rPr>
          <w:rFonts w:hint="eastAsia" w:ascii="黑体" w:hAnsi="黑体" w:eastAsia="黑体" w:cs="黑体"/>
          <w:b w:val="0"/>
          <w:bCs/>
          <w:sz w:val="32"/>
          <w:szCs w:val="40"/>
          <w:lang w:eastAsia="zh-CN"/>
        </w:rPr>
      </w:pPr>
      <w:bookmarkStart w:id="27" w:name="_Toc14381"/>
      <w:r>
        <w:rPr>
          <w:rFonts w:hint="eastAsia" w:ascii="黑体" w:hAnsi="黑体" w:eastAsia="黑体" w:cs="黑体"/>
          <w:b w:val="0"/>
          <w:bCs/>
          <w:sz w:val="32"/>
          <w:szCs w:val="40"/>
          <w:lang w:eastAsia="zh-CN"/>
        </w:rPr>
        <w:t>二、琉璃产业和产业链</w:t>
      </w:r>
      <w:bookmarkEnd w:id="24"/>
      <w:bookmarkEnd w:id="25"/>
      <w:bookmarkEnd w:id="26"/>
      <w:bookmarkEnd w:id="27"/>
    </w:p>
    <w:p w14:paraId="224C5EAF">
      <w:pPr>
        <w:pStyle w:val="7"/>
        <w:keepNext/>
        <w:keepLines/>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firstLine="640" w:firstLineChars="200"/>
        <w:textAlignment w:val="auto"/>
        <w:outlineLvl w:val="2"/>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kern w:val="2"/>
          <w:sz w:val="32"/>
          <w:szCs w:val="32"/>
          <w:lang w:val="en-US" w:eastAsia="zh-CN" w:bidi="ar-SA"/>
        </w:rPr>
        <w:t>（一）</w:t>
      </w:r>
      <w:r>
        <w:rPr>
          <w:rFonts w:hint="eastAsia" w:ascii="楷体_GB2312" w:hAnsi="楷体_GB2312" w:eastAsia="楷体_GB2312" w:cs="楷体_GB2312"/>
          <w:b w:val="0"/>
          <w:bCs/>
          <w:sz w:val="32"/>
          <w:szCs w:val="32"/>
          <w:lang w:eastAsia="zh-CN"/>
        </w:rPr>
        <w:t>琉璃产业的</w:t>
      </w:r>
      <w:r>
        <w:rPr>
          <w:rFonts w:hint="eastAsia" w:ascii="楷体_GB2312" w:hAnsi="楷体_GB2312" w:eastAsia="楷体_GB2312" w:cs="楷体_GB2312"/>
          <w:b w:val="0"/>
          <w:bCs/>
          <w:sz w:val="32"/>
          <w:szCs w:val="32"/>
          <w:lang w:val="en-US" w:eastAsia="zh-CN"/>
        </w:rPr>
        <w:t>定义</w:t>
      </w:r>
    </w:p>
    <w:p w14:paraId="14FCBF48">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琉璃产业是指为社会公众提供琉璃产品和琉璃相关产品、服务的生产活动的合集。</w:t>
      </w:r>
    </w:p>
    <w:p w14:paraId="5C84A284">
      <w:pPr>
        <w:pStyle w:val="7"/>
        <w:keepNext/>
        <w:keepLines/>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firstLine="640" w:firstLineChars="200"/>
        <w:textAlignment w:val="auto"/>
        <w:outlineLvl w:val="2"/>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kern w:val="2"/>
          <w:sz w:val="32"/>
          <w:szCs w:val="32"/>
          <w:lang w:val="en-US" w:eastAsia="zh-CN" w:bidi="ar-SA"/>
        </w:rPr>
        <w:t>（二）</w:t>
      </w:r>
      <w:r>
        <w:rPr>
          <w:rFonts w:hint="eastAsia" w:ascii="楷体_GB2312" w:hAnsi="楷体_GB2312" w:eastAsia="楷体_GB2312" w:cs="楷体_GB2312"/>
          <w:b w:val="0"/>
          <w:bCs/>
          <w:sz w:val="32"/>
          <w:szCs w:val="32"/>
          <w:lang w:eastAsia="zh-CN"/>
        </w:rPr>
        <w:t>产业链核心企业画像</w:t>
      </w:r>
    </w:p>
    <w:p w14:paraId="4362FA48">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主导琉璃产业发展格局的是位于产业链中游的企业，构成了琉璃产业发展的核心企业，主要有5种类型：以文创设计为主营业务的设计类企业、以产品生产为主营业务的生产类企业、以“创意设计+IP打造+生产制造”为主的创客IP类企业、以销售为主营业务的销售类企业、以专业性服务为主营业务的服务类企业。</w:t>
      </w:r>
    </w:p>
    <w:p w14:paraId="3922EB20">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p>
    <w:p w14:paraId="48948EA9">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outlineLvl w:val="0"/>
        <w:rPr>
          <w:rFonts w:hint="eastAsia" w:ascii="方正小标宋简体" w:hAnsi="方正小标宋简体" w:eastAsia="方正小标宋简体" w:cs="方正小标宋简体"/>
          <w:sz w:val="36"/>
          <w:szCs w:val="36"/>
          <w:lang w:eastAsia="zh-CN"/>
        </w:rPr>
      </w:pPr>
      <w:bookmarkStart w:id="28" w:name="_Toc9140"/>
      <w:r>
        <w:rPr>
          <w:rFonts w:hint="eastAsia" w:ascii="方正小标宋简体" w:hAnsi="方正小标宋简体" w:eastAsia="方正小标宋简体" w:cs="方正小标宋简体"/>
          <w:sz w:val="36"/>
          <w:szCs w:val="36"/>
          <w:lang w:val="en-US" w:eastAsia="zh-CN"/>
        </w:rPr>
        <w:t xml:space="preserve">第三章 </w:t>
      </w:r>
      <w:r>
        <w:rPr>
          <w:rFonts w:hint="eastAsia" w:ascii="方正小标宋简体" w:hAnsi="方正小标宋简体" w:eastAsia="方正小标宋简体" w:cs="方正小标宋简体"/>
          <w:sz w:val="36"/>
          <w:szCs w:val="36"/>
          <w:lang w:eastAsia="zh-CN"/>
        </w:rPr>
        <w:t>全球琉璃产业发展情况</w:t>
      </w:r>
      <w:bookmarkEnd w:id="28"/>
    </w:p>
    <w:p w14:paraId="4E04B183">
      <w:pPr>
        <w:pageBreakBefore w:val="0"/>
        <w:widowControl w:val="0"/>
        <w:numPr>
          <w:ilvl w:val="0"/>
          <w:numId w:val="0"/>
        </w:numPr>
        <w:kinsoku/>
        <w:wordWrap/>
        <w:overflowPunct/>
        <w:topLinePunct w:val="0"/>
        <w:autoSpaceDE/>
        <w:autoSpaceDN/>
        <w:bidi w:val="0"/>
        <w:adjustRightInd w:val="0"/>
        <w:snapToGrid w:val="0"/>
        <w:spacing w:line="576" w:lineRule="exact"/>
        <w:textAlignment w:val="auto"/>
        <w:rPr>
          <w:rFonts w:hint="eastAsia"/>
          <w:sz w:val="24"/>
          <w:szCs w:val="32"/>
          <w:lang w:eastAsia="zh-CN"/>
        </w:rPr>
      </w:pPr>
    </w:p>
    <w:p w14:paraId="7D35BACD">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lang w:val="en-US" w:eastAsia="zh-CN"/>
        </w:rPr>
      </w:pPr>
      <w:r>
        <w:rPr>
          <w:rFonts w:hint="eastAsia" w:ascii="仿宋_GB2312" w:hAnsi="仿宋_GB2312" w:eastAsia="仿宋_GB2312" w:cs="仿宋_GB2312"/>
          <w:b w:val="0"/>
          <w:kern w:val="2"/>
          <w:sz w:val="32"/>
          <w:szCs w:val="32"/>
          <w:lang w:val="en-US" w:eastAsia="zh-CN" w:bidi="ar-SA"/>
        </w:rPr>
        <w:t>本章通过对全球及中国琉璃（艺术玻璃）市场的发展现状、结构构成及发展趋势的分析，结合博山琉璃产业现状，明确指出产业的短板与优势，为产业对标先进、精准发力提供决策参考。</w:t>
      </w:r>
    </w:p>
    <w:p w14:paraId="402C0DAA">
      <w:pPr>
        <w:pStyle w:val="6"/>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firstLine="640" w:firstLineChars="200"/>
        <w:textAlignment w:val="auto"/>
        <w:outlineLvl w:val="1"/>
        <w:rPr>
          <w:rFonts w:hint="eastAsia" w:ascii="黑体" w:hAnsi="黑体" w:eastAsia="黑体" w:cs="黑体"/>
          <w:b w:val="0"/>
          <w:bCs/>
          <w:lang w:eastAsia="zh-CN"/>
        </w:rPr>
      </w:pPr>
      <w:bookmarkStart w:id="29" w:name="_Toc22734"/>
      <w:r>
        <w:rPr>
          <w:rFonts w:hint="eastAsia" w:ascii="黑体" w:hAnsi="黑体" w:eastAsia="黑体" w:cs="黑体"/>
          <w:b w:val="0"/>
          <w:bCs/>
          <w:kern w:val="2"/>
          <w:sz w:val="32"/>
          <w:szCs w:val="24"/>
          <w:lang w:val="en-US" w:eastAsia="zh-CN" w:bidi="ar-SA"/>
        </w:rPr>
        <w:t>一、</w:t>
      </w:r>
      <w:r>
        <w:rPr>
          <w:rFonts w:hint="eastAsia" w:ascii="黑体" w:hAnsi="黑体" w:eastAsia="黑体" w:cs="黑体"/>
          <w:b w:val="0"/>
          <w:bCs/>
          <w:lang w:eastAsia="zh-CN"/>
        </w:rPr>
        <w:t>全球琉璃（艺术玻璃）产业发展</w:t>
      </w:r>
      <w:r>
        <w:rPr>
          <w:rFonts w:hint="eastAsia" w:ascii="黑体" w:hAnsi="黑体" w:eastAsia="黑体" w:cs="黑体"/>
          <w:b w:val="0"/>
          <w:bCs/>
          <w:lang w:val="en-US" w:eastAsia="zh-CN"/>
        </w:rPr>
        <w:t>趋势</w:t>
      </w:r>
      <w:bookmarkEnd w:id="29"/>
    </w:p>
    <w:p w14:paraId="3531EC6C">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本《规划》所调研的琉璃产业发展情况是以上文所表述的“琉璃产品”涵盖范围为主要对象，通过企业调研统计、国际专业市场研究机构数据分析等方法作出如下总结：</w:t>
      </w:r>
    </w:p>
    <w:p w14:paraId="622EAF94">
      <w:pPr>
        <w:pStyle w:val="8"/>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firstLine="640" w:firstLineChars="200"/>
        <w:textAlignment w:val="auto"/>
        <w:outlineLvl w:val="2"/>
        <w:rPr>
          <w:rFonts w:hint="eastAsia" w:ascii="楷体_GB2312" w:hAnsi="楷体_GB2312" w:eastAsia="楷体_GB2312" w:cs="楷体_GB2312"/>
          <w:b w:val="0"/>
          <w:bCs/>
          <w:sz w:val="32"/>
          <w:szCs w:val="28"/>
          <w:lang w:val="en-US" w:eastAsia="zh-CN"/>
        </w:rPr>
      </w:pPr>
      <w:r>
        <w:rPr>
          <w:rFonts w:hint="eastAsia" w:ascii="楷体_GB2312" w:hAnsi="楷体_GB2312" w:eastAsia="楷体_GB2312" w:cs="楷体_GB2312"/>
          <w:b w:val="0"/>
          <w:bCs/>
          <w:kern w:val="2"/>
          <w:sz w:val="32"/>
          <w:szCs w:val="28"/>
          <w:lang w:val="en-US" w:eastAsia="zh-CN" w:bidi="ar-SA"/>
        </w:rPr>
        <w:t>（一）</w:t>
      </w:r>
      <w:r>
        <w:rPr>
          <w:rFonts w:hint="eastAsia" w:ascii="楷体_GB2312" w:hAnsi="楷体_GB2312" w:eastAsia="楷体_GB2312" w:cs="楷体_GB2312"/>
          <w:b w:val="0"/>
          <w:bCs/>
          <w:sz w:val="32"/>
          <w:szCs w:val="28"/>
          <w:lang w:val="en-US" w:eastAsia="zh-CN"/>
        </w:rPr>
        <w:t>市场持续增长</w:t>
      </w:r>
    </w:p>
    <w:p w14:paraId="50FE72B6">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艺术玻璃作为全球通用的艺术媒介，正借助数字化技术和社交媒体实现广泛传播，国际市场对玻璃艺术的认知度和接受度显著提高。同时，跨境电商、直播电商、NFT数字艺术等新商业模式的兴起，为艺术玻璃在全球范围内的推广和交易提供了更为便捷的渠道，有力地推动了市场增长。</w:t>
      </w:r>
    </w:p>
    <w:p w14:paraId="441A0513">
      <w:pPr>
        <w:pStyle w:val="8"/>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firstLine="640" w:firstLineChars="200"/>
        <w:textAlignment w:val="auto"/>
        <w:outlineLvl w:val="2"/>
        <w:rPr>
          <w:rFonts w:hint="eastAsia" w:ascii="楷体_GB2312" w:hAnsi="楷体_GB2312" w:eastAsia="楷体_GB2312" w:cs="楷体_GB2312"/>
          <w:b w:val="0"/>
          <w:bCs/>
          <w:sz w:val="32"/>
          <w:szCs w:val="28"/>
          <w:lang w:val="en-US" w:eastAsia="zh-CN"/>
        </w:rPr>
      </w:pPr>
      <w:r>
        <w:rPr>
          <w:rFonts w:hint="eastAsia" w:ascii="楷体_GB2312" w:hAnsi="楷体_GB2312" w:eastAsia="楷体_GB2312" w:cs="楷体_GB2312"/>
          <w:b w:val="0"/>
          <w:bCs/>
          <w:sz w:val="32"/>
          <w:szCs w:val="28"/>
          <w:lang w:val="en-US" w:eastAsia="zh-CN"/>
        </w:rPr>
        <w:t>（二）新兴市场潜力巨大</w:t>
      </w:r>
    </w:p>
    <w:p w14:paraId="78FF0475">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长期以来，艺术玻璃产业的主要消费市场和生产基地集中在欧美发达国家。然而，随着亚洲、南美等新兴市场的经济增长和文化消费能力的提升，这些地区的艺术玻璃需求正显著攀升，尤其是中国和中东等地的大规模城市化建设和文化产业发展，正成为推动行业增长的重要引擎。中国近年来大力推进城市更新、文化产业升级、文创产品发展，为艺术玻璃产业创造了广阔的发展空间。而中东地区，如阿联酋、沙特阿拉伯等国家，凭借快速崛起的文化艺术市场、豪华装饰需求的增长，以及大型博物馆、艺术中心的建设，正吸引越来越多的高端艺术玻璃产品进入市场。随着新兴市场的不断扩展，全球艺术玻璃行业的增长潜力将进一步释放。</w:t>
      </w:r>
    </w:p>
    <w:p w14:paraId="1F38FF86">
      <w:pPr>
        <w:pStyle w:val="6"/>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left="0" w:leftChars="0" w:firstLine="640" w:firstLineChars="200"/>
        <w:textAlignment w:val="auto"/>
        <w:outlineLvl w:val="1"/>
        <w:rPr>
          <w:rFonts w:hint="eastAsia" w:ascii="黑体" w:hAnsi="黑体" w:eastAsia="黑体" w:cs="黑体"/>
          <w:b w:val="0"/>
          <w:bCs/>
          <w:lang w:val="en-US" w:eastAsia="zh-CN"/>
        </w:rPr>
      </w:pPr>
      <w:bookmarkStart w:id="30" w:name="_Toc22111"/>
      <w:r>
        <w:rPr>
          <w:rFonts w:hint="eastAsia" w:ascii="黑体" w:hAnsi="黑体" w:eastAsia="黑体" w:cs="黑体"/>
          <w:b w:val="0"/>
          <w:bCs/>
          <w:kern w:val="2"/>
          <w:sz w:val="32"/>
          <w:szCs w:val="24"/>
          <w:lang w:val="en-US" w:eastAsia="zh-CN" w:bidi="ar-SA"/>
        </w:rPr>
        <w:t>二、</w:t>
      </w:r>
      <w:r>
        <w:rPr>
          <w:rFonts w:hint="eastAsia" w:ascii="黑体" w:hAnsi="黑体" w:eastAsia="黑体" w:cs="黑体"/>
          <w:b w:val="0"/>
          <w:bCs/>
          <w:lang w:val="en-US" w:eastAsia="zh-CN"/>
        </w:rPr>
        <w:t>博山琉璃产业发展现状</w:t>
      </w:r>
      <w:bookmarkEnd w:id="30"/>
    </w:p>
    <w:p w14:paraId="73634272">
      <w:pPr>
        <w:pStyle w:val="7"/>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firstLine="640" w:firstLineChars="200"/>
        <w:textAlignment w:val="auto"/>
        <w:outlineLvl w:val="2"/>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kern w:val="2"/>
          <w:sz w:val="32"/>
          <w:szCs w:val="32"/>
          <w:lang w:val="en-US" w:eastAsia="zh-CN" w:bidi="ar-SA"/>
        </w:rPr>
        <w:t>（一）</w:t>
      </w:r>
      <w:r>
        <w:rPr>
          <w:rFonts w:hint="eastAsia" w:ascii="楷体_GB2312" w:hAnsi="楷体_GB2312" w:eastAsia="楷体_GB2312" w:cs="楷体_GB2312"/>
          <w:b w:val="0"/>
          <w:bCs/>
          <w:sz w:val="32"/>
          <w:szCs w:val="32"/>
          <w:lang w:val="en-US" w:eastAsia="zh-CN"/>
        </w:rPr>
        <w:t>博山琉璃产业的发展基础</w:t>
      </w:r>
    </w:p>
    <w:p w14:paraId="43974376">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2006年，博山区被中国轻工业联合会授予“中国琉璃之乡”称号。截至2024年末，全区有琉璃生产企业13家，大师工作室 65家，全职从业人员近千人，潜在熟练技工近两千人（包括陶瓷琉璃双线从业者和间歇性从业者）。高水平工艺美术人才数量在山东省名列前茅，琉璃类国家级艺术大师32人（含中国工艺美术大师4人），省级艺术大师49人（含山东省工艺美术大师28人）；全国技术能手1人，齐鲁首席技师13人，泰山产业领军人才1人，山东省“富民兴鲁”劳动奖章获得者1人，中级及以上职称获得者近百人。博山琉璃荣获多个国家级荣誉称号，包括“中国石榴王（琉璃）”“中国孙氏琉璃鸡油黄”“中国琉璃葡萄孙”“中国琉璃内画张”“中国张氏琉璃鸡肝石”和“中国琉璃葫芦孙”等6项。“琉璃烧制技艺”和“内画（鲁派内画）”被列入国家级非物质文化遗产。“博山鸡油黄与鸡肝石琉璃烧制技艺”“博山胭脂红琉璃烧制技艺”“鲁派内画”和“博山琉璃灯工制作技艺”等项目被列入省级非物质文化遗产。</w:t>
      </w:r>
    </w:p>
    <w:p w14:paraId="2B957A59">
      <w:pPr>
        <w:pStyle w:val="7"/>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firstLine="640" w:firstLineChars="200"/>
        <w:textAlignment w:val="auto"/>
        <w:outlineLvl w:val="2"/>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kern w:val="2"/>
          <w:sz w:val="32"/>
          <w:szCs w:val="32"/>
          <w:lang w:val="en-US" w:eastAsia="zh-CN" w:bidi="ar-SA"/>
        </w:rPr>
        <w:t>（二）</w:t>
      </w:r>
      <w:r>
        <w:rPr>
          <w:rFonts w:hint="eastAsia" w:ascii="楷体_GB2312" w:hAnsi="楷体_GB2312" w:eastAsia="楷体_GB2312" w:cs="楷体_GB2312"/>
          <w:b w:val="0"/>
          <w:bCs/>
          <w:sz w:val="32"/>
          <w:szCs w:val="32"/>
          <w:lang w:val="en-US" w:eastAsia="zh-CN"/>
        </w:rPr>
        <w:t>博山琉璃产业发展存在的问题</w:t>
      </w:r>
    </w:p>
    <w:p w14:paraId="750B578B">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创新能力较弱，工艺类型单一，新技术、新装备的应用不足。“博山琉璃”品牌营销力度较弱，企业在品牌塑造和市场开拓方面的能力有限。人才结构不合理，工匠人才年龄偏大，青年人才培养存在困难，且在科研、设计、营销、跨境电商等领域的人才匮乏。产业载体空间存在短板，高标准的生产经营空间不足，缺乏文化交流空间、孵化器、加速器等配套设施，且交易市场老旧，难以满足未来产业发展的需求。</w:t>
      </w:r>
    </w:p>
    <w:p w14:paraId="37FB707B">
      <w:pPr>
        <w:pStyle w:val="7"/>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firstLine="640" w:firstLineChars="200"/>
        <w:textAlignment w:val="auto"/>
        <w:outlineLvl w:val="2"/>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kern w:val="2"/>
          <w:sz w:val="32"/>
          <w:szCs w:val="32"/>
          <w:lang w:val="en-US" w:eastAsia="zh-CN" w:bidi="ar-SA"/>
        </w:rPr>
        <w:t>（三）</w:t>
      </w:r>
      <w:r>
        <w:rPr>
          <w:rFonts w:hint="eastAsia" w:ascii="楷体_GB2312" w:hAnsi="楷体_GB2312" w:eastAsia="楷体_GB2312" w:cs="楷体_GB2312"/>
          <w:b w:val="0"/>
          <w:bCs/>
          <w:sz w:val="32"/>
          <w:szCs w:val="32"/>
          <w:lang w:val="en-US" w:eastAsia="zh-CN"/>
        </w:rPr>
        <w:t>博山琉璃产业的发展优势</w:t>
      </w:r>
    </w:p>
    <w:p w14:paraId="766CEB0D">
      <w:pPr>
        <w:pStyle w:val="8"/>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1.博山琉璃在中国琉璃文化传承体系中的核心地位</w:t>
      </w:r>
    </w:p>
    <w:p w14:paraId="70D6DF46">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博山琉璃自宋代开始，至元、明、清持续发展，数百年来从未间断，琉璃产业的长期繁荣，为博山琉璃文化的孕育、发展、成熟奠定了坚实的物质基础，使其形成了一套完整的工艺体系和文化体系，并延续至今。在中国乃至全球的琉璃（艺术玻璃）文化领域，博山琉璃凭借其悠久的历史、独特的技艺、深厚的文化积淀，均占据重要地位。博山不仅是中国琉璃工艺的重要发源地，更是国内琉璃技艺传承、创新和发展的核心区域之一，被誉为“中国琉璃之乡”。</w:t>
      </w:r>
    </w:p>
    <w:p w14:paraId="3161F751">
      <w:pPr>
        <w:pStyle w:val="8"/>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left="0" w:leftChars="0"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2.以熟练工匠为主体的人力资源体系</w:t>
      </w:r>
    </w:p>
    <w:p w14:paraId="08E19699">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博山琉璃产业得以长久发展的核心优势之一，在于其拥有数量庞大、技艺精湛的工匠群体。在吹制、灯工、内画等核心技艺领域，博山地区不仅拥有丰富的熟练工匠资源，还储备了大量的潜在技艺人才，为产业的持续创新和规模化发展提供了稳定的人才支撑。特别是在非遗技艺传承方面，博山琉璃的高水平技艺传承人在国内位居前列。此外，政府与相关机构通过高等教育、职业培训、师徒传承、技艺大赛等方式，持续加强人才培养，为琉璃产业的高质量发展奠定了坚实的基础。</w:t>
      </w:r>
    </w:p>
    <w:p w14:paraId="68B8B99D">
      <w:pPr>
        <w:pStyle w:val="8"/>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left="0" w:leftChars="0"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3.具备琉璃产业集聚发展的基础</w:t>
      </w:r>
    </w:p>
    <w:p w14:paraId="4F75342E">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博山琉璃产业的优势不仅体现在历史传承和人才储备方面，同时也在产业集聚效应的逐步形成上展现出巨大潜力。博山琉璃作为中国琉璃文化的重要组成部分，拥有广泛的社会认同度和深远的文化影响力，为产业发展提供了坚实的文化支撑。大量技艺精湛的工匠和新生代琉璃从业者共同构成了产业发展的核心人力资源。博山聚集了众多琉璃非遗传承人和工艺美术大师，他们的作品在国内外市场上具有较高的认可度和影响力。当前，博山已初步形成了以琉璃生产、设计、销售为核心的</w:t>
      </w:r>
      <w:r>
        <w:rPr>
          <w:rFonts w:hint="eastAsia" w:ascii="仿宋_GB2312" w:hAnsi="仿宋_GB2312" w:eastAsia="仿宋_GB2312" w:cs="仿宋_GB2312"/>
          <w:b w:val="0"/>
          <w:kern w:val="2"/>
          <w:sz w:val="32"/>
          <w:szCs w:val="32"/>
          <w:highlight w:val="none"/>
          <w:lang w:val="en-US" w:eastAsia="zh-CN" w:bidi="ar-SA"/>
        </w:rPr>
        <w:t>产业链</w:t>
      </w:r>
      <w:r>
        <w:rPr>
          <w:rFonts w:hint="eastAsia" w:ascii="仿宋_GB2312" w:hAnsi="仿宋_GB2312" w:eastAsia="仿宋_GB2312" w:cs="仿宋_GB2312"/>
          <w:b w:val="0"/>
          <w:kern w:val="2"/>
          <w:sz w:val="32"/>
          <w:szCs w:val="32"/>
          <w:lang w:val="en-US" w:eastAsia="zh-CN" w:bidi="ar-SA"/>
        </w:rPr>
        <w:t>，并吸引了大量相关企业集聚，初步构建起了完善的琉璃产业生态体系。作为国内琉璃制品的重要集散地，博山拥有各类琉璃艺术展览会、交易市场及线上电商平台，为产业提供了强有力的市场支撑。博山已规划并启动建设国内规模领先、国际同步的琉璃产业园区，为企业提供了集生产、研发、展示、销售于一体的综合性发展平台，推动产业链各环节的深度协同。政府在产业政策、人才引进、技术创新和市场拓展等方面提供了全方位支持，包括加大财政补贴、建设产业基地、促进文旅融合等措施，进一步推动琉璃产业向品牌化、规模化和国际化方向发展。</w:t>
      </w:r>
    </w:p>
    <w:p w14:paraId="2CC5B345">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虽然当前博山琉璃产业与世界知名琉璃产区相比尚存在一定差距，但凭借深厚的文化底蕴、丰富的人才资源、完善的产业链体系以及政府积极推动琉璃产业发展的全方位、系统化政策措施，博山已具备了成为全球琉璃产业核心区域的坚实发展基础。</w:t>
      </w:r>
    </w:p>
    <w:p w14:paraId="74CCBF48">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hint="eastAsia" w:ascii="仿宋" w:hAnsi="仿宋" w:eastAsia="仿宋" w:cs="仿宋"/>
          <w:sz w:val="28"/>
          <w:szCs w:val="28"/>
          <w:lang w:val="en-US" w:eastAsia="zh-CN"/>
        </w:rPr>
      </w:pPr>
    </w:p>
    <w:p w14:paraId="23E096B4">
      <w:pPr>
        <w:pStyle w:val="5"/>
        <w:pageBreakBefore w:val="0"/>
        <w:widowControl w:val="0"/>
        <w:numPr>
          <w:ilvl w:val="0"/>
          <w:numId w:val="4"/>
        </w:numPr>
        <w:kinsoku/>
        <w:wordWrap/>
        <w:overflowPunct/>
        <w:topLinePunct w:val="0"/>
        <w:autoSpaceDE/>
        <w:autoSpaceDN/>
        <w:bidi w:val="0"/>
        <w:adjustRightInd w:val="0"/>
        <w:snapToGrid w:val="0"/>
        <w:spacing w:before="0" w:beforeLines="0" w:after="0" w:afterLines="0" w:line="576" w:lineRule="exact"/>
        <w:jc w:val="center"/>
        <w:textAlignment w:val="auto"/>
        <w:outlineLvl w:val="0"/>
        <w:rPr>
          <w:rFonts w:hint="eastAsia" w:ascii="方正小标宋简体" w:hAnsi="方正小标宋简体" w:eastAsia="方正小标宋简体" w:cs="方正小标宋简体"/>
          <w:b w:val="0"/>
          <w:kern w:val="2"/>
          <w:sz w:val="36"/>
          <w:szCs w:val="36"/>
          <w:lang w:val="en-US" w:eastAsia="zh-CN" w:bidi="ar-SA"/>
        </w:rPr>
      </w:pPr>
      <w:bookmarkStart w:id="31" w:name="_Toc15167"/>
      <w:r>
        <w:rPr>
          <w:rFonts w:hint="eastAsia" w:ascii="方正小标宋简体" w:hAnsi="方正小标宋简体" w:eastAsia="方正小标宋简体" w:cs="方正小标宋简体"/>
          <w:b w:val="0"/>
          <w:kern w:val="2"/>
          <w:sz w:val="36"/>
          <w:szCs w:val="36"/>
          <w:lang w:val="en-US" w:eastAsia="zh-CN" w:bidi="ar-SA"/>
        </w:rPr>
        <w:t>发展思路、原则、定位和目标</w:t>
      </w:r>
      <w:bookmarkEnd w:id="31"/>
    </w:p>
    <w:p w14:paraId="0E904E48">
      <w:pPr>
        <w:pStyle w:val="2"/>
        <w:pageBreakBefore w:val="0"/>
        <w:widowControl w:val="0"/>
        <w:kinsoku/>
        <w:wordWrap/>
        <w:overflowPunct/>
        <w:topLinePunct w:val="0"/>
        <w:autoSpaceDE/>
        <w:autoSpaceDN/>
        <w:bidi w:val="0"/>
        <w:spacing w:after="0" w:line="576" w:lineRule="exact"/>
        <w:rPr>
          <w:rFonts w:hint="eastAsia"/>
          <w:sz w:val="32"/>
          <w:szCs w:val="40"/>
          <w:lang w:val="en-US" w:eastAsia="zh-CN"/>
        </w:rPr>
      </w:pPr>
    </w:p>
    <w:p w14:paraId="2E304780">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本章明确产业发展的指导思想、原则、定位和目标，系统提出“一区一心两高地”的产业战略方向，构建“世界琉璃之都”的城市愿景，规划产业发展的阶段性目标和核心指标，为规划实施提供方向指引与行动指南。</w:t>
      </w:r>
    </w:p>
    <w:p w14:paraId="33B3050F">
      <w:pPr>
        <w:pStyle w:val="6"/>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firstLine="640" w:firstLineChars="200"/>
        <w:textAlignment w:val="auto"/>
        <w:outlineLvl w:val="1"/>
        <w:rPr>
          <w:rFonts w:hint="eastAsia" w:ascii="黑体" w:hAnsi="黑体" w:eastAsia="黑体" w:cs="黑体"/>
          <w:b w:val="0"/>
          <w:bCs/>
          <w:lang w:val="en-US" w:eastAsia="zh-CN"/>
        </w:rPr>
      </w:pPr>
      <w:bookmarkStart w:id="32" w:name="_Toc5976"/>
      <w:r>
        <w:rPr>
          <w:rFonts w:hint="eastAsia" w:ascii="黑体" w:hAnsi="黑体" w:eastAsia="黑体" w:cs="黑体"/>
          <w:b w:val="0"/>
          <w:bCs/>
          <w:kern w:val="2"/>
          <w:sz w:val="32"/>
          <w:szCs w:val="24"/>
          <w:lang w:val="en-US" w:eastAsia="zh-CN" w:bidi="ar-SA"/>
        </w:rPr>
        <w:t>一、</w:t>
      </w:r>
      <w:r>
        <w:rPr>
          <w:rFonts w:hint="eastAsia" w:ascii="黑体" w:hAnsi="黑体" w:eastAsia="黑体" w:cs="黑体"/>
          <w:b w:val="0"/>
          <w:bCs/>
          <w:lang w:val="en-US" w:eastAsia="zh-CN"/>
        </w:rPr>
        <w:t>指导</w:t>
      </w:r>
      <w:r>
        <w:rPr>
          <w:rFonts w:hint="eastAsia" w:ascii="黑体" w:hAnsi="黑体" w:eastAsia="黑体" w:cs="黑体"/>
          <w:b w:val="0"/>
          <w:kern w:val="2"/>
          <w:sz w:val="32"/>
          <w:szCs w:val="32"/>
          <w:lang w:val="en-US" w:eastAsia="zh-CN" w:bidi="ar-SA"/>
        </w:rPr>
        <w:t>思想</w:t>
      </w:r>
      <w:bookmarkEnd w:id="32"/>
    </w:p>
    <w:p w14:paraId="42D1CC15">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以习近平新时代中国特色社会主义思想为指导，全面贯彻党的二十大精神，深入学习贯彻习近平总书记关于“推动中华优秀传统文化创造性转化、创新性发展”的重要指示精神和关于文化工作的重要论述，锚定“走在前、开新局”，主动服务和融入新发展格局。坚持以扩大内需为战略基点，解放思想、改革创新，以中华优秀传统文化为根基，推动琉璃产业传承发展和转型升级，构建具有核心竞争力的现代化琉璃产业体系。加快建设绿色低碳高质量发展先行区，为推进中国式现代化山东实践提供有力支撑，更好满足人民群众对美好生活的需求，促进共同富裕，不断开创中华优秀传统文化繁荣发展新局面。</w:t>
      </w:r>
    </w:p>
    <w:p w14:paraId="2F0689C5">
      <w:pPr>
        <w:pStyle w:val="6"/>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left="0" w:leftChars="0" w:firstLine="640" w:firstLineChars="200"/>
        <w:textAlignment w:val="auto"/>
        <w:outlineLvl w:val="1"/>
        <w:rPr>
          <w:rFonts w:hint="eastAsia" w:ascii="黑体" w:hAnsi="黑体" w:eastAsia="黑体" w:cs="黑体"/>
          <w:b w:val="0"/>
          <w:bCs/>
          <w:lang w:val="en-US" w:eastAsia="zh-CN"/>
        </w:rPr>
      </w:pPr>
      <w:bookmarkStart w:id="33" w:name="_Toc14480"/>
      <w:r>
        <w:rPr>
          <w:rFonts w:hint="eastAsia" w:ascii="黑体" w:hAnsi="黑体" w:eastAsia="黑体" w:cs="黑体"/>
          <w:b w:val="0"/>
          <w:bCs/>
          <w:kern w:val="2"/>
          <w:sz w:val="32"/>
          <w:szCs w:val="24"/>
          <w:lang w:val="en-US" w:eastAsia="zh-CN" w:bidi="ar-SA"/>
        </w:rPr>
        <w:t>二、</w:t>
      </w:r>
      <w:r>
        <w:rPr>
          <w:rFonts w:hint="eastAsia" w:ascii="黑体" w:hAnsi="黑体" w:eastAsia="黑体" w:cs="黑体"/>
          <w:b w:val="0"/>
          <w:bCs/>
          <w:lang w:val="en-US" w:eastAsia="zh-CN"/>
        </w:rPr>
        <w:t>发展原则</w:t>
      </w:r>
      <w:bookmarkEnd w:id="33"/>
    </w:p>
    <w:p w14:paraId="3076570E">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科学发展，改革创新。</w:t>
      </w:r>
      <w:r>
        <w:rPr>
          <w:rFonts w:hint="eastAsia" w:ascii="仿宋_GB2312" w:hAnsi="仿宋_GB2312" w:eastAsia="仿宋_GB2312" w:cs="仿宋_GB2312"/>
          <w:sz w:val="32"/>
          <w:szCs w:val="32"/>
          <w:lang w:val="en-US" w:eastAsia="zh-CN"/>
        </w:rPr>
        <w:t>紧密围绕博山区建设“世界琉璃之都”的总体目标，以市场需求为导向，以改革为保障、以创新为驱动，打造“博山琉璃5.0产业平台”。加快推进3D设计、3D打印、人工智能（AI）设计、智能化窑炉等先进技术的研发与应用，推动设计与工艺迭代升级。构建“产业链+创新链+资金链”协同发展格局，促进“琉璃+文旅”融合发展，打造具有全球竞争力的琉璃产业创新生态，推动琉璃产业高质量发展，实现产业跨越式提升。</w:t>
      </w:r>
    </w:p>
    <w:p w14:paraId="0E3937AF">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绿色发展，深耕优势。</w:t>
      </w:r>
      <w:r>
        <w:rPr>
          <w:rFonts w:hint="eastAsia" w:ascii="仿宋_GB2312" w:hAnsi="仿宋_GB2312" w:eastAsia="仿宋_GB2312" w:cs="仿宋_GB2312"/>
          <w:sz w:val="32"/>
          <w:szCs w:val="32"/>
          <w:lang w:val="en-US" w:eastAsia="zh-CN"/>
        </w:rPr>
        <w:t>全面贯彻绿色发展理念，实现产业发展与生态环境保护协同共进。通过提升清洁能源利用效率，推广节能降耗技术，倡导绿色消费，减少高能耗、高污染产品的生产，推动产品可回收利用，发展循环经济模式，促进琉璃产业可持续发展。依托博山琉璃产业的特色优势，构建以琉璃工艺品为主、琉璃艺术品为辅的产品体系，打造品类丰富、规模领先的全球琉璃产业集聚区。推动产业与世界领先地区错位发展、优势互补，形成竞争力强、可持续发展的产业格局。</w:t>
      </w:r>
    </w:p>
    <w:p w14:paraId="23905A4C">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营商优化，服务为本。</w:t>
      </w:r>
      <w:r>
        <w:rPr>
          <w:rFonts w:hint="eastAsia" w:ascii="仿宋_GB2312" w:hAnsi="仿宋_GB2312" w:eastAsia="仿宋_GB2312" w:cs="仿宋_GB2312"/>
          <w:sz w:val="32"/>
          <w:szCs w:val="32"/>
          <w:lang w:val="en-US" w:eastAsia="zh-CN"/>
        </w:rPr>
        <w:t>以优化营商环境为核心，全面提升政务服务效能，健全法治保障体系，优化市场竞争机制，强化金融支持能力，完善人才和创新环境，打造宜居宜业的产业生态体系。加大琉璃产业发展要素供给，培育和发展生产性服务业，为琉璃企业提供全生命周期的专业化、体系化服务，促进企业高质量发展。</w:t>
      </w:r>
    </w:p>
    <w:p w14:paraId="62A62D85">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协同发展，开放合作。</w:t>
      </w:r>
      <w:r>
        <w:rPr>
          <w:rFonts w:hint="eastAsia" w:ascii="仿宋_GB2312" w:hAnsi="仿宋_GB2312" w:eastAsia="仿宋_GB2312" w:cs="仿宋_GB2312"/>
          <w:sz w:val="32"/>
          <w:szCs w:val="32"/>
          <w:lang w:val="en-US" w:eastAsia="zh-CN"/>
        </w:rPr>
        <w:t>坚持文化赋能产业、产业促进文化的协同发展原则，推动文化与产业深度融合发展。加强与全球琉璃（艺术玻璃）产业优势地区的交流合作，从全球视角规划和拓展博山琉璃的产业发展空间，支持本土企业做优做强，依托“互联网+”和数字技术，构建线上线下融合的全球销售渠道，打造具有国际竞争力的琉璃品牌。积极吸引国内外优势企业、先进技术和高端人才落地博山，形成产业链条完善、创新能力突出、国际竞争力强的琉璃产业发展格局。</w:t>
      </w:r>
    </w:p>
    <w:p w14:paraId="3871EAF6">
      <w:pPr>
        <w:pageBreakBefore w:val="0"/>
        <w:widowControl w:val="0"/>
        <w:numPr>
          <w:ilvl w:val="0"/>
          <w:numId w:val="5"/>
        </w:numPr>
        <w:tabs>
          <w:tab w:val="left" w:pos="669"/>
        </w:tabs>
        <w:kinsoku/>
        <w:wordWrap/>
        <w:overflowPunct/>
        <w:topLinePunct w:val="0"/>
        <w:autoSpaceDE/>
        <w:autoSpaceDN/>
        <w:bidi w:val="0"/>
        <w:spacing w:line="576" w:lineRule="exact"/>
        <w:ind w:firstLine="640" w:firstLineChars="200"/>
        <w:jc w:val="left"/>
        <w:rPr>
          <w:rFonts w:hint="eastAsia" w:ascii="黑体" w:hAnsi="黑体" w:eastAsia="黑体" w:cs="黑体"/>
          <w:b w:val="0"/>
          <w:bCs/>
          <w:kern w:val="2"/>
          <w:sz w:val="32"/>
          <w:szCs w:val="24"/>
          <w:lang w:val="en-US" w:eastAsia="zh-CN" w:bidi="ar-SA"/>
        </w:rPr>
      </w:pPr>
      <w:bookmarkStart w:id="34" w:name="_Toc29520"/>
      <w:r>
        <w:rPr>
          <w:rFonts w:hint="eastAsia" w:ascii="黑体" w:hAnsi="黑体" w:eastAsia="黑体" w:cs="黑体"/>
          <w:b w:val="0"/>
          <w:bCs/>
          <w:kern w:val="2"/>
          <w:sz w:val="32"/>
          <w:szCs w:val="24"/>
          <w:lang w:val="en-US" w:eastAsia="zh-CN" w:bidi="ar-SA"/>
        </w:rPr>
        <w:t>发展定位</w:t>
      </w:r>
      <w:bookmarkEnd w:id="34"/>
    </w:p>
    <w:p w14:paraId="158D62F5">
      <w:pPr>
        <w:pageBreakBefore w:val="0"/>
        <w:widowControl w:val="0"/>
        <w:numPr>
          <w:ilvl w:val="0"/>
          <w:numId w:val="0"/>
        </w:numPr>
        <w:tabs>
          <w:tab w:val="left" w:pos="669"/>
        </w:tabs>
        <w:kinsoku/>
        <w:wordWrap/>
        <w:overflowPunct/>
        <w:topLinePunct w:val="0"/>
        <w:autoSpaceDE/>
        <w:autoSpaceDN/>
        <w:bidi w:val="0"/>
        <w:spacing w:line="576" w:lineRule="exact"/>
        <w:ind w:firstLine="640" w:firstLineChars="200"/>
        <w:jc w:val="left"/>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kern w:val="2"/>
          <w:sz w:val="32"/>
          <w:szCs w:val="32"/>
          <w:lang w:val="en-US" w:eastAsia="zh-CN" w:bidi="ar-SA"/>
        </w:rPr>
        <w:t>（一）</w:t>
      </w:r>
      <w:r>
        <w:rPr>
          <w:rFonts w:hint="eastAsia" w:ascii="楷体_GB2312" w:hAnsi="楷体_GB2312" w:eastAsia="楷体_GB2312" w:cs="楷体_GB2312"/>
          <w:b w:val="0"/>
          <w:bCs/>
          <w:sz w:val="32"/>
          <w:szCs w:val="32"/>
          <w:lang w:val="en-US" w:eastAsia="zh-CN"/>
        </w:rPr>
        <w:t>产业定位</w:t>
      </w:r>
    </w:p>
    <w:p w14:paraId="537DFD3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来十年，通过推动博山琉璃产业的高质量发展，全面提升琉璃产业的规模化、国际化和创新能力，努力将博山区打造成为“一区一心两高地”，即：全球规模最大的琉璃（艺术玻璃）产业集聚区、国际琉璃文化中心、中国琉璃文创产业高地、中国琉璃文旅融合产业高地。</w:t>
      </w:r>
    </w:p>
    <w:p w14:paraId="5B1003C5">
      <w:pPr>
        <w:pStyle w:val="7"/>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firstLine="640" w:firstLineChars="200"/>
        <w:textAlignment w:val="auto"/>
        <w:outlineLvl w:val="2"/>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kern w:val="2"/>
          <w:sz w:val="32"/>
          <w:szCs w:val="32"/>
          <w:lang w:val="en-US" w:eastAsia="zh-CN" w:bidi="ar-SA"/>
        </w:rPr>
        <w:t>（二）</w:t>
      </w:r>
      <w:r>
        <w:rPr>
          <w:rFonts w:hint="eastAsia" w:ascii="楷体_GB2312" w:hAnsi="楷体_GB2312" w:eastAsia="楷体_GB2312" w:cs="楷体_GB2312"/>
          <w:b w:val="0"/>
          <w:bCs/>
          <w:sz w:val="32"/>
          <w:szCs w:val="32"/>
          <w:lang w:val="en-US" w:eastAsia="zh-CN"/>
        </w:rPr>
        <w:t>城市定位</w:t>
      </w:r>
    </w:p>
    <w:p w14:paraId="408C16EE">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到2035年，全面提升博山在全球琉璃（艺术玻璃）产业领域的综合影响力，打造：“世界琉璃之都”“国家文化出口基地”发展标杆。</w:t>
      </w:r>
    </w:p>
    <w:p w14:paraId="56E59787">
      <w:pPr>
        <w:pStyle w:val="6"/>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firstLine="640" w:firstLineChars="200"/>
        <w:textAlignment w:val="auto"/>
        <w:outlineLvl w:val="1"/>
        <w:rPr>
          <w:rFonts w:hint="default" w:ascii="黑体" w:hAnsi="黑体" w:eastAsia="黑体" w:cs="黑体"/>
          <w:b w:val="0"/>
          <w:bCs/>
          <w:lang w:val="en-US" w:eastAsia="zh-CN"/>
        </w:rPr>
      </w:pPr>
      <w:bookmarkStart w:id="35" w:name="_Toc27401"/>
      <w:r>
        <w:rPr>
          <w:rFonts w:hint="eastAsia" w:ascii="黑体" w:hAnsi="黑体" w:eastAsia="黑体" w:cs="黑体"/>
          <w:b w:val="0"/>
          <w:bCs/>
          <w:kern w:val="2"/>
          <w:sz w:val="32"/>
          <w:szCs w:val="24"/>
          <w:lang w:val="en-US" w:eastAsia="zh-CN" w:bidi="ar-SA"/>
        </w:rPr>
        <w:t>四、</w:t>
      </w:r>
      <w:r>
        <w:rPr>
          <w:rFonts w:hint="eastAsia" w:ascii="黑体" w:hAnsi="黑体" w:eastAsia="黑体" w:cs="黑体"/>
          <w:b w:val="0"/>
          <w:bCs/>
          <w:lang w:val="en-US" w:eastAsia="zh-CN"/>
        </w:rPr>
        <w:t>发展目标</w:t>
      </w:r>
      <w:bookmarkEnd w:id="35"/>
      <w:r>
        <w:rPr>
          <w:rFonts w:hint="eastAsia" w:ascii="黑体" w:hAnsi="黑体" w:eastAsia="黑体" w:cs="黑体"/>
          <w:b w:val="0"/>
          <w:bCs/>
          <w:lang w:val="en-US" w:eastAsia="zh-CN"/>
        </w:rPr>
        <w:t xml:space="preserve"> </w:t>
      </w:r>
    </w:p>
    <w:p w14:paraId="2D9E940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加快推进博山琉璃产业高质量发展，构建具有全球竞争力的琉璃全产业链体系，规划设定近期（2028年）、中期（2030年）和远期（2035年）目标，分阶段推进产业链建设、市场拓展和文化赋能，推动博山琉璃成为国际知名文化产业品牌。</w:t>
      </w:r>
    </w:p>
    <w:p w14:paraId="778B1331">
      <w:pPr>
        <w:pStyle w:val="7"/>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firstLine="640" w:firstLineChars="200"/>
        <w:textAlignment w:val="auto"/>
        <w:outlineLvl w:val="2"/>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kern w:val="2"/>
          <w:sz w:val="32"/>
          <w:szCs w:val="32"/>
          <w:lang w:val="en-US" w:eastAsia="zh-CN" w:bidi="ar-SA"/>
        </w:rPr>
        <w:t>（一）</w:t>
      </w:r>
      <w:r>
        <w:rPr>
          <w:rFonts w:hint="eastAsia" w:ascii="楷体_GB2312" w:hAnsi="楷体_GB2312" w:eastAsia="楷体_GB2312" w:cs="楷体_GB2312"/>
          <w:b w:val="0"/>
          <w:bCs/>
          <w:sz w:val="32"/>
          <w:szCs w:val="32"/>
          <w:lang w:val="en-US" w:eastAsia="zh-CN"/>
        </w:rPr>
        <w:t>三年目标（2028年）</w:t>
      </w:r>
    </w:p>
    <w:p w14:paraId="578071A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到2028年，初步形成琉璃全产业链发展格局，博山琉璃全球营销体系取得实质性进展，“国家文化出口基地”建设基础进一步夯实。</w:t>
      </w:r>
    </w:p>
    <w:p w14:paraId="073EDF0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主要目标：</w:t>
      </w:r>
    </w:p>
    <w:p w14:paraId="6BD341A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产业配套体系初步建成——完成博山琉璃产业园、博山琉璃国际交易中心、博山琉璃产业创新中心等“博山琉璃5.0产业平台”核心项目建设，增强产业集聚效应。</w:t>
      </w:r>
    </w:p>
    <w:p w14:paraId="179769A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产业规模稳步增长——博山琉璃年产值突破5亿元，推动琉璃文化赋能产业发展，促进陶瓷文创、非遗文创等相关产业协同发展。</w:t>
      </w:r>
    </w:p>
    <w:p w14:paraId="3A1D2083">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人才与创新集聚——“琉璃英才”创新创业群体规模突破1000人，形成初步的人才孵化、创新创业生态体系。</w:t>
      </w:r>
    </w:p>
    <w:p w14:paraId="581D65DB">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市场拓展与文旅融合——在5个国内重点城市设立博山琉璃产业创新中心，在全球20＋城市成立博山琉璃会客厅、旗舰店、艺术馆、博山琉璃非遗街区等平台，提升全球市场影响力。</w:t>
      </w:r>
    </w:p>
    <w:p w14:paraId="6479C98F">
      <w:pPr>
        <w:pStyle w:val="7"/>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firstLine="640" w:firstLineChars="200"/>
        <w:textAlignment w:val="auto"/>
        <w:outlineLvl w:val="2"/>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kern w:val="2"/>
          <w:sz w:val="32"/>
          <w:szCs w:val="32"/>
          <w:lang w:val="en-US" w:eastAsia="zh-CN" w:bidi="ar-SA"/>
        </w:rPr>
        <w:t>（二）</w:t>
      </w:r>
      <w:r>
        <w:rPr>
          <w:rFonts w:hint="eastAsia" w:ascii="楷体_GB2312" w:hAnsi="楷体_GB2312" w:eastAsia="楷体_GB2312" w:cs="楷体_GB2312"/>
          <w:b w:val="0"/>
          <w:bCs/>
          <w:sz w:val="32"/>
          <w:szCs w:val="32"/>
          <w:lang w:val="en-US" w:eastAsia="zh-CN"/>
        </w:rPr>
        <w:t>五年目标（2030年）</w:t>
      </w:r>
    </w:p>
    <w:p w14:paraId="71182D6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到2030年，基本形成博山琉璃全产业链发展体系，全球营销网络进一步完善，产业发展规模和质量显著提升。</w:t>
      </w:r>
    </w:p>
    <w:p w14:paraId="5826C7F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主要目标：</w:t>
      </w:r>
    </w:p>
    <w:p w14:paraId="2C40EA63">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产业链配套项目基本完备——进一步优化琉璃全产业链，提升产业园区、交易中心、产业服务平台的运营效能，推动智能制造、绿色制造发展。</w:t>
      </w:r>
    </w:p>
    <w:p w14:paraId="1262EE23">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产业规模持续扩大——博山琉璃年产值突破10亿元，实现品牌化、规模化、国际化协同发展。</w:t>
      </w:r>
    </w:p>
    <w:p w14:paraId="179E0E1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创新创业生态日益成熟——“琉璃英才”创新创业群体常驻规模达5000人以上，形成集研发、设计、生产、销售、文化传播于一体的产业创新集群。</w:t>
      </w:r>
    </w:p>
    <w:p w14:paraId="2CEF892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全球市场布局深化——在全球100＋城市设立博山琉璃会客厅、旗舰店、艺术馆、博山琉璃非遗街区等平台，提升品牌国际竞争力。</w:t>
      </w:r>
    </w:p>
    <w:p w14:paraId="7C6B87C4">
      <w:pPr>
        <w:pStyle w:val="7"/>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firstLine="640" w:firstLineChars="200"/>
        <w:textAlignment w:val="auto"/>
        <w:outlineLvl w:val="2"/>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kern w:val="2"/>
          <w:sz w:val="32"/>
          <w:szCs w:val="32"/>
          <w:lang w:val="en-US" w:eastAsia="zh-CN" w:bidi="ar-SA"/>
        </w:rPr>
        <w:t>（三）</w:t>
      </w:r>
      <w:r>
        <w:rPr>
          <w:rFonts w:hint="eastAsia" w:ascii="楷体_GB2312" w:hAnsi="楷体_GB2312" w:eastAsia="楷体_GB2312" w:cs="楷体_GB2312"/>
          <w:b w:val="0"/>
          <w:bCs/>
          <w:sz w:val="32"/>
          <w:szCs w:val="32"/>
          <w:lang w:val="en-US" w:eastAsia="zh-CN"/>
        </w:rPr>
        <w:t>十年目标（2035年）</w:t>
      </w:r>
    </w:p>
    <w:p w14:paraId="7667CF6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到2035年，建成全球领先的琉璃全产业链体系，博山琉璃产业国际竞争力大幅提升，成为世界级琉璃文化与产业中心。</w:t>
      </w:r>
    </w:p>
    <w:p w14:paraId="2299B53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主要目标：</w:t>
      </w:r>
    </w:p>
    <w:p w14:paraId="5289A2F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产业创新能力迈向国际一流——在技术研发、设计创新、智能制造、文化创意等方面达到国际领先水平，产业综合竞争力进入全球前列。</w:t>
      </w:r>
    </w:p>
    <w:p w14:paraId="5B9A6A9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产业规模跃升——博山琉璃年产值达到50亿元，带动相关文化产业蓬勃发展，构建全球规模最大的琉璃产业集聚区。</w:t>
      </w:r>
    </w:p>
    <w:p w14:paraId="4987DE1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人才集聚效应凸显——“琉璃英才”创新创业群体常驻规模突破20000人，建立完整的产业链人才培育体系，形成全球琉璃产业人才培养中心。</w:t>
      </w:r>
    </w:p>
    <w:p w14:paraId="123CC50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全球营销体系触达全球——在全球300＋城市设立博山琉璃会客厅、旗舰店、艺术馆、博山琉璃非遗街区等平台，推动“博山琉璃”成为世界级文化品牌。</w:t>
      </w:r>
    </w:p>
    <w:p w14:paraId="637C49D7">
      <w:pPr>
        <w:pStyle w:val="6"/>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firstLine="640" w:firstLineChars="200"/>
        <w:textAlignment w:val="auto"/>
        <w:outlineLvl w:val="1"/>
        <w:rPr>
          <w:rFonts w:hint="eastAsia" w:ascii="黑体" w:hAnsi="黑体" w:eastAsia="黑体" w:cs="黑体"/>
          <w:b w:val="0"/>
          <w:bCs/>
          <w:lang w:val="en-US" w:eastAsia="zh-CN"/>
        </w:rPr>
      </w:pPr>
      <w:bookmarkStart w:id="36" w:name="_Toc16990"/>
      <w:r>
        <w:rPr>
          <w:rFonts w:hint="eastAsia" w:ascii="黑体" w:hAnsi="黑体" w:eastAsia="黑体" w:cs="黑体"/>
          <w:b w:val="0"/>
          <w:bCs/>
          <w:lang w:val="en-US" w:eastAsia="zh-CN"/>
        </w:rPr>
        <w:t>五、总体思路</w:t>
      </w:r>
      <w:bookmarkEnd w:id="36"/>
    </w:p>
    <w:p w14:paraId="5EBDA096">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体概述：博山琉璃产业发展遵循“做好产品、卖到全球”的核心理念，以提升产业核心竞争力为目标，依托“博山琉璃5.0产业平台”建设，分阶段培育壮大产业，探索形成中华优秀传统文化“两创”升级产业化的“博山模式”。</w:t>
      </w:r>
    </w:p>
    <w:p w14:paraId="193A200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kern w:val="2"/>
          <w:sz w:val="32"/>
          <w:szCs w:val="32"/>
          <w:lang w:val="en-US" w:eastAsia="zh-CN" w:bidi="ar-SA"/>
        </w:rPr>
        <w:t>（一）</w:t>
      </w:r>
      <w:r>
        <w:rPr>
          <w:rFonts w:hint="eastAsia" w:ascii="楷体_GB2312" w:hAnsi="楷体_GB2312" w:eastAsia="楷体_GB2312" w:cs="楷体_GB2312"/>
          <w:b w:val="0"/>
          <w:bCs/>
          <w:sz w:val="32"/>
          <w:szCs w:val="32"/>
          <w:lang w:val="en-US" w:eastAsia="zh-CN"/>
        </w:rPr>
        <w:t>提升博山琉璃产业发展的核心竞争力</w:t>
      </w:r>
    </w:p>
    <w:p w14:paraId="2AE84182">
      <w:pPr>
        <w:pStyle w:val="8"/>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firstLine="640" w:firstLineChars="200"/>
        <w:textAlignment w:val="auto"/>
        <w:rPr>
          <w:rFonts w:hint="eastAsia" w:ascii="仿宋_GB2312" w:hAnsi="仿宋_GB2312" w:eastAsia="仿宋_GB2312" w:cs="仿宋_GB2312"/>
          <w:b w:val="0"/>
          <w:bCs/>
          <w:sz w:val="32"/>
          <w:szCs w:val="28"/>
          <w:lang w:val="en-US" w:eastAsia="zh-CN"/>
        </w:rPr>
      </w:pPr>
      <w:r>
        <w:rPr>
          <w:rFonts w:hint="eastAsia" w:ascii="仿宋_GB2312" w:hAnsi="仿宋_GB2312" w:eastAsia="仿宋_GB2312" w:cs="仿宋_GB2312"/>
          <w:b w:val="0"/>
          <w:bCs/>
          <w:kern w:val="2"/>
          <w:sz w:val="32"/>
          <w:szCs w:val="28"/>
          <w:lang w:val="en-US" w:eastAsia="zh-CN" w:bidi="ar-SA"/>
        </w:rPr>
        <w:t>1.</w:t>
      </w:r>
      <w:r>
        <w:rPr>
          <w:rFonts w:hint="eastAsia" w:ascii="仿宋_GB2312" w:hAnsi="仿宋_GB2312" w:eastAsia="仿宋_GB2312" w:cs="仿宋_GB2312"/>
          <w:b w:val="0"/>
          <w:bCs/>
          <w:sz w:val="32"/>
          <w:szCs w:val="28"/>
          <w:lang w:val="en-US" w:eastAsia="zh-CN"/>
        </w:rPr>
        <w:t>琉璃生产制造中心在博山</w:t>
      </w:r>
    </w:p>
    <w:p w14:paraId="2107E85B">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22"/>
          <w:szCs w:val="28"/>
          <w:lang w:val="en-US" w:eastAsia="zh-CN"/>
        </w:rPr>
      </w:pPr>
      <w:r>
        <w:rPr>
          <w:rFonts w:hint="eastAsia" w:ascii="仿宋_GB2312" w:hAnsi="仿宋_GB2312" w:eastAsia="仿宋_GB2312" w:cs="仿宋_GB2312"/>
          <w:sz w:val="32"/>
          <w:szCs w:val="32"/>
          <w:lang w:val="en-US" w:eastAsia="zh-CN"/>
        </w:rPr>
        <w:t>坚持以琉璃工艺品为主、艺术品为辅的发展思路，通过规模化生产奠定产业化基础，同时推出具有高端价值的艺术品，进一步确立“博山琉璃”品牌在全球市场的影响力。与此同时，引进并培育琉璃生产设备、原材料、设计等配套企业，完善琉璃生产制造产业生态系统，筑牢产业发展根基。</w:t>
      </w:r>
    </w:p>
    <w:p w14:paraId="77D43376">
      <w:pPr>
        <w:pStyle w:val="8"/>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firstLine="640" w:firstLineChars="200"/>
        <w:textAlignment w:val="auto"/>
        <w:rPr>
          <w:rFonts w:hint="eastAsia" w:ascii="仿宋_GB2312" w:hAnsi="仿宋_GB2312" w:eastAsia="仿宋_GB2312" w:cs="仿宋_GB2312"/>
          <w:b w:val="0"/>
          <w:bCs/>
          <w:sz w:val="32"/>
          <w:szCs w:val="28"/>
          <w:lang w:val="en-US" w:eastAsia="zh-CN"/>
        </w:rPr>
      </w:pPr>
      <w:r>
        <w:rPr>
          <w:rFonts w:hint="eastAsia" w:ascii="仿宋_GB2312" w:hAnsi="仿宋_GB2312" w:eastAsia="仿宋_GB2312" w:cs="仿宋_GB2312"/>
          <w:b w:val="0"/>
          <w:bCs/>
          <w:kern w:val="2"/>
          <w:sz w:val="32"/>
          <w:szCs w:val="28"/>
          <w:lang w:val="en-US" w:eastAsia="zh-CN" w:bidi="ar-SA"/>
        </w:rPr>
        <w:t>2.</w:t>
      </w:r>
      <w:r>
        <w:rPr>
          <w:rFonts w:hint="eastAsia" w:ascii="仿宋_GB2312" w:hAnsi="仿宋_GB2312" w:eastAsia="仿宋_GB2312" w:cs="仿宋_GB2312"/>
          <w:b w:val="0"/>
          <w:bCs/>
          <w:sz w:val="32"/>
          <w:szCs w:val="28"/>
          <w:lang w:val="en-US" w:eastAsia="zh-CN"/>
        </w:rPr>
        <w:t>琉璃人才培养中心在博山</w:t>
      </w:r>
    </w:p>
    <w:p w14:paraId="72396D5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琉璃行业人才评价标准、职业技能认证体系，支持职业学校、高校开设相关课程，培养专业人才。加强社会化培训体系建设，促进行业交流和人才流动，构建专业化人才培养中心，为产业可持续发展提供支撑。</w:t>
      </w:r>
    </w:p>
    <w:p w14:paraId="41EACC76">
      <w:pPr>
        <w:pStyle w:val="8"/>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left="0" w:leftChars="0" w:firstLine="640" w:firstLineChars="200"/>
        <w:textAlignment w:val="auto"/>
        <w:rPr>
          <w:rFonts w:hint="eastAsia" w:ascii="仿宋_GB2312" w:hAnsi="仿宋_GB2312" w:eastAsia="仿宋_GB2312" w:cs="仿宋_GB2312"/>
          <w:b w:val="0"/>
          <w:bCs/>
          <w:sz w:val="32"/>
          <w:szCs w:val="28"/>
          <w:lang w:val="en-US" w:eastAsia="zh-CN"/>
        </w:rPr>
      </w:pPr>
      <w:r>
        <w:rPr>
          <w:rFonts w:hint="eastAsia" w:ascii="仿宋_GB2312" w:hAnsi="仿宋_GB2312" w:eastAsia="仿宋_GB2312" w:cs="仿宋_GB2312"/>
          <w:b w:val="0"/>
          <w:bCs/>
          <w:kern w:val="2"/>
          <w:sz w:val="32"/>
          <w:szCs w:val="28"/>
          <w:lang w:val="en-US" w:eastAsia="zh-CN" w:bidi="ar-SA"/>
        </w:rPr>
        <w:t>3.</w:t>
      </w:r>
      <w:r>
        <w:rPr>
          <w:rFonts w:hint="eastAsia" w:ascii="仿宋_GB2312" w:hAnsi="仿宋_GB2312" w:eastAsia="仿宋_GB2312" w:cs="仿宋_GB2312"/>
          <w:b w:val="0"/>
          <w:bCs/>
          <w:sz w:val="32"/>
          <w:szCs w:val="28"/>
          <w:lang w:val="en-US" w:eastAsia="zh-CN"/>
        </w:rPr>
        <w:t>琉璃文化交流中心在博山</w:t>
      </w:r>
    </w:p>
    <w:p w14:paraId="4EB12D3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以博山为核心，建设世界级的琉璃（艺术玻璃）文化交流平台，推动琉璃技艺的国际化传播。依托展会、博览会、艺术节等活动，加强国内外行业互动，提升博山琉璃的国际话语权，助推产业国际化发展。</w:t>
      </w:r>
    </w:p>
    <w:p w14:paraId="0633933C">
      <w:pPr>
        <w:pStyle w:val="7"/>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firstLine="640" w:firstLineChars="200"/>
        <w:textAlignment w:val="auto"/>
        <w:outlineLvl w:val="2"/>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kern w:val="2"/>
          <w:sz w:val="32"/>
          <w:szCs w:val="32"/>
          <w:lang w:val="en-US" w:eastAsia="zh-CN" w:bidi="ar-SA"/>
        </w:rPr>
        <w:t>（二）</w:t>
      </w:r>
      <w:r>
        <w:rPr>
          <w:rFonts w:hint="eastAsia" w:ascii="楷体_GB2312" w:hAnsi="楷体_GB2312" w:eastAsia="楷体_GB2312" w:cs="楷体_GB2312"/>
          <w:b w:val="0"/>
          <w:bCs/>
          <w:sz w:val="32"/>
          <w:szCs w:val="32"/>
          <w:lang w:val="en-US" w:eastAsia="zh-CN"/>
        </w:rPr>
        <w:t>建设博山琉璃5.0产业平台</w:t>
      </w:r>
    </w:p>
    <w:p w14:paraId="016A03C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面构建博山琉璃5.0产业平台，以软硬件双轮驱动助推产业高质量发展，打造集生产制造、文化传承、创新孵化、市场交易于一体的现代化琉璃产业生态体系。在硬件设施建设方面，重点推进五大核心载体，包括：博山琉璃产业园、博山琉璃国际交易中心、博山琉璃艺术馆、人才公寓，直播与跨境电商基地。在产业服务体系建设方面，打造五大赋能平台，包括：博山琉璃产业创新中心、人才服务中心、知识产权服务中心、文化交流中心、琉璃文创孵化器。</w:t>
      </w:r>
    </w:p>
    <w:p w14:paraId="28A7F8D4">
      <w:pPr>
        <w:pageBreakBefore w:val="0"/>
        <w:widowControl w:val="0"/>
        <w:kinsoku/>
        <w:wordWrap/>
        <w:overflowPunct/>
        <w:topLinePunct w:val="0"/>
        <w:autoSpaceDE/>
        <w:autoSpaceDN/>
        <w:bidi w:val="0"/>
        <w:adjustRightInd w:val="0"/>
        <w:snapToGrid w:val="0"/>
        <w:spacing w:line="576"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1C471B54">
      <w:pPr>
        <w:pStyle w:val="5"/>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jc w:val="center"/>
        <w:textAlignment w:val="auto"/>
        <w:outlineLvl w:val="0"/>
        <w:rPr>
          <w:rFonts w:hint="eastAsia" w:ascii="方正小标宋简体" w:hAnsi="方正小标宋简体" w:eastAsia="方正小标宋简体" w:cs="方正小标宋简体"/>
          <w:b w:val="0"/>
          <w:kern w:val="2"/>
          <w:sz w:val="36"/>
          <w:szCs w:val="36"/>
          <w:lang w:val="en-US" w:eastAsia="zh-CN" w:bidi="ar-SA"/>
        </w:rPr>
      </w:pPr>
      <w:bookmarkStart w:id="37" w:name="_Toc7569"/>
      <w:r>
        <w:rPr>
          <w:rFonts w:hint="eastAsia" w:ascii="方正小标宋简体" w:hAnsi="方正小标宋简体" w:eastAsia="方正小标宋简体" w:cs="方正小标宋简体"/>
          <w:b w:val="0"/>
          <w:kern w:val="2"/>
          <w:sz w:val="36"/>
          <w:szCs w:val="36"/>
          <w:lang w:val="en-US" w:eastAsia="zh-CN" w:bidi="ar-SA"/>
        </w:rPr>
        <w:t>第五章 产业发展主要任务和重大项目</w:t>
      </w:r>
      <w:bookmarkEnd w:id="37"/>
    </w:p>
    <w:p w14:paraId="37C7EA4B">
      <w:pPr>
        <w:pStyle w:val="2"/>
        <w:pageBreakBefore w:val="0"/>
        <w:widowControl w:val="0"/>
        <w:kinsoku/>
        <w:wordWrap/>
        <w:overflowPunct/>
        <w:topLinePunct w:val="0"/>
        <w:autoSpaceDE/>
        <w:autoSpaceDN/>
        <w:bidi w:val="0"/>
        <w:adjustRightInd w:val="0"/>
        <w:snapToGrid w:val="0"/>
        <w:spacing w:after="0" w:line="576" w:lineRule="exact"/>
        <w:rPr>
          <w:rFonts w:hint="eastAsia"/>
          <w:sz w:val="32"/>
          <w:szCs w:val="40"/>
          <w:lang w:val="en-US" w:eastAsia="zh-CN"/>
        </w:rPr>
      </w:pPr>
    </w:p>
    <w:p w14:paraId="574BED1B">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本章围绕“博山模式”产业体系构建，明确六项核心任务，系统谋划二十项重大项目，聚焦资源整合、要素集聚和生态构建，打造现代化、集群化、国际化的琉璃产业新高地。</w:t>
      </w:r>
    </w:p>
    <w:p w14:paraId="63C35047">
      <w:pPr>
        <w:pStyle w:val="6"/>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firstLine="640" w:firstLineChars="200"/>
        <w:textAlignment w:val="auto"/>
        <w:outlineLvl w:val="1"/>
        <w:rPr>
          <w:rFonts w:hint="eastAsia" w:ascii="黑体" w:hAnsi="黑体" w:eastAsia="黑体" w:cs="黑体"/>
          <w:b w:val="0"/>
          <w:bCs/>
          <w:lang w:val="en-US" w:eastAsia="zh-CN"/>
        </w:rPr>
      </w:pPr>
      <w:bookmarkStart w:id="38" w:name="_Toc21074"/>
      <w:r>
        <w:rPr>
          <w:rFonts w:hint="eastAsia" w:ascii="黑体" w:hAnsi="黑体" w:eastAsia="黑体" w:cs="黑体"/>
          <w:b w:val="0"/>
          <w:bCs/>
          <w:kern w:val="2"/>
          <w:sz w:val="32"/>
          <w:szCs w:val="24"/>
          <w:lang w:val="en-US" w:eastAsia="zh-CN" w:bidi="ar-SA"/>
        </w:rPr>
        <w:t>一、</w:t>
      </w:r>
      <w:r>
        <w:rPr>
          <w:rFonts w:hint="eastAsia" w:ascii="黑体" w:hAnsi="黑体" w:eastAsia="黑体" w:cs="黑体"/>
          <w:b w:val="0"/>
          <w:bCs/>
          <w:lang w:val="en-US" w:eastAsia="zh-CN"/>
        </w:rPr>
        <w:t>主要任务</w:t>
      </w:r>
      <w:bookmarkEnd w:id="38"/>
    </w:p>
    <w:p w14:paraId="15B32C10">
      <w:pPr>
        <w:pStyle w:val="7"/>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firstLine="640" w:firstLineChars="200"/>
        <w:textAlignment w:val="auto"/>
        <w:outlineLvl w:val="2"/>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kern w:val="2"/>
          <w:sz w:val="32"/>
          <w:szCs w:val="32"/>
          <w:lang w:val="en-US" w:eastAsia="zh-CN" w:bidi="ar-SA"/>
        </w:rPr>
        <w:t>（一）</w:t>
      </w:r>
      <w:r>
        <w:rPr>
          <w:rFonts w:hint="eastAsia" w:ascii="楷体_GB2312" w:hAnsi="楷体_GB2312" w:eastAsia="楷体_GB2312" w:cs="楷体_GB2312"/>
          <w:b w:val="0"/>
          <w:bCs/>
          <w:sz w:val="32"/>
          <w:szCs w:val="32"/>
          <w:lang w:val="en-US" w:eastAsia="zh-CN"/>
        </w:rPr>
        <w:t>创新驱动工程</w:t>
      </w:r>
    </w:p>
    <w:p w14:paraId="73C72B37">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强化创新驱动，引领产业升级。</w:t>
      </w:r>
      <w:r>
        <w:rPr>
          <w:rFonts w:hint="eastAsia" w:ascii="仿宋_GB2312" w:hAnsi="仿宋_GB2312" w:eastAsia="仿宋_GB2312" w:cs="仿宋_GB2312"/>
          <w:sz w:val="32"/>
          <w:szCs w:val="32"/>
          <w:lang w:val="en-US" w:eastAsia="zh-CN"/>
        </w:rPr>
        <w:t>坚持创新在产业转型升级中的核心地位，提升政府服务职能部门的专业能力，加强业务培训，统一思想认识，增强改革创新对传统文化产业发展的引领作用。通过优化产业发展模式、创新产业服务方式，提升产业发展动力。鼓励企业在设计、工艺、管理、营销及商业模式等方面加大创新力度，推动降本增效、提质升级，激发产业发展内生动力。加快3D设计、3D打印、人工智能（AI）设计、智能化窑炉等先进技术的研发与应用，促进产业向数字化、智能化、高端化发展。推动年产值千万元以上企业建立研发设计机构，鼓励企业参与国家、省、市各级创新计划，支持龙头企业创建国家级、省市级企业技术中心，推动企业兼并重组海内外研发设计机构，并与国内外知</w:t>
      </w:r>
    </w:p>
    <w:p w14:paraId="5A442DDA">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名高校、职业院校、科研院所及上下游企业联合组建产业创新联盟，集中攻关关键核心技术。引导中小企业聚焦专业工艺细分领域开展研发创新，提升市场竞争力。</w:t>
      </w:r>
    </w:p>
    <w:p w14:paraId="120D5FB8">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构建高水平研发设计创新平台。</w:t>
      </w:r>
      <w:r>
        <w:rPr>
          <w:rFonts w:hint="eastAsia" w:ascii="仿宋_GB2312" w:hAnsi="仿宋_GB2312" w:eastAsia="仿宋_GB2312" w:cs="仿宋_GB2312"/>
          <w:sz w:val="32"/>
          <w:szCs w:val="32"/>
          <w:lang w:val="en-US" w:eastAsia="zh-CN"/>
        </w:rPr>
        <w:t>加大高水平研发设计创新载体的引进和培育力度，支持高校、职业院校、科研院所、跨国设计公司、文旅企业及行业龙头品牌独立建设或与本地区合作共建高水平创新载体。依托骨干企业和特色优势企业，在原材料研发、工艺研发、设计创新等领域，推进博士后工作站、院士工作站建设，提升行业整体研发水平。加快筹建博山玻璃先进技术研究院、博山琉璃（艺术玻璃）国际设计中心，鼓励社会资本兴办新型研发设计机构，并对符合条件的机构按照规定给予财政补助、税收激励等政策支持，推动创新资源集聚，促进产业技术升级。</w:t>
      </w:r>
    </w:p>
    <w:p w14:paraId="507CAC4B">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促进产业链协同创新。</w:t>
      </w:r>
      <w:r>
        <w:rPr>
          <w:rFonts w:hint="eastAsia" w:ascii="仿宋_GB2312" w:hAnsi="仿宋_GB2312" w:eastAsia="仿宋_GB2312" w:cs="仿宋_GB2312"/>
          <w:sz w:val="32"/>
          <w:szCs w:val="32"/>
          <w:lang w:val="en-US" w:eastAsia="zh-CN"/>
        </w:rPr>
        <w:t>鼓励龙头企业牵头，联合产业链上下游企业，以研发设计项目为纽带，共同开展共性技术及设计创新，形成“工艺技术+设计方案+工匠人才”协同发展的创新模式。加强设计创新、市场营销、窑炉成型及冷加工等工艺环节的融合发展，建立产业链与创新链协同联动机制。鼓励创新机构、企业及产业联盟开展深度合作，构建特色鲜明、层次分明、协作紧密、服务高效的创新生态体系。建立符合不同发展阶段和需求的产业协同创新培育机制，完善技术要素参与、创新成果共享、知识产权转化、收益分配等政策体系，促进产业链整体升级。</w:t>
      </w:r>
    </w:p>
    <w:p w14:paraId="5AC1D2D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kern w:val="2"/>
          <w:sz w:val="32"/>
          <w:szCs w:val="32"/>
          <w:lang w:val="en-US" w:eastAsia="zh-CN" w:bidi="ar-SA"/>
        </w:rPr>
        <w:t>（二）</w:t>
      </w:r>
      <w:r>
        <w:rPr>
          <w:rFonts w:hint="eastAsia" w:ascii="楷体_GB2312" w:hAnsi="楷体_GB2312" w:eastAsia="楷体_GB2312" w:cs="楷体_GB2312"/>
          <w:b w:val="0"/>
          <w:bCs/>
          <w:sz w:val="32"/>
          <w:szCs w:val="32"/>
          <w:lang w:val="en-US" w:eastAsia="zh-CN"/>
        </w:rPr>
        <w:t>主体培育工程</w:t>
      </w:r>
    </w:p>
    <w:p w14:paraId="2A1A5FA2">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实施龙头企业领航计划，壮大行业标杆力量。</w:t>
      </w:r>
      <w:r>
        <w:rPr>
          <w:rFonts w:hint="eastAsia" w:ascii="仿宋_GB2312" w:hAnsi="仿宋_GB2312" w:eastAsia="仿宋_GB2312" w:cs="仿宋_GB2312"/>
          <w:sz w:val="32"/>
          <w:szCs w:val="32"/>
          <w:lang w:val="en-US" w:eastAsia="zh-CN"/>
        </w:rPr>
        <w:t>按照工艺类别，遴选具有规模优势、创新能力突出、商业模式领先、发展意愿强烈的龙头企业，实施“一企一策”精准扶持，推动形成一批行业引领性的亿元级企业。鼓励龙头企业强强联合，整合上下游创新资源，通过并购重组优化设计环节和销售体系，提升产业集中度，延伸产业链条，增强整体竞争力。</w:t>
      </w:r>
    </w:p>
    <w:p w14:paraId="59170164">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发挥国有企业引领作用，助推产业升级。</w:t>
      </w:r>
      <w:r>
        <w:rPr>
          <w:rFonts w:hint="eastAsia" w:ascii="仿宋_GB2312" w:hAnsi="仿宋_GB2312" w:eastAsia="仿宋_GB2312" w:cs="仿宋_GB2312"/>
          <w:sz w:val="32"/>
          <w:szCs w:val="32"/>
          <w:lang w:val="en-US" w:eastAsia="zh-CN"/>
        </w:rPr>
        <w:t>鼓励国有企业加大对琉璃产业的投资力度，充分发挥其在资本、技术、管理和品牌方面的优势，带动全产业链优化升级。支持国有企业通过股权投资、产业并购、技术合作等方式，加快琉璃产业向高端化、智能化、国际化迈进。推动国有企业在标准制定、品牌塑造、市场拓展等方面发挥示范引领作用，促进行业规范化、规模化、集群化发展，全面提升博山琉璃产业的核心竞争力和全球影响力。</w:t>
      </w:r>
    </w:p>
    <w:p w14:paraId="2B6DA4BC">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实施企业上市培育计划，拓宽融资渠道。</w:t>
      </w:r>
      <w:r>
        <w:rPr>
          <w:rFonts w:hint="eastAsia" w:ascii="仿宋_GB2312" w:hAnsi="仿宋_GB2312" w:eastAsia="仿宋_GB2312" w:cs="仿宋_GB2312"/>
          <w:sz w:val="32"/>
          <w:szCs w:val="32"/>
          <w:lang w:val="en-US" w:eastAsia="zh-CN"/>
        </w:rPr>
        <w:t xml:space="preserve">引导企业充分利用资本市场，规范经营、做大做强，建立拟上市企业培育库，提供针对性辅导和支持。坚持境内外上市并重、直接上市与间接上市并行，实施多层次、多渠道上市推进机制。支持企业赴港上市，组织“博港同行”系列论坛、对接会等活动，为符合条件的企业登陆港交所提供政策指导和资源对接。建立上市企业“绿色通道”和“一事一议”服务机制，及时解决企业在股权改制、资本运营等方面遇到的关键问题，提高上市成功率，助力企业高质量发展。       </w:t>
      </w:r>
    </w:p>
    <w:p w14:paraId="004C0F4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kern w:val="2"/>
          <w:sz w:val="32"/>
          <w:szCs w:val="32"/>
          <w:lang w:val="en-US" w:eastAsia="zh-CN" w:bidi="ar-SA"/>
        </w:rPr>
        <w:t>（三）</w:t>
      </w:r>
      <w:r>
        <w:rPr>
          <w:rFonts w:hint="eastAsia" w:ascii="楷体_GB2312" w:hAnsi="楷体_GB2312" w:eastAsia="楷体_GB2312" w:cs="楷体_GB2312"/>
          <w:b w:val="0"/>
          <w:bCs/>
          <w:sz w:val="32"/>
          <w:szCs w:val="32"/>
          <w:lang w:val="en-US" w:eastAsia="zh-CN"/>
        </w:rPr>
        <w:t>全球营销体系工程</w:t>
      </w:r>
    </w:p>
    <w:p w14:paraId="34FB8463">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健全行业标准体系，强化品牌保护。</w:t>
      </w:r>
      <w:r>
        <w:rPr>
          <w:rFonts w:hint="eastAsia" w:ascii="仿宋_GB2312" w:hAnsi="仿宋_GB2312" w:eastAsia="仿宋_GB2312" w:cs="仿宋_GB2312"/>
          <w:sz w:val="32"/>
          <w:szCs w:val="32"/>
          <w:lang w:val="en-US" w:eastAsia="zh-CN"/>
        </w:rPr>
        <w:t>健全博山琉璃行业标准体系，完善原材料选用、生产工艺、质量检测、包装标识和市场准入等规范，推动博山琉璃行业标准与国际认证体系对接，鼓励企业取得国际质量认证，提升品牌的国际认可度和市场竞争力。依托行业协会、科研院所和政府监管部门，建立标准动态评估和优化机制，持续完善标准体系，推动博山琉璃产业向专业化、品牌化、国际化方向发展。严格规范“博山琉璃”地理标志认证与使用，制定科学合理的准入条件和管理办法，健全品牌授权和监督管理机制，防止滥用、错用或非法使用品牌标识，严厉打击侵犯地理标志权的不法行为。建立“一品一码”产品溯源和防伪体系，运用区块链等技术强化全流程监管，提升品牌公信力。</w:t>
      </w:r>
    </w:p>
    <w:p w14:paraId="6F71E573">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构建全球品牌推广体系，提升品牌影响力。</w:t>
      </w:r>
      <w:r>
        <w:rPr>
          <w:rFonts w:hint="eastAsia" w:ascii="仿宋_GB2312" w:hAnsi="仿宋_GB2312" w:eastAsia="仿宋_GB2312" w:cs="仿宋_GB2312"/>
          <w:sz w:val="32"/>
          <w:szCs w:val="32"/>
          <w:lang w:val="en-US" w:eastAsia="zh-CN"/>
        </w:rPr>
        <w:t>依托国际展会、文化论坛、艺术展等活动，加强“博山琉璃”品牌国际化推广力度，推动品牌在“一带一路”沿线国家、欧美主流市场及新兴市场的深度布局。推动企业借助影视植入、社媒营销、NFT数字藏品、品牌联动直播等创新方式，扩大品牌认知度。鼓励企业通过知名艺术馆、博物馆、奢侈品展厅、时尚设计周等高端平台展示“博山琉璃”作品，提升品牌的全球影响力。优化品牌运营机制，以市场化方式为主、政府投资引导为辅，推动品牌可持续发展。</w:t>
      </w:r>
    </w:p>
    <w:p w14:paraId="762B4460">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构建多元化销售渠道，拓展全球市场。</w:t>
      </w:r>
      <w:r>
        <w:rPr>
          <w:rFonts w:hint="eastAsia" w:ascii="仿宋_GB2312" w:hAnsi="仿宋_GB2312" w:eastAsia="仿宋_GB2312" w:cs="仿宋_GB2312"/>
          <w:sz w:val="32"/>
          <w:szCs w:val="32"/>
          <w:lang w:val="en-US" w:eastAsia="zh-CN"/>
        </w:rPr>
        <w:t>积极引导企业拓展“买全球、卖全球”业务，依托新兴技术构建线上线下一体化交易网络，提升市场覆盖率和全球交易便捷度。重点打造博山琉璃供应链平台、直播电商中心、跨境电商中心，推动企业利用社交电商、短视频直播、跨境电商等新兴渠道，实现精准营销和高效交易。鼓励企业在国内外重点城市设立品牌体验中心或营销展示窗口，支持企业建设博山琉璃会客厅、旗舰店、非遗街区、艺术馆及海外仓等商业载体，形成展示、交易、文化推广于一体的综合性体验平台，提升“博山琉璃”在全球市场的可见度和影响力，推动博山琉璃产业在全球拓展市场。</w:t>
      </w:r>
    </w:p>
    <w:p w14:paraId="1BC2F69B">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深化品牌联名合作，提升市场渗透力。</w:t>
      </w:r>
      <w:r>
        <w:rPr>
          <w:rFonts w:hint="eastAsia" w:ascii="仿宋_GB2312" w:hAnsi="仿宋_GB2312" w:eastAsia="仿宋_GB2312" w:cs="仿宋_GB2312"/>
          <w:sz w:val="32"/>
          <w:szCs w:val="32"/>
          <w:lang w:val="en-US" w:eastAsia="zh-CN"/>
        </w:rPr>
        <w:t>鼓励博山琉璃企业与国际知名品牌、奢侈品企业、文化创意机构、文旅景区、影视游戏产业等跨界合作，探索品牌授权、联名设计、IP合作等创新模式，推动博山琉璃工艺与潮流艺术、数字文化、沉浸式体验等新消费模式融合发展，增强“博山琉璃”在全球高端消费市场的渗透力。对成功实施高影响力联名合作的企业给予专项资金支持、政策奖励及市场推广资源倾斜，助推品牌价值提升。强化国内区域协同联动，推动产业深度融合。</w:t>
      </w:r>
    </w:p>
    <w:p w14:paraId="705A1ABB">
      <w:pPr>
        <w:pStyle w:val="7"/>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firstLine="640" w:firstLineChars="200"/>
        <w:textAlignment w:val="auto"/>
        <w:outlineLvl w:val="2"/>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kern w:val="2"/>
          <w:sz w:val="32"/>
          <w:szCs w:val="32"/>
          <w:lang w:val="en-US" w:eastAsia="zh-CN" w:bidi="ar-SA"/>
        </w:rPr>
        <w:t>（四）</w:t>
      </w:r>
      <w:r>
        <w:rPr>
          <w:rFonts w:hint="eastAsia" w:ascii="楷体_GB2312" w:hAnsi="楷体_GB2312" w:eastAsia="楷体_GB2312" w:cs="楷体_GB2312"/>
          <w:b w:val="0"/>
          <w:bCs/>
          <w:sz w:val="32"/>
          <w:szCs w:val="32"/>
          <w:lang w:val="en-US" w:eastAsia="zh-CN"/>
        </w:rPr>
        <w:t>文化和产业协同发展工程</w:t>
      </w:r>
    </w:p>
    <w:p w14:paraId="4581A285">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坚持文化和产业协同发展的理念。</w:t>
      </w:r>
      <w:r>
        <w:rPr>
          <w:rFonts w:hint="eastAsia" w:ascii="仿宋_GB2312" w:hAnsi="仿宋_GB2312" w:eastAsia="仿宋_GB2312" w:cs="仿宋_GB2312"/>
          <w:sz w:val="32"/>
          <w:szCs w:val="32"/>
          <w:lang w:val="en-US" w:eastAsia="zh-CN"/>
        </w:rPr>
        <w:t>以文化塑造产业品牌，以产业推动文化繁荣，构建文化引领、产业承载、创新驱动的高质量发展体系。加快推进省级非遗保护试验区建设，积极申报创建国家级琉璃文化保护区。构建系统化、规范化的琉璃文化保护与发展机制，推动博山琉璃文化体系建设，提升琉璃文化的精神内涵，弘扬博山琉璃文化精神。</w:t>
      </w:r>
    </w:p>
    <w:p w14:paraId="7AE24BCB">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强化文化引领作用，提升产业生命力。</w:t>
      </w:r>
      <w:r>
        <w:rPr>
          <w:rFonts w:hint="eastAsia" w:ascii="仿宋_GB2312" w:hAnsi="仿宋_GB2312" w:eastAsia="仿宋_GB2312" w:cs="仿宋_GB2312"/>
          <w:sz w:val="32"/>
          <w:szCs w:val="32"/>
          <w:lang w:val="en-US" w:eastAsia="zh-CN"/>
        </w:rPr>
        <w:t>深挖博山琉璃的历史底蕴与文化价值，强化品牌文化基因。依托非遗文化、传统技艺和工匠精神，加强文化IP打造，赋能琉璃产业的市场竞争力。筹划建设“中国（博山）琉璃艺术馆”“博山琉璃（艺术玻璃）文化国际交流中心”等项目，加强国际交流与合作，促进全球产业资源要素关注博山、汇聚博山。</w:t>
      </w:r>
    </w:p>
    <w:p w14:paraId="28451734">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强化非遗保护与传承，激发传统工艺新活力。</w:t>
      </w:r>
      <w:r>
        <w:rPr>
          <w:rFonts w:hint="eastAsia" w:ascii="仿宋_GB2312" w:hAnsi="仿宋_GB2312" w:eastAsia="仿宋_GB2312" w:cs="仿宋_GB2312"/>
          <w:sz w:val="32"/>
          <w:szCs w:val="32"/>
          <w:lang w:val="en-US" w:eastAsia="zh-CN"/>
        </w:rPr>
        <w:t>深入实施琉璃非遗技艺保护与传承计划，加大对非遗项目及传承人的认定和扶持力度，优化非遗人才梯队建设，鼓励年轻人学习并创新非遗技艺。鼓励企业与高等院校、职业学校、研究机构合作，探索传统工艺与现代设计、数字技术的融合发展，提升琉璃工艺的时代适应性。依托旅游景区、美丽乡村等文化场景，鼓励企业建设非遗体验基地，推动琉璃文化融入大众生活，增强社会参与度。支持企业设立艺术馆、博物馆，扩大琉璃艺术展示与传播渠道，鼓励生产企业创建工业旅游示范基地，促进文旅产业深度融合。对新建的艺术馆、博物馆及入选的工业旅游示范基地，给予专项资金扶持，引导社会资本参与非遗保护，实现文化传承与市场需求的有效对接。</w:t>
      </w:r>
    </w:p>
    <w:p w14:paraId="6D1253D7">
      <w:pPr>
        <w:pStyle w:val="7"/>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firstLine="640" w:firstLineChars="200"/>
        <w:textAlignment w:val="auto"/>
        <w:outlineLvl w:val="2"/>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kern w:val="2"/>
          <w:sz w:val="32"/>
          <w:szCs w:val="32"/>
          <w:lang w:val="en-US" w:eastAsia="zh-CN" w:bidi="ar-SA"/>
        </w:rPr>
        <w:t>（五）</w:t>
      </w:r>
      <w:r>
        <w:rPr>
          <w:rFonts w:hint="eastAsia" w:ascii="楷体_GB2312" w:hAnsi="楷体_GB2312" w:eastAsia="楷体_GB2312" w:cs="楷体_GB2312"/>
          <w:b w:val="0"/>
          <w:bCs/>
          <w:sz w:val="32"/>
          <w:szCs w:val="32"/>
          <w:lang w:val="en-US" w:eastAsia="zh-CN"/>
        </w:rPr>
        <w:t>人才培育工程</w:t>
      </w:r>
    </w:p>
    <w:p w14:paraId="276CCC6A">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构建全产业链琉璃人才培育体系，强化人才支撑作用。</w:t>
      </w:r>
      <w:r>
        <w:rPr>
          <w:rFonts w:hint="eastAsia" w:ascii="仿宋_GB2312" w:hAnsi="仿宋_GB2312" w:eastAsia="仿宋_GB2312" w:cs="仿宋_GB2312"/>
          <w:sz w:val="32"/>
          <w:szCs w:val="32"/>
          <w:lang w:val="en-US" w:eastAsia="zh-CN"/>
        </w:rPr>
        <w:t>围绕琉璃产业发展的全链条需求，建立涵盖生产、研发、设计、销售等环节的人才培养体系，健全琉璃产业发展各环节人才资源库。加强企业家和经营管理人才培养，强化企业主体责任，依托企业培训中心、高等院校、职业学校、高技能人才培训基地、公共实训基地、工匠学院、技能大师工作室、劳模和工匠人才创新工作室等平台，通过企业岗位培训、关键岗位实践、重点项目参与等方式，培养具有全球视野和产业引领力的高端人才。深化校地、校企共建机制，推动产学研深度融合，鼓励相关学校设立琉璃产业、非遗文创等相关学科，完善继续教育和职业教育体系，支持校企联合办学、合作培训，推动政产学研协同发展，提高人才培养质量。</w:t>
      </w:r>
    </w:p>
    <w:p w14:paraId="772370EB">
      <w:pPr>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健全人才服务体系，优化人才发展环境。</w:t>
      </w:r>
      <w:r>
        <w:rPr>
          <w:rFonts w:hint="eastAsia" w:ascii="仿宋_GB2312" w:hAnsi="仿宋_GB2312" w:eastAsia="仿宋_GB2312" w:cs="仿宋_GB2312"/>
          <w:sz w:val="32"/>
          <w:szCs w:val="32"/>
          <w:lang w:val="en-US" w:eastAsia="zh-CN"/>
        </w:rPr>
        <w:t>建立博山琉璃人才服务中心，提供集教育合作、招聘引进、人才培训、人才交流、人才评价与认证、职业规划等于一体的全方位人才服务。完善人才评价、发现、选拔任用和激励保障机制，建立琉璃行业职业技能评价标准体系，将琉璃产业人才纳入国家政策支持范畴。针对技能岗位等级设置，建立从技师、高级技师、特级技师到首席技师的分级评价体系，为高层次技能人才提供职业发展通道。开辟人才引进绿色通道，实施“</w:t>
      </w:r>
      <w:r>
        <w:rPr>
          <w:rFonts w:hint="eastAsia" w:ascii="仿宋_GB2312" w:hAnsi="仿宋_GB2312" w:eastAsia="仿宋_GB2312" w:cs="仿宋_GB2312"/>
          <w:b w:val="0"/>
          <w:bCs w:val="0"/>
          <w:sz w:val="32"/>
          <w:szCs w:val="32"/>
          <w:lang w:val="en-US" w:eastAsia="zh-CN"/>
        </w:rPr>
        <w:t>博山琉璃万人英才计划</w:t>
      </w:r>
      <w:r>
        <w:rPr>
          <w:rFonts w:hint="eastAsia" w:ascii="仿宋_GB2312" w:hAnsi="仿宋_GB2312" w:eastAsia="仿宋_GB2312" w:cs="仿宋_GB2312"/>
          <w:sz w:val="32"/>
          <w:szCs w:val="32"/>
          <w:lang w:val="en-US" w:eastAsia="zh-CN"/>
        </w:rPr>
        <w:t>”，大力引进和培育产业链关键环节紧缺的领军人才、高端人才、高技能人才和应用型人才，夯实琉璃产业可持续发展的人才基础。</w:t>
      </w:r>
    </w:p>
    <w:p w14:paraId="0E8E1B95">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完善人才留存和激励机制，增强产业吸引力。</w:t>
      </w:r>
      <w:r>
        <w:rPr>
          <w:rFonts w:hint="eastAsia" w:ascii="仿宋_GB2312" w:hAnsi="仿宋_GB2312" w:eastAsia="仿宋_GB2312" w:cs="仿宋_GB2312"/>
          <w:sz w:val="32"/>
          <w:szCs w:val="32"/>
          <w:lang w:val="en-US" w:eastAsia="zh-CN"/>
        </w:rPr>
        <w:t>设立人才激励机制，对经认定的各层次技能人才和高端人才给予专项奖励，激发人才创新创造活力。高标准规划建设人才公寓等生活服务配套设施，打造博山琉璃非遗数字文创孵化器、加速器等创新创业载体，创建国家级、省市级创新载体及“双创”示范基地，优化创新创业生态。完善企业孵化支持政策，引进培育高水平专业化孵化服务机构，支持孵化载体建设“互联网+”创新创业平台，发展天使投资基金、创业投资基金，构建具有持续吸引力的创新创业综合生态体系，为琉璃产业高质量发展提供坚实的人才支撑。</w:t>
      </w:r>
    </w:p>
    <w:p w14:paraId="5DDD6EAE">
      <w:pPr>
        <w:pStyle w:val="7"/>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firstLine="640" w:firstLineChars="200"/>
        <w:textAlignment w:val="auto"/>
        <w:outlineLvl w:val="2"/>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kern w:val="2"/>
          <w:sz w:val="32"/>
          <w:szCs w:val="32"/>
          <w:lang w:val="en-US" w:eastAsia="zh-CN" w:bidi="ar-SA"/>
        </w:rPr>
        <w:t>（六）</w:t>
      </w:r>
      <w:r>
        <w:rPr>
          <w:rFonts w:hint="eastAsia" w:ascii="楷体_GB2312" w:hAnsi="楷体_GB2312" w:eastAsia="楷体_GB2312" w:cs="楷体_GB2312"/>
          <w:b w:val="0"/>
          <w:bCs/>
          <w:sz w:val="32"/>
          <w:szCs w:val="32"/>
          <w:lang w:val="en-US" w:eastAsia="zh-CN"/>
        </w:rPr>
        <w:t>开放合作工程</w:t>
      </w:r>
    </w:p>
    <w:p w14:paraId="7DE7A789">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强化国内区域协同联动，推动产业深度融合。</w:t>
      </w:r>
      <w:r>
        <w:rPr>
          <w:rFonts w:hint="eastAsia" w:ascii="仿宋_GB2312" w:hAnsi="仿宋_GB2312" w:eastAsia="仿宋_GB2312" w:cs="仿宋_GB2312"/>
          <w:sz w:val="32"/>
          <w:szCs w:val="32"/>
          <w:lang w:val="en-US" w:eastAsia="zh-CN"/>
        </w:rPr>
        <w:t>加强与深圳、上海等重点区域的产业协同与合作，强化创新要素集聚效应，吸引生产企业、研发设计机构及高端创新人才落户博山，探索“博山——外埠”飞地经济发展模式，提升资源协同和市场辐射能力。积极推动博山琉璃产业在材料研发、工艺设备、文创设计、全球营销等环节，与深圳文创产业链深度融合，借力深圳国际化平台优势实现市场突破。深化与外地企业的产业联动，拓宽博山琉璃产品的市场应用场景。</w:t>
      </w:r>
    </w:p>
    <w:p w14:paraId="5DDA43CE">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深化国际交流合作，构建全球化发展格局。</w:t>
      </w:r>
      <w:r>
        <w:rPr>
          <w:rFonts w:hint="eastAsia" w:ascii="仿宋_GB2312" w:hAnsi="仿宋_GB2312" w:eastAsia="仿宋_GB2312" w:cs="仿宋_GB2312"/>
          <w:sz w:val="32"/>
          <w:szCs w:val="32"/>
          <w:lang w:val="en-US" w:eastAsia="zh-CN"/>
        </w:rPr>
        <w:t>积极融入全球琉璃（艺术玻璃）文化产业链，深化与欧美国家及“一带一路”沿线国家在玻璃文化、工艺研发、市场拓展等领域的合作。筹建博山琉璃文化国际交流中心，定期举办“博山国际玻璃艺术论坛”，并积极申请承办国家、省、市级对外文化交流活动，不断夯实国家文化出口基地发展基础，打造世界一流的琉璃（艺术玻璃）文化交流平台。</w:t>
      </w:r>
    </w:p>
    <w:p w14:paraId="600B4646">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构建琉璃产业全球招商体系，全面提升招商引资力度。</w:t>
      </w:r>
      <w:r>
        <w:rPr>
          <w:rFonts w:hint="eastAsia" w:ascii="仿宋_GB2312" w:hAnsi="仿宋_GB2312" w:eastAsia="仿宋_GB2312" w:cs="仿宋_GB2312"/>
          <w:sz w:val="32"/>
          <w:szCs w:val="32"/>
          <w:lang w:val="en-US" w:eastAsia="zh-CN"/>
        </w:rPr>
        <w:t>依托博山琉璃产业特色，建立精准化、专业化、国际化的招商引资体系。围绕产业链关键环节和核心领域，制定系统性招商规划，编制琉璃产业招商地图，细分目标市场，明确重点招商方向，形成精准、高效的招商引资机制。健全招商引资全链条服务体系，完善从项目洽谈、落地实施到后续运营的全周期服务机制，建立重点招商项目专班推进机制，为重点投资企业提供“一企一策”服务，确保项目快速落地、顺利运营。加强“一园两镇”重点发展片区的基础设施和配套服务建设，提升园区承载能力，提供产业链集聚发展支撑。发挥国有平台公司在招商引资中的积极作用，优化载体空间扶持政策，为优质企业提供有竞争力的落地政策。强化专业招商团队建设，吸引并培养一批熟悉产业、技术和市场的专业招商人才，为招商引资工作提供有力支持。加强境内外招商合作，鼓励政府、行业协会、企业联合开展产业推介会、商务洽谈会、投资促进会等活动，主动对接欧美发达国家及“一带一路”沿线国家，吸引国际知名企业、投资机构参与博山琉璃产业发展。支持山头街道、城西街道、八陡镇等产业重点发展区域定期举办招商推介会，吸引企业投资落户。设立招商引资专项资金支持招商活动、平台建设、宣传推广，保障招商工作的可持续性。完善招商考核体系，实行“领导牵头、部门负责、招商专班、考核激励”的工作机制，形成招商引资长效机制。</w:t>
      </w:r>
    </w:p>
    <w:p w14:paraId="2ED03F51">
      <w:pPr>
        <w:keepNext w:val="0"/>
        <w:keepLines w:val="0"/>
        <w:pageBreakBefore w:val="0"/>
        <w:widowControl w:val="0"/>
        <w:numPr>
          <w:ilvl w:val="0"/>
          <w:numId w:val="6"/>
        </w:numPr>
        <w:kinsoku/>
        <w:wordWrap/>
        <w:overflowPunct/>
        <w:topLinePunct w:val="0"/>
        <w:autoSpaceDE/>
        <w:autoSpaceDN/>
        <w:bidi w:val="0"/>
        <w:adjustRightInd w:val="0"/>
        <w:snapToGrid w:val="0"/>
        <w:spacing w:line="576" w:lineRule="exact"/>
        <w:ind w:firstLine="640" w:firstLineChars="200"/>
        <w:textAlignment w:val="auto"/>
        <w:outlineLvl w:val="1"/>
        <w:rPr>
          <w:rFonts w:hint="eastAsia" w:ascii="黑体" w:hAnsi="黑体" w:eastAsia="黑体" w:cs="黑体"/>
          <w:b w:val="0"/>
          <w:bCs/>
          <w:sz w:val="32"/>
          <w:szCs w:val="32"/>
          <w:lang w:val="en-US" w:eastAsia="zh-CN"/>
        </w:rPr>
      </w:pPr>
      <w:bookmarkStart w:id="39" w:name="_Toc25392"/>
      <w:r>
        <w:rPr>
          <w:rFonts w:hint="eastAsia" w:ascii="黑体" w:hAnsi="黑体" w:eastAsia="黑体" w:cs="黑体"/>
          <w:b w:val="0"/>
          <w:bCs/>
          <w:sz w:val="32"/>
          <w:szCs w:val="32"/>
          <w:lang w:val="en-US" w:eastAsia="zh-CN"/>
        </w:rPr>
        <w:t>重大项目</w:t>
      </w:r>
      <w:bookmarkEnd w:id="39"/>
    </w:p>
    <w:p w14:paraId="6C94E192">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kern w:val="2"/>
          <w:sz w:val="32"/>
          <w:szCs w:val="32"/>
          <w:lang w:val="en-US" w:eastAsia="zh-CN" w:bidi="ar-SA"/>
        </w:rPr>
        <w:t>（一）</w:t>
      </w:r>
      <w:r>
        <w:rPr>
          <w:rFonts w:hint="eastAsia" w:ascii="楷体_GB2312" w:hAnsi="楷体_GB2312" w:eastAsia="楷体_GB2312" w:cs="楷体_GB2312"/>
          <w:b w:val="0"/>
          <w:bCs/>
          <w:sz w:val="32"/>
          <w:szCs w:val="32"/>
          <w:lang w:val="en-US" w:eastAsia="zh-CN"/>
        </w:rPr>
        <w:t>博山琉璃产业创新中心</w:t>
      </w:r>
    </w:p>
    <w:p w14:paraId="58077354">
      <w:pPr>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位与功能：博山琉璃产业创新中心是整合行业创新资源、构建高效协同创新体系的重要载体，也是博山区推动产业升级和创新服务的核心平台。中心致力于促进博山琉璃产业链、创新链、文化链、资金链和政策链的深度融合，打造“政产学研金服用”一体化创新生态，推动政企合作、技术攻关、人才培养和市场拓展协同发展，并协助政府相关职能部门统筹推进琉璃产业高质量发展。</w:t>
      </w:r>
    </w:p>
    <w:p w14:paraId="67683C0E">
      <w:pPr>
        <w:pStyle w:val="7"/>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firstLine="640" w:firstLineChars="200"/>
        <w:textAlignment w:val="auto"/>
        <w:outlineLvl w:val="2"/>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kern w:val="2"/>
          <w:sz w:val="32"/>
          <w:szCs w:val="32"/>
          <w:lang w:val="en-US" w:eastAsia="zh-CN" w:bidi="ar-SA"/>
        </w:rPr>
        <w:t>（二）</w:t>
      </w:r>
      <w:r>
        <w:rPr>
          <w:rFonts w:hint="eastAsia" w:ascii="楷体_GB2312" w:hAnsi="楷体_GB2312" w:eastAsia="楷体_GB2312" w:cs="楷体_GB2312"/>
          <w:b w:val="0"/>
          <w:bCs/>
          <w:sz w:val="32"/>
          <w:szCs w:val="32"/>
          <w:lang w:val="en-US" w:eastAsia="zh-CN"/>
        </w:rPr>
        <w:t>博山琉璃知识产权服务中心</w:t>
      </w:r>
    </w:p>
    <w:p w14:paraId="70131711">
      <w:pPr>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位与功能：博山琉璃知识产权服务中心的主要职责是推动和促进博山区琉璃、陶瓷及其他非遗文创行业的知识产权创造、运用、保护、管理和服务工作。中心负责提供各类知识产权登记的辅导和咨询服务，建设并维护知识产权公共服务平台；加强与专业知识产权机构的合作交流，指导博山区陶琉企业开展知识产权纠纷处理和维权工作；组织开展知识产权宣传教育培训，负责入驻服务机构的管理；研究分析博山区陶琉领域的知识产权发展情况，为产业发展提供决策参考。</w:t>
      </w:r>
    </w:p>
    <w:p w14:paraId="541880F8">
      <w:pPr>
        <w:pStyle w:val="7"/>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firstLine="640" w:firstLineChars="200"/>
        <w:textAlignment w:val="auto"/>
        <w:outlineLvl w:val="2"/>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kern w:val="2"/>
          <w:sz w:val="32"/>
          <w:szCs w:val="32"/>
          <w:lang w:val="en-US" w:eastAsia="zh-CN" w:bidi="ar-SA"/>
        </w:rPr>
        <w:t>（三）</w:t>
      </w:r>
      <w:r>
        <w:rPr>
          <w:rFonts w:hint="eastAsia" w:ascii="楷体_GB2312" w:hAnsi="楷体_GB2312" w:eastAsia="楷体_GB2312" w:cs="楷体_GB2312"/>
          <w:b w:val="0"/>
          <w:bCs/>
          <w:sz w:val="32"/>
          <w:szCs w:val="32"/>
          <w:lang w:val="en-US" w:eastAsia="zh-CN"/>
        </w:rPr>
        <w:t>博山琉璃（艺术玻璃）国际创意设计中心</w:t>
      </w:r>
    </w:p>
    <w:p w14:paraId="31B056E1">
      <w:pPr>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z w:val="28"/>
          <w:szCs w:val="28"/>
          <w:lang w:val="en-US" w:eastAsia="zh-CN"/>
        </w:rPr>
      </w:pPr>
      <w:r>
        <w:rPr>
          <w:rFonts w:hint="eastAsia" w:ascii="仿宋_GB2312" w:hAnsi="仿宋_GB2312" w:eastAsia="仿宋_GB2312" w:cs="仿宋_GB2312"/>
          <w:sz w:val="32"/>
          <w:szCs w:val="32"/>
          <w:lang w:val="en-US" w:eastAsia="zh-CN"/>
        </w:rPr>
        <w:t>定位与功能：博山琉璃（艺术玻璃）国际创意设计中心是集创新设计、产业孵化与国际交流于一体的集聚平台，致力于汇聚国内外艺术家、设计师、创意团队及企业，推动琉璃设计领域的创新与发展。中心的核心功能包括：为琉璃设计企业和项目提供资金、技术、市场等多方面支持，促进琉璃创意产品的商业化落地，加快设计成果的产业化应用。承担教育培训职能，定期举办设计课程、讲座、研讨会等活动，提升设计人才的专业能力，培养新一代创新型设计师。积极推动全球艺术玻璃设计产业的交流与合作，参与并举办国际设计展览、行业论坛等活动，展示前沿创意设计成果，扩大设计文化的全球影响力，助力设计理念的国际传播。打造国际化设计网络，整合全球优质设计资源，为博山琉璃产业注入更多创意动能，助推产业高质量发展。</w:t>
      </w:r>
    </w:p>
    <w:p w14:paraId="74670121">
      <w:pPr>
        <w:pStyle w:val="7"/>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firstLine="640" w:firstLineChars="200"/>
        <w:textAlignment w:val="auto"/>
        <w:outlineLvl w:val="2"/>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kern w:val="2"/>
          <w:sz w:val="32"/>
          <w:szCs w:val="32"/>
          <w:lang w:val="en-US" w:eastAsia="zh-CN" w:bidi="ar-SA"/>
        </w:rPr>
        <w:t>（四）</w:t>
      </w:r>
      <w:r>
        <w:rPr>
          <w:rFonts w:hint="eastAsia" w:ascii="楷体_GB2312" w:hAnsi="楷体_GB2312" w:eastAsia="楷体_GB2312" w:cs="楷体_GB2312"/>
          <w:b w:val="0"/>
          <w:bCs/>
          <w:sz w:val="32"/>
          <w:szCs w:val="32"/>
          <w:lang w:val="en-US" w:eastAsia="zh-CN"/>
        </w:rPr>
        <w:t>博山琉璃（艺术玻璃）文化国际交流中心</w:t>
      </w:r>
    </w:p>
    <w:p w14:paraId="2BBEF7CB">
      <w:pPr>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位与功能：博山琉璃（艺术玻璃）文化国际交流中心是推动琉璃文化保护、传承与国际传播的重要平台，致力于加强全球艺术玻璃文化的互动交流，促进琉璃产业的国际化发展。中心的主要功能包括：文化交流与传播,通过展览、研讨会、文化活动等多种形式，汇聚全球艺术家、设计师、学者及观众，共同探讨琉璃（艺术玻璃）的历史传承、工艺创新与未来发展，推动跨文化交流。支持琉璃产品的市场推广和品牌建设，为琉璃制造商与设计师提供市场拓展、合作对接的机会，助力其进入国际市场，提高博山琉璃的全球影响力。</w:t>
      </w:r>
    </w:p>
    <w:p w14:paraId="4EDD1002">
      <w:pPr>
        <w:pStyle w:val="7"/>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firstLine="640" w:firstLineChars="200"/>
        <w:textAlignment w:val="auto"/>
        <w:outlineLvl w:val="2"/>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kern w:val="2"/>
          <w:sz w:val="32"/>
          <w:szCs w:val="32"/>
          <w:lang w:val="en-US" w:eastAsia="zh-CN" w:bidi="ar-SA"/>
        </w:rPr>
        <w:t>（五）</w:t>
      </w:r>
      <w:r>
        <w:rPr>
          <w:rFonts w:hint="eastAsia" w:ascii="楷体_GB2312" w:hAnsi="楷体_GB2312" w:eastAsia="楷体_GB2312" w:cs="楷体_GB2312"/>
          <w:b w:val="0"/>
          <w:bCs/>
          <w:sz w:val="32"/>
          <w:szCs w:val="32"/>
          <w:lang w:val="en-US" w:eastAsia="zh-CN"/>
        </w:rPr>
        <w:t>博山琉璃先进技术研究院</w:t>
      </w:r>
    </w:p>
    <w:p w14:paraId="4ED6063F">
      <w:pPr>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位与功能：博山琉璃先进技术研究院定位为琉璃产业的核心技术研发机构，致力于推动行业技术创新、标准制定、产业升级和人才培养，为琉璃（艺术玻璃）领域的科技进步和可持续发展提供支撑。研究院的主要职能包括：联合国内外高校、科研院所及企业，围绕新型制作材料、工艺流程、加工技术等关键领域开展研究，提升琉璃的品质、可塑性和环保性能，推动绿色可持续生产技术的发展。助力现代艺术家将传统琉璃技艺与先进科技相结合，打造兼具历史文化价值与现代审美的高端艺术琉璃产品。</w:t>
      </w:r>
    </w:p>
    <w:p w14:paraId="113AFA39">
      <w:pPr>
        <w:pageBreakBefore w:val="0"/>
        <w:widowControl w:val="0"/>
        <w:kinsoku/>
        <w:wordWrap/>
        <w:overflowPunct/>
        <w:topLinePunct w:val="0"/>
        <w:autoSpaceDE/>
        <w:autoSpaceDN/>
        <w:bidi w:val="0"/>
        <w:adjustRightInd w:val="0"/>
        <w:snapToGrid w:val="0"/>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供系统化的技术培训和教育，提升设计师、艺术家及工艺师的专业技能，掌握最新制作技术，并通过开设研究课程，培养琉璃产业的创新型人才。参与琉璃（艺术玻璃）行业标准的制定，推动行业规范化建设，提升博山琉璃的国际竞争力。为琉璃生产企业提供技术咨询和支持，助力企业解决生产中的技术难题，加快新技术的产业化应用，推动产业提质升级。</w:t>
      </w:r>
    </w:p>
    <w:p w14:paraId="436375C9">
      <w:pPr>
        <w:pStyle w:val="7"/>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firstLine="640" w:firstLineChars="200"/>
        <w:textAlignment w:val="auto"/>
        <w:outlineLvl w:val="2"/>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kern w:val="2"/>
          <w:sz w:val="32"/>
          <w:szCs w:val="32"/>
          <w:lang w:val="en-US" w:eastAsia="zh-CN" w:bidi="ar-SA"/>
        </w:rPr>
        <w:t>（六）</w:t>
      </w:r>
      <w:r>
        <w:rPr>
          <w:rFonts w:hint="eastAsia" w:ascii="楷体_GB2312" w:hAnsi="楷体_GB2312" w:eastAsia="楷体_GB2312" w:cs="楷体_GB2312"/>
          <w:b w:val="0"/>
          <w:bCs/>
          <w:sz w:val="32"/>
          <w:szCs w:val="32"/>
          <w:lang w:val="en-US" w:eastAsia="zh-CN"/>
        </w:rPr>
        <w:t>博山琉璃文创孵化器/加速器</w:t>
      </w:r>
    </w:p>
    <w:p w14:paraId="11657973">
      <w:pPr>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位与功能：博山琉璃文创孵化器/加速器是推动琉璃产业创新和创业孵化的重要平台，处于“创业苗圃－孵化器－加速器－上市”产业成长链条的核心环节。依托博山陶琉产业园，整合产业资源，建立涵盖产品研发、设计、生产设备、品牌打造、市场运营、招商引资、人才培训、金融支持等全链条孵化体系，助力琉璃创意产业高质量发展。主要功能包括：为初创企业、艺术家和设计师提供技术指导，推动琉璃工艺创新和新材料、新技术的应用。提供品牌战略规划、市场分析、营销策划等服务，组织展览、参与博览会，帮助琉璃企业及个人提升品牌影响力。协助创作者进行产品系列开发、标准化生产及供应链优化，推动艺术创意向产业化落地。提供创业资金、知识产权保护、法律咨询及国际化拓展服务，帮助初创企业规避风险，提升竞争力。通过品牌孵化、资金支持、人才培训、市场推广等多维度扶持，助力具有潜力的初创企业成长为连锁品牌，推动琉璃产业规模化、现代化发展。</w:t>
      </w:r>
    </w:p>
    <w:p w14:paraId="5BBC2345">
      <w:pPr>
        <w:pStyle w:val="7"/>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firstLine="640" w:firstLineChars="200"/>
        <w:textAlignment w:val="auto"/>
        <w:outlineLvl w:val="2"/>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kern w:val="2"/>
          <w:sz w:val="32"/>
          <w:szCs w:val="32"/>
          <w:lang w:val="en-US" w:eastAsia="zh-CN" w:bidi="ar-SA"/>
        </w:rPr>
        <w:t>（七）</w:t>
      </w:r>
      <w:r>
        <w:rPr>
          <w:rFonts w:hint="eastAsia" w:ascii="楷体_GB2312" w:hAnsi="楷体_GB2312" w:eastAsia="楷体_GB2312" w:cs="楷体_GB2312"/>
          <w:b w:val="0"/>
          <w:bCs/>
          <w:sz w:val="32"/>
          <w:szCs w:val="32"/>
          <w:lang w:val="en-US" w:eastAsia="zh-CN"/>
        </w:rPr>
        <w:t>博山琉璃供应链平台</w:t>
      </w:r>
    </w:p>
    <w:p w14:paraId="3E77DD12">
      <w:pPr>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位与功能：博山琉璃供应链平台是产业生态体系中的关键环节，也是全球营销体系的重要支撑。该平台依托互联网和信息技术，连接供应商、生产商、分销商及消费者，构建高效协同的产业链体系。平台基于大型分布式架构、大数据分析和云计算技术，为产业链上下游企业提供信息服务、交易撮合、智能物流、供应链金融、售后维保、市场营销等一站式深度赋能服务。通过数据互通、全链协同，优化资源配置，提升产业运营效率，助力企业降本增效，实现供应链的数字化升级和智能化管理。</w:t>
      </w:r>
    </w:p>
    <w:p w14:paraId="1D784640">
      <w:pPr>
        <w:pStyle w:val="7"/>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firstLine="640" w:firstLineChars="200"/>
        <w:textAlignment w:val="auto"/>
        <w:outlineLvl w:val="2"/>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kern w:val="2"/>
          <w:sz w:val="32"/>
          <w:szCs w:val="32"/>
          <w:lang w:val="en-US" w:eastAsia="zh-CN" w:bidi="ar-SA"/>
        </w:rPr>
        <w:t>（八）</w:t>
      </w:r>
      <w:r>
        <w:rPr>
          <w:rFonts w:hint="eastAsia" w:ascii="楷体_GB2312" w:hAnsi="楷体_GB2312" w:eastAsia="楷体_GB2312" w:cs="楷体_GB2312"/>
          <w:b w:val="0"/>
          <w:bCs/>
          <w:sz w:val="32"/>
          <w:szCs w:val="32"/>
          <w:lang w:val="en-US" w:eastAsia="zh-CN"/>
        </w:rPr>
        <w:t>博山琉璃国际交易中心</w:t>
      </w:r>
    </w:p>
    <w:p w14:paraId="2F3F3251">
      <w:pPr>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位与功能：博山琉璃国际交易中心是博山琉璃产业的重要支撑平台，也是博山城市商业消费及文旅产业的核心项目之一。交易中心的建设目标为“买全球、卖全球”，致力于打造全球艺术玻璃产业的交易枢纽。中心业务覆盖琉璃产业链的各个可交易环节，包括原材料、设备、琉璃制品、其他文创产品以及体验式服务等。除实体线下交易外，交易中心还将通过线上平台提供   7×24小时拍卖与交易服务，为全球艺术玻璃行业提供全天候的交易支持，成为全球营销体系中的关键枢纽和“大本营”。</w:t>
      </w:r>
    </w:p>
    <w:p w14:paraId="3C417B2C">
      <w:pPr>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（九）博山琉璃非遗主题街区</w:t>
      </w:r>
    </w:p>
    <w:p w14:paraId="36393E00">
      <w:pPr>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位与功能：博山琉璃非遗主题街区致力于将艺术、文化、商业和旅游融合，打造一个多功能区域，既是琉璃艺术的展示平台，也是创新商业生态的核心。街区展示各类琉璃作品，如雕塑、装饰×品和建筑玻璃等，定期举办展览、艺术创作活动和装置艺术展示，为艺术家和设计师提供展示空间。同时，街区设有创作与体验区域，游客可参与玻璃吹制、彩绘玻璃等互动项目，亲身感受琉璃创作的魅力。通过举办讲座、工作坊等文化交流活动，促进艺术家、设计师和公众的互动，推动琉璃文化的传播。街区还为企业提供推广平台，助力品牌建设，并通过智能玻璃、数字艺术玻璃等创新形式提供全新的视觉体验，吸引游客参与。树立“一条琉璃街区就是一座琉璃艺术馆”的理念，构建“以展促销、以销办展”的可持续发展模式，提升“博山琉璃”的品牌影响力，推动其在文化、艺术和旅游方面的综合发展。</w:t>
      </w:r>
    </w:p>
    <w:p w14:paraId="2A6FCB72">
      <w:pPr>
        <w:pStyle w:val="7"/>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firstLine="640" w:firstLineChars="200"/>
        <w:textAlignment w:val="auto"/>
        <w:outlineLvl w:val="2"/>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（十）博山琉璃直播电商基地</w:t>
      </w:r>
    </w:p>
    <w:p w14:paraId="653ECA87">
      <w:pPr>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位与功能：博山琉璃直播电商基地依托产业园和国际交易中心，结合供应链平台，打造一个集直播平台、内容创作、产品销售、技术支持和培训教育于一体的综合性基地。该基地为商家、主播及相关从业者提供全方位支持，助力其在直播电商行业实现快速成长和可持续发展。通过建立直播全链条体系，基地不仅服务于博山本地企业和项目，还为全球营销体系中的非遗街区、会客厅等“飞地”提供支持，推动博山琉璃产业的广泛传播与发展。</w:t>
      </w:r>
    </w:p>
    <w:p w14:paraId="33609B5E">
      <w:pPr>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default"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（十一）博山琉璃跨境电商基地</w:t>
      </w:r>
    </w:p>
    <w:p w14:paraId="622EFCBC">
      <w:pPr>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定位与功能：博山琉璃跨境电商基地以博山和深圳为核心，打造面向全球的琉璃跨境电商平台，提供全链条、全流程的跨境电商服务和解决方案，助力国际交易中心实现“买全球、卖全球”的战略目标。基地功能包括：为企业提供国际市场拓展平台，与Amazon、eBay、AliExpress、Etsy等国际电商平台合作，帮助企业了解国际市场需求、消费趋势及文化差异，提供市场入驻支持和运营指导，协助企业快速开拓海外市场；提供包括国际物流、海外仓储、报关、清关等在内的一站式物流解决方案；为企业提供多样化支付结算、法律咨询、合规服务，帮助企业理解国际法律要求，降低合规风险；并提供市场推广、品牌建设、跨境电商培训、人才支持、信息数据分析、文化语言适配等服务，全面助力企业在全球市场的成功。  </w:t>
      </w:r>
    </w:p>
    <w:p w14:paraId="61DD14BE">
      <w:pPr>
        <w:pStyle w:val="7"/>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firstLine="640" w:firstLineChars="200"/>
        <w:textAlignment w:val="auto"/>
        <w:outlineLvl w:val="2"/>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（十二）博山琉璃产业发展基金</w:t>
      </w:r>
    </w:p>
    <w:p w14:paraId="4F301D99">
      <w:pPr>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位与功能：博山琉璃产业发展基金是推动博山琉璃产业创新、优化产业结构、提升产业核心竞争力的重要金融工具。基金的主要功能是通过资本支持促进琉璃产业的技术创新、人才培养、设备升级和市场拓展，推动产业链条的延伸与完善。基金面向具有潜力的企业和项目，提供资金支持，助力其在研发设计、技术攻关、人才引进及现代化设备引进等领域的突破，提升产业整体技术水平和生产效率。同时，产业发展基金通过引导社会资本和政策资金的有效结合，吸引更多相关企业和优质项目入驻琉璃产业园区，推动产业集群的形成，促进产业协同创新。基金的实施将有助于加快博山琉璃产业的转型升级，提升产业的市场竞争力，推动产业的可持续发展与国际化进程，为博山琉璃产业在国内外市场的长期发展提供强有力的资金保障和战略支持。</w:t>
      </w:r>
    </w:p>
    <w:p w14:paraId="688E3ADD">
      <w:pPr>
        <w:pStyle w:val="7"/>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firstLine="640" w:firstLineChars="200"/>
        <w:textAlignment w:val="auto"/>
        <w:outlineLvl w:val="2"/>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（十三）中国（博山）国际琉璃产业博览交易会</w:t>
      </w:r>
    </w:p>
    <w:p w14:paraId="14D2DDC5">
      <w:pPr>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位与功能：中国（博山）国际琉璃产业博览交易会（简称“博山琉博会”）是亚洲地区规模最大、国际化程度最高、专业性最强的琉璃（艺术玻璃）产业博览交易会。作为全球一流的琉璃产业盛会，博山琉博会致力于展示琉璃原材料、设备、产品、体验式服务及相关项目，充分发挥其作为交流、交易和展示平台的独特优势，推动琉璃产业的多元化发展。博山琉博会的核心功能包括：产业展示与交流平台、全球贸易与合作平台、文化交流与产业推动、市场开拓与项目对接。</w:t>
      </w:r>
    </w:p>
    <w:p w14:paraId="2DD0F991">
      <w:pPr>
        <w:pStyle w:val="7"/>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firstLine="640" w:firstLineChars="200"/>
        <w:textAlignment w:val="auto"/>
        <w:outlineLvl w:val="2"/>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（十四）博山国际玻璃艺术论坛</w:t>
      </w:r>
    </w:p>
    <w:p w14:paraId="67A04DAB">
      <w:pPr>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位与功能：博山国际玻璃艺术论坛（简称“博山玻璃论坛”）是一个集玻璃艺术创作、技术创新、文化交流及产业发展的国际性盛会，致力于探讨玻璃艺术的前沿趋势、创新技法以及全球市场动态。论坛旨在为全球艺术玻璃行业提供一个高端的学术与产业交流平台，推动玻璃艺术与技术的深度融合，促进国际艺术玻璃文化的广泛传播，助力全球艺术玻璃产业的可持续发展。论坛总部设在中国博山，由来自全球20余个国家和地区的上百位艺术玻璃从业者（艺术家、工匠、设计师、企业家、文化学者、收藏家等）共同发起，每年定期在博山举行年会。</w:t>
      </w:r>
    </w:p>
    <w:p w14:paraId="40F7311B">
      <w:pPr>
        <w:pStyle w:val="7"/>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firstLine="640" w:firstLineChars="200"/>
        <w:textAlignment w:val="auto"/>
        <w:outlineLvl w:val="2"/>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kern w:val="2"/>
          <w:sz w:val="32"/>
          <w:szCs w:val="32"/>
          <w:lang w:val="en-US" w:eastAsia="zh-CN" w:bidi="ar-SA"/>
        </w:rPr>
        <w:t>（十五）</w:t>
      </w:r>
      <w:r>
        <w:rPr>
          <w:rFonts w:hint="eastAsia" w:ascii="楷体_GB2312" w:hAnsi="楷体_GB2312" w:eastAsia="楷体_GB2312" w:cs="楷体_GB2312"/>
          <w:b w:val="0"/>
          <w:bCs/>
          <w:sz w:val="32"/>
          <w:szCs w:val="32"/>
          <w:lang w:val="en-US" w:eastAsia="zh-CN"/>
        </w:rPr>
        <w:t>博山琉璃艺术学校</w:t>
      </w:r>
    </w:p>
    <w:p w14:paraId="54C6C4CD">
      <w:pPr>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位与功能：博山琉璃艺术学校是一所专门致力于培养具备高技术、高创意、高综合素质的琉璃艺术和产业人才的专业教育机构。学校立足于琉璃研发、设计、制作、营销等多个领域，提供全面的教育课程。基础与高级技能培训：开设玻璃的基本处理方法、吹制技术、雕刻工艺、冷加工技术、窑成型玻璃等实用技能课程，注重学生动手能力的培养，为学生打下坚实的技艺基础。艺术学科与设计理论：教授玻璃艺术相关的艺术历史、材料学、设计理论等学科知识，拓宽学生的文化视野与艺术素养，提升其艺术创作与设计的综合能力。实践与创作：注重实践教学，通过丰富的创作项目和实训课程，帮助学生深入理解玻璃艺术的创作流程与技巧，培养他们的独立创作能力和创新思维。国际化交流与合作：通过与国际知名艺术院校和行业专家的合作，定期组织国际文化交流、艺术展览等活动，为学生提供与全球艺术玻璃行业接轨的机会，提升其国际化视野与竞争力。职业发展与行业对接：通过校企合作、实习实训、就业指导等方式，帮助学生与琉璃产业的各大企业、机构建立紧密联系，为其职业发展提供坚实的基础。</w:t>
      </w:r>
    </w:p>
    <w:p w14:paraId="370B8619">
      <w:pPr>
        <w:pStyle w:val="7"/>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firstLine="640" w:firstLineChars="200"/>
        <w:textAlignment w:val="auto"/>
        <w:outlineLvl w:val="2"/>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kern w:val="2"/>
          <w:sz w:val="32"/>
          <w:szCs w:val="32"/>
          <w:lang w:val="en-US" w:eastAsia="zh-CN" w:bidi="ar-SA"/>
        </w:rPr>
        <w:t>（十六）</w:t>
      </w:r>
      <w:r>
        <w:rPr>
          <w:rFonts w:hint="eastAsia" w:ascii="楷体_GB2312" w:hAnsi="楷体_GB2312" w:eastAsia="楷体_GB2312" w:cs="楷体_GB2312"/>
          <w:b w:val="0"/>
          <w:bCs/>
          <w:sz w:val="32"/>
          <w:szCs w:val="32"/>
          <w:lang w:val="en-US" w:eastAsia="zh-CN"/>
        </w:rPr>
        <w:t>博山琉璃实训基地</w:t>
      </w:r>
    </w:p>
    <w:p w14:paraId="262A9A21">
      <w:pPr>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位与功能：博山琉璃实训基地是专门为学生、艺术家、工匠、设计师等提供创作、设计、技术培训及工艺开发的实践教学与技术支持平台。基地秉承“配套全、服务好、体系化、可就业”的建设理念，致力于通过整合产业链上下游资源，打造一个涵盖琉璃文创与非遗文创领域全方位岗位的体系化实训基地。基地的主要功能包括：实践教学与技术培训、工艺开发与创新支持、产业资源整合与服务、青年人才培养与支持、就业导向与职业发展等。</w:t>
      </w:r>
    </w:p>
    <w:p w14:paraId="12E1939F">
      <w:pPr>
        <w:pStyle w:val="7"/>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firstLine="640" w:firstLineChars="200"/>
        <w:textAlignment w:val="auto"/>
        <w:outlineLvl w:val="2"/>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（十七）博山琉璃人才服务中心</w:t>
      </w:r>
    </w:p>
    <w:p w14:paraId="1904301E">
      <w:pPr>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位与功能：博山琉璃人才服务中心旨在优化人才配置、推动社会就业、支持企业发展，并促进人才流动与交流。作为人才发展的核心平台，中心通过整合社会资源、优化服务体系，打造一个人才聚集、技术创新和产业升级的有力支撑平台，为博山琉璃产业的可持续发展提供强有力的人才保障。其主要职能包括：教育合作与人才培养、招聘与人才引进、人才培训与职业发展、人才交流与合作平台、人才评价与认证、政策支持与服务保障等。</w:t>
      </w:r>
    </w:p>
    <w:p w14:paraId="6CB55BAF">
      <w:pPr>
        <w:pStyle w:val="7"/>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firstLine="640" w:firstLineChars="200"/>
        <w:textAlignment w:val="auto"/>
        <w:outlineLvl w:val="2"/>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（十八）博山琉璃研学发展中心</w:t>
      </w:r>
    </w:p>
    <w:p w14:paraId="1CA6C809">
      <w:pPr>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位与功能：博山琉璃研学发展中心由政府服务部门牵头，联合研学服务机构共同发起设立，是一个以资源共享与服务协同为核心的综合平台。中心以规范化、系统化和创新性的服务模式，通过建立完善的琉璃研学课程体系和服务标准，推动博山琉璃文化的规范化输出，提升琉璃研学服务单位的整体水平，为推动琉璃产业的长远发展和文化传承提供强有力的支持。其主要功能包括：琉璃研学课程体系建设、服务标准与质量提升、“博山琉璃研学”品牌打造、文化传播与国际化合作、琉璃产业与研学结合、产业链资源整合等。</w:t>
      </w:r>
    </w:p>
    <w:p w14:paraId="0558E0BC">
      <w:pPr>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（十九）中国（博山）琉璃艺术馆</w:t>
      </w:r>
    </w:p>
    <w:p w14:paraId="19745E13">
      <w:pPr>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位与功能：中国（博山）琉璃艺术馆是博山琉璃产业展览展示的重要平台，也是博山琉璃文化体系建设的核心项目。艺术馆融合了观众体验与互动、产品展示与销售、文化传播与交流等多种功能。琉璃艺术馆以其多元化的功能和创新性的展示形式，推动博山琉璃产业的文化建设和产业发展，成为全球文化艺术交流的重要平台。</w:t>
      </w:r>
    </w:p>
    <w:p w14:paraId="01A6850E">
      <w:pPr>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（二十）博山琉璃产业园</w:t>
      </w:r>
    </w:p>
    <w:p w14:paraId="5FC7CD29">
      <w:pPr>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位与功能：博山琉璃产业园以琉璃产业集聚为核心，协同发展日用玻璃、艺术陶瓷、非遗数字文创等关联产业，构建集生产制造、文化传承、创新孵化、市场交易于一体的现代化琉璃产业生态体系。园区聚焦产业服务体系建设，重点打造博山琉璃产业创新中心、人才服务中心、知识产权服务中心、文化交流中心和琉璃文创孵化器五大赋能平台，系统提升产业链协同效能，推动博山琉璃产业向品牌化、规模化、国际化方向迈进。通过深化“产、学、研、展、游”融合发展，持续增强博山琉璃产业的核心竞争力与文化影响力，实现经济效益与文化价值的协同跃升。</w:t>
      </w:r>
      <w:bookmarkStart w:id="40" w:name="_Toc23720"/>
    </w:p>
    <w:p w14:paraId="7E633CDB">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p>
    <w:p w14:paraId="74BD4066">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b w:val="0"/>
          <w:kern w:val="2"/>
          <w:sz w:val="36"/>
          <w:szCs w:val="36"/>
          <w:lang w:val="en-US" w:eastAsia="zh-CN" w:bidi="ar-SA"/>
        </w:rPr>
      </w:pPr>
      <w:r>
        <w:rPr>
          <w:rFonts w:hint="eastAsia" w:ascii="方正小标宋简体" w:hAnsi="方正小标宋简体" w:eastAsia="方正小标宋简体" w:cs="方正小标宋简体"/>
          <w:b w:val="0"/>
          <w:kern w:val="2"/>
          <w:sz w:val="36"/>
          <w:szCs w:val="36"/>
          <w:lang w:val="en-US" w:eastAsia="zh-CN" w:bidi="ar-SA"/>
        </w:rPr>
        <w:t>第六章 保障措施</w:t>
      </w:r>
      <w:bookmarkEnd w:id="40"/>
    </w:p>
    <w:p w14:paraId="02DF24E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p>
    <w:p w14:paraId="2A2A69D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本章提出从组织、政策、营商环境、金融服务、空间规划、监督考核等方面系统完善保障体系，强化政府引导与机制支撑，保障规划任务落地落实，构建产业高质量发展长效机制。</w:t>
      </w:r>
    </w:p>
    <w:p w14:paraId="4FA894C3">
      <w:pPr>
        <w:pStyle w:val="6"/>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firstLine="640" w:firstLineChars="200"/>
        <w:textAlignment w:val="auto"/>
        <w:outlineLvl w:val="1"/>
        <w:rPr>
          <w:rFonts w:hint="eastAsia" w:ascii="黑体" w:hAnsi="黑体" w:eastAsia="黑体" w:cs="黑体"/>
          <w:b w:val="0"/>
          <w:bCs/>
          <w:sz w:val="32"/>
          <w:szCs w:val="32"/>
          <w:lang w:val="en-US" w:eastAsia="zh-CN"/>
        </w:rPr>
      </w:pPr>
      <w:bookmarkStart w:id="41" w:name="_Toc32699"/>
      <w:r>
        <w:rPr>
          <w:rFonts w:hint="eastAsia" w:ascii="黑体" w:hAnsi="黑体" w:eastAsia="黑体" w:cs="黑体"/>
          <w:b w:val="0"/>
          <w:bCs/>
          <w:kern w:val="2"/>
          <w:sz w:val="32"/>
          <w:szCs w:val="32"/>
          <w:lang w:val="en-US" w:eastAsia="zh-CN" w:bidi="ar-SA"/>
        </w:rPr>
        <w:t>一、</w:t>
      </w:r>
      <w:r>
        <w:rPr>
          <w:rFonts w:hint="eastAsia" w:ascii="黑体" w:hAnsi="黑体" w:eastAsia="黑体" w:cs="黑体"/>
          <w:b w:val="0"/>
          <w:bCs/>
          <w:sz w:val="32"/>
          <w:szCs w:val="32"/>
          <w:lang w:val="en-US" w:eastAsia="zh-CN"/>
        </w:rPr>
        <w:t>加强组织协调、加大政策扶持</w:t>
      </w:r>
      <w:bookmarkEnd w:id="41"/>
    </w:p>
    <w:p w14:paraId="46981D55">
      <w:pPr>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统筹协调，强化顶层设计。高标准定位博山琉璃产业，将其作为博山区未来支柱产业进行系统谋划和组织推进。成立博山区琉璃产业发展领导小组，由区委、区政府主要领导牵头，相关部门协同参与，形成高效决策机制。健全工作机制，推动高效协同。建立产业联席会议制度，定期召开会议，协调解决产业发展中的重大事项，确保各部门紧密配合、形成合力。完善政策体系，强化政策支撑，针对产业投资、技术创新、土地保障、人才引进、市场开拓、招商引资等方面，制定针对性扶持政策，形成全方位、多层次的政策支持体系，为琉璃产业发展提供坚实保障。</w:t>
      </w:r>
    </w:p>
    <w:p w14:paraId="58748E4F">
      <w:pPr>
        <w:pStyle w:val="6"/>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firstLine="640" w:firstLineChars="200"/>
        <w:textAlignment w:val="auto"/>
        <w:outlineLvl w:val="1"/>
        <w:rPr>
          <w:rFonts w:hint="eastAsia" w:ascii="黑体" w:hAnsi="黑体" w:eastAsia="黑体" w:cs="黑体"/>
          <w:b w:val="0"/>
          <w:bCs/>
          <w:sz w:val="32"/>
          <w:szCs w:val="32"/>
          <w:lang w:val="en-US" w:eastAsia="zh-CN"/>
        </w:rPr>
      </w:pPr>
      <w:bookmarkStart w:id="42" w:name="_Toc27900"/>
      <w:r>
        <w:rPr>
          <w:rFonts w:hint="eastAsia" w:ascii="黑体" w:hAnsi="黑体" w:eastAsia="黑体" w:cs="黑体"/>
          <w:b w:val="0"/>
          <w:bCs/>
          <w:sz w:val="32"/>
          <w:szCs w:val="32"/>
          <w:lang w:val="en-US" w:eastAsia="zh-CN"/>
        </w:rPr>
        <w:t>二、优化营商环境、强化行业监管</w:t>
      </w:r>
      <w:bookmarkEnd w:id="42"/>
    </w:p>
    <w:p w14:paraId="760A4A6E">
      <w:pPr>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优化政务服务体系，持续塑造市场化、法治化、国际化的优良营商环境。成立优化营商环境咨询监督委员会，健全政企沟通机制，畅通企业诉求反馈渠道。深入推进“放管服”改革，全面落实权力清单、责任清单、负面清单制度。完善事中事后监管机制，全面推进监管事项标准化。优化行政审批流程，提升政务服务效能，设立重点项目审批“绿色通道”，提高项目落地效率。建立健全琉璃产业一站式企业公共服务平台，整合政策咨询、行政审批、法律援助、人才引进等功能，构建线上线下相结合的企业服务体系，为企业提供全生命周期精准化、专业化服务。</w:t>
      </w:r>
    </w:p>
    <w:p w14:paraId="4BFF931C">
      <w:pPr>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强化市场监管与知识产权保护，推动跨部门、跨领域联合监管，严厉打击侵犯知识产权行为，维护博山琉璃品牌价值。依法查处假冒伪劣产品、虚假宣传、商业欺诈等违法经营行为，规范市场竞争秩序。加强对琉璃文化产品宣传推广的监管，确保信息真实、内容规范，严肃查处不实报道和虚假宣传行为。严格规范旅游市场秩序，严厉打击旅游欺诈行为，维护消费者合法权益，营造诚信经营、公平竞争的市场环境，推动博山琉璃产业高质量、可持续发展。</w:t>
      </w:r>
    </w:p>
    <w:p w14:paraId="62A70EC3">
      <w:pPr>
        <w:pStyle w:val="6"/>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firstLine="640" w:firstLineChars="200"/>
        <w:textAlignment w:val="auto"/>
        <w:outlineLvl w:val="1"/>
        <w:rPr>
          <w:rFonts w:hint="eastAsia" w:ascii="黑体" w:hAnsi="黑体" w:eastAsia="黑体" w:cs="黑体"/>
          <w:b w:val="0"/>
          <w:bCs/>
          <w:sz w:val="32"/>
          <w:szCs w:val="32"/>
          <w:lang w:val="en-US" w:eastAsia="zh-CN"/>
        </w:rPr>
      </w:pPr>
      <w:bookmarkStart w:id="43" w:name="_Toc21243"/>
      <w:r>
        <w:rPr>
          <w:rFonts w:hint="eastAsia" w:ascii="黑体" w:hAnsi="黑体" w:eastAsia="黑体" w:cs="黑体"/>
          <w:b w:val="0"/>
          <w:bCs/>
          <w:sz w:val="32"/>
          <w:szCs w:val="32"/>
          <w:lang w:val="en-US" w:eastAsia="zh-CN"/>
        </w:rPr>
        <w:t>三、组建产业基金、创新投融资服务</w:t>
      </w:r>
      <w:bookmarkEnd w:id="43"/>
    </w:p>
    <w:p w14:paraId="40A59F16">
      <w:pPr>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充分发挥财政资金的引导作用，联合金融机构、社会资本等多元投资主体，设立博山琉璃产业发展基金，形成“政府引导、市场化运作、多方参与”的资金支持体系。重点支持琉璃产业链关键环节、技术创新、品牌建设、市场拓展等领域的发展，吸引优质企业、高端人才、科研机构落户博山，推动产业品牌化、规模化、国际化发展。</w:t>
      </w:r>
    </w:p>
    <w:p w14:paraId="4A6E9C77">
      <w:pPr>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创新投融资服务模式，鼓励银行、证券、保险、基金等金融机构加大对琉璃产业的信贷投放力度，完善知识产权质押融资、供应链金融、融资租赁等创新型金融产品，拓宽企业融资渠道。鼓励社会资本投资琉璃产业创新项目，促进初创企业、科技型企业和高成长性企业的快速发展。支持符合条件的琉璃企业通过上市挂牌、发行债券、股权融资等方式进入资本市场，提升直接融资比例。构建投融资综合服务平台，搭建政府、金融机构、投资机构、企业之间的高效对接机制，推动优质项目与资本精准匹配，为企业提供全生命周期的金融支持，进一步激发琉璃产业发展的内生动力，助推产业高质量发展。</w:t>
      </w:r>
    </w:p>
    <w:p w14:paraId="67409C90">
      <w:pPr>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1"/>
        <w:rPr>
          <w:rFonts w:hint="eastAsia" w:ascii="黑体" w:hAnsi="黑体" w:eastAsia="黑体" w:cs="黑体"/>
          <w:b w:val="0"/>
          <w:bCs/>
          <w:sz w:val="32"/>
          <w:szCs w:val="32"/>
          <w:lang w:val="en-US" w:eastAsia="zh-CN"/>
        </w:rPr>
      </w:pPr>
      <w:bookmarkStart w:id="44" w:name="_Toc17452"/>
      <w:r>
        <w:rPr>
          <w:rFonts w:hint="eastAsia" w:ascii="黑体" w:hAnsi="黑体" w:eastAsia="黑体" w:cs="黑体"/>
          <w:b w:val="0"/>
          <w:bCs/>
          <w:sz w:val="32"/>
          <w:szCs w:val="32"/>
          <w:lang w:val="en-US" w:eastAsia="zh-CN"/>
        </w:rPr>
        <w:t>四、注重“多规合一”、强化监督考核</w:t>
      </w:r>
      <w:bookmarkEnd w:id="44"/>
    </w:p>
    <w:p w14:paraId="2F28B24D">
      <w:pPr>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推动规划体系融合发展，确保各类规划目标协调一致。统筹国民经济和社会发展规划、城乡规划、土地利用规划、生态环境保护规划及相关专项规划，建立规划衔接协调机制，优化空间布局，提升资源配置效率，增强规划实施的科学性和可操作性。强化监督考核，建立规划实施动态监测、评估和反馈机制，定期开展跟踪评估和绩效考核，将规划落实情况纳入政府绩效管理体系，确保各项任务落到实处。充分发挥社会监督作用，畅通公众参与渠道，形成政府、社会、企业多方协同推进的良好格局，确保规划目标如期实现，为经济社会高质量发展提供有力保障。</w:t>
      </w:r>
      <w:bookmarkStart w:id="45" w:name="_GoBack"/>
      <w:bookmarkEnd w:id="45"/>
    </w:p>
    <w:sectPr>
      <w:footerReference r:id="rId3" w:type="default"/>
      <w:footerReference r:id="rId4" w:type="even"/>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72FC47-4332-40F0-84C5-9BBF854D1F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2" w:fontKey="{D659C3AC-A169-4ACC-A5C6-A955BDBD3846}"/>
  </w:font>
  <w:font w:name="仿宋_GB2312">
    <w:panose1 w:val="02010609030101010101"/>
    <w:charset w:val="86"/>
    <w:family w:val="auto"/>
    <w:pitch w:val="default"/>
    <w:sig w:usb0="00000001" w:usb1="080E0000" w:usb2="00000000" w:usb3="00000000" w:csb0="00040000" w:csb1="00000000"/>
    <w:embedRegular r:id="rId3" w:fontKey="{35164869-1A2A-4579-BC1F-2538CAB354E8}"/>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4" w:fontKey="{9744AD40-DB6C-441A-ADF9-7EFBA52CC22A}"/>
  </w:font>
  <w:font w:name="楷体_GB2312">
    <w:panose1 w:val="02010609030101010101"/>
    <w:charset w:val="86"/>
    <w:family w:val="auto"/>
    <w:pitch w:val="default"/>
    <w:sig w:usb0="00000001" w:usb1="080E0000" w:usb2="00000000" w:usb3="00000000" w:csb0="00040000" w:csb1="00000000"/>
    <w:embedRegular r:id="rId5" w:fontKey="{AAC7601C-7F4F-4C22-95B5-B153B68A87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339EB">
    <w:pPr>
      <w:pStyle w:val="10"/>
      <w:spacing w:line="471" w:lineRule="auto"/>
      <w:rPr>
        <w:rFonts w:ascii="宋体" w:eastAsia="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4731385</wp:posOffset>
              </wp:positionH>
              <wp:positionV relativeFrom="paragraph">
                <wp:posOffset>-97790</wp:posOffset>
              </wp:positionV>
              <wp:extent cx="78232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8232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01BD8E">
                          <w:pPr>
                            <w:pStyle w:val="10"/>
                            <w:ind w:left="0" w:left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2.55pt;margin-top:-7.7pt;height:144pt;width:61.6pt;mso-position-horizontal-relative:margin;z-index:251659264;mso-width-relative:page;mso-height-relative:page;" filled="f" stroked="f" coordsize="21600,21600" o:gfxdata="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r4saU2gAAAAsBAAAPAAAAAAAAAAEAIAAAACIAAABkcnMvZG93&#10;bnJldi54bWxQSwECFAAUAAAACACHTuJADs88ZTcCAABiBAAADgAAAAAAAAABACAAAAApAQAAZHJz&#10;L2Uyb0RvYy54bWxQSwUGAAAAAAYABgBZAQAA0gUAAAAA&#10;">
              <v:fill on="f" focussize="0,0"/>
              <v:stroke on="f" weight="0.5pt"/>
              <v:imagedata o:title=""/>
              <o:lock v:ext="edit" aspectratio="f"/>
              <v:textbox inset="0mm,0mm,0mm,0mm" style="mso-fit-shape-to-text:t;">
                <w:txbxContent>
                  <w:p w14:paraId="7D01BD8E">
                    <w:pPr>
                      <w:pStyle w:val="10"/>
                      <w:ind w:left="0" w:left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ascii="宋体" w:eastAsia="宋体"/>
        <w:sz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7B27D">
    <w:pPr>
      <w:pStyle w:val="10"/>
    </w:pPr>
    <w:r>
      <w:rPr>
        <w:sz w:val="18"/>
      </w:rPr>
      <mc:AlternateContent>
        <mc:Choice Requires="wps">
          <w:drawing>
            <wp:anchor distT="0" distB="0" distL="114300" distR="114300" simplePos="0" relativeHeight="251660288" behindDoc="0" locked="0" layoutInCell="1" allowOverlap="1">
              <wp:simplePos x="0" y="0"/>
              <wp:positionH relativeFrom="margin">
                <wp:posOffset>210185</wp:posOffset>
              </wp:positionH>
              <wp:positionV relativeFrom="paragraph">
                <wp:posOffset>-381000</wp:posOffset>
              </wp:positionV>
              <wp:extent cx="924560" cy="352425"/>
              <wp:effectExtent l="0" t="0" r="0" b="0"/>
              <wp:wrapNone/>
              <wp:docPr id="4" name="文本框 4"/>
              <wp:cNvGraphicFramePr/>
              <a:graphic xmlns:a="http://schemas.openxmlformats.org/drawingml/2006/main">
                <a:graphicData uri="http://schemas.microsoft.com/office/word/2010/wordprocessingShape">
                  <wps:wsp>
                    <wps:cNvSpPr txBox="1"/>
                    <wps:spPr>
                      <a:xfrm>
                        <a:off x="0" y="0"/>
                        <a:ext cx="924560" cy="3524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DDC642">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6.55pt;margin-top:-30pt;height:27.75pt;width:72.8pt;mso-position-horizontal-relative:margin;z-index:251660288;mso-width-relative:page;mso-height-relative:page;" filled="f" stroked="f" coordsize="21600,21600" o:gfxdata="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mOPo7YAAAACQEAAA8AAAAAAAAAAQAgAAAAIgAAAGRycy9kb3du&#10;cmV2LnhtbFBLAQIUABQAAAAIAIdO4kAIGIlEOAIAAGEEAAAOAAAAAAAAAAEAIAAAACcBAABkcnMv&#10;ZTJvRG9jLnhtbFBLBQYAAAAABgAGAFkBAADRBQAAAAA=&#10;">
              <v:fill on="f" focussize="0,0"/>
              <v:stroke on="f" weight="0.5pt"/>
              <v:imagedata o:title=""/>
              <o:lock v:ext="edit" aspectratio="f"/>
              <v:textbox inset="0mm,0mm,0mm,0mm">
                <w:txbxContent>
                  <w:p w14:paraId="3ADDC642">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4C06B2"/>
    <w:multiLevelType w:val="singleLevel"/>
    <w:tmpl w:val="E74C06B2"/>
    <w:lvl w:ilvl="0" w:tentative="0">
      <w:start w:val="1"/>
      <w:numFmt w:val="chineseCounting"/>
      <w:suff w:val="space"/>
      <w:lvlText w:val="第%1章"/>
      <w:lvlJc w:val="left"/>
      <w:rPr>
        <w:rFonts w:hint="eastAsia"/>
      </w:rPr>
    </w:lvl>
  </w:abstractNum>
  <w:abstractNum w:abstractNumId="1">
    <w:nsid w:val="EF5634B1"/>
    <w:multiLevelType w:val="singleLevel"/>
    <w:tmpl w:val="EF5634B1"/>
    <w:lvl w:ilvl="0" w:tentative="0">
      <w:start w:val="1"/>
      <w:numFmt w:val="chineseCounting"/>
      <w:pStyle w:val="7"/>
      <w:suff w:val="nothing"/>
      <w:lvlText w:val="（%1）"/>
      <w:lvlJc w:val="left"/>
      <w:rPr>
        <w:rFonts w:hint="eastAsia"/>
      </w:rPr>
    </w:lvl>
  </w:abstractNum>
  <w:abstractNum w:abstractNumId="2">
    <w:nsid w:val="13FA58D0"/>
    <w:multiLevelType w:val="singleLevel"/>
    <w:tmpl w:val="13FA58D0"/>
    <w:lvl w:ilvl="0" w:tentative="0">
      <w:start w:val="1"/>
      <w:numFmt w:val="chineseCounting"/>
      <w:pStyle w:val="6"/>
      <w:suff w:val="nothing"/>
      <w:lvlText w:val="%1、"/>
      <w:lvlJc w:val="left"/>
      <w:rPr>
        <w:rFonts w:hint="eastAsia"/>
      </w:rPr>
    </w:lvl>
  </w:abstractNum>
  <w:abstractNum w:abstractNumId="3">
    <w:nsid w:val="24BD9FD8"/>
    <w:multiLevelType w:val="singleLevel"/>
    <w:tmpl w:val="24BD9FD8"/>
    <w:lvl w:ilvl="0" w:tentative="0">
      <w:start w:val="3"/>
      <w:numFmt w:val="chineseCounting"/>
      <w:suff w:val="nothing"/>
      <w:lvlText w:val="%1、"/>
      <w:lvlJc w:val="left"/>
      <w:rPr>
        <w:rFonts w:hint="eastAsia"/>
      </w:rPr>
    </w:lvl>
  </w:abstractNum>
  <w:abstractNum w:abstractNumId="4">
    <w:nsid w:val="3C1152DB"/>
    <w:multiLevelType w:val="singleLevel"/>
    <w:tmpl w:val="3C1152DB"/>
    <w:lvl w:ilvl="0" w:tentative="0">
      <w:start w:val="4"/>
      <w:numFmt w:val="chineseCounting"/>
      <w:suff w:val="space"/>
      <w:lvlText w:val="第%1章"/>
      <w:lvlJc w:val="left"/>
      <w:rPr>
        <w:rFonts w:hint="eastAsia"/>
      </w:rPr>
    </w:lvl>
  </w:abstractNum>
  <w:abstractNum w:abstractNumId="5">
    <w:nsid w:val="4EF4B42D"/>
    <w:multiLevelType w:val="singleLevel"/>
    <w:tmpl w:val="4EF4B42D"/>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jMjdhMzI5MjYwYjRlZDFmZTU2NjNhZmJlMDk4YzcifQ=="/>
  </w:docVars>
  <w:rsids>
    <w:rsidRoot w:val="271618D7"/>
    <w:rsid w:val="02986DD2"/>
    <w:rsid w:val="04D30654"/>
    <w:rsid w:val="05A66A8B"/>
    <w:rsid w:val="067B1C86"/>
    <w:rsid w:val="07502944"/>
    <w:rsid w:val="084F24D1"/>
    <w:rsid w:val="09B41737"/>
    <w:rsid w:val="0A8C30DF"/>
    <w:rsid w:val="0C5961D1"/>
    <w:rsid w:val="0CA8050C"/>
    <w:rsid w:val="0CAF1D74"/>
    <w:rsid w:val="0D0D7645"/>
    <w:rsid w:val="0E9B4435"/>
    <w:rsid w:val="14CD2FEA"/>
    <w:rsid w:val="14D56A06"/>
    <w:rsid w:val="166743C0"/>
    <w:rsid w:val="197D49EC"/>
    <w:rsid w:val="199724DC"/>
    <w:rsid w:val="19D35C0A"/>
    <w:rsid w:val="1A937147"/>
    <w:rsid w:val="1AAE3F81"/>
    <w:rsid w:val="1D0460DA"/>
    <w:rsid w:val="1D1247BD"/>
    <w:rsid w:val="1E5B441F"/>
    <w:rsid w:val="1EA5569B"/>
    <w:rsid w:val="214162C6"/>
    <w:rsid w:val="21CC3D6A"/>
    <w:rsid w:val="22A45464"/>
    <w:rsid w:val="230010F2"/>
    <w:rsid w:val="23F85E16"/>
    <w:rsid w:val="24220526"/>
    <w:rsid w:val="24481E5A"/>
    <w:rsid w:val="246102B6"/>
    <w:rsid w:val="24883AE0"/>
    <w:rsid w:val="271618D7"/>
    <w:rsid w:val="275E288B"/>
    <w:rsid w:val="2A932D53"/>
    <w:rsid w:val="2AAD6558"/>
    <w:rsid w:val="2AE42B12"/>
    <w:rsid w:val="2B0417C7"/>
    <w:rsid w:val="2B601FFC"/>
    <w:rsid w:val="2C475627"/>
    <w:rsid w:val="2D12214D"/>
    <w:rsid w:val="2DBB29D7"/>
    <w:rsid w:val="2EC92CDF"/>
    <w:rsid w:val="2ECC4352"/>
    <w:rsid w:val="2FA4314E"/>
    <w:rsid w:val="32A371AB"/>
    <w:rsid w:val="33296443"/>
    <w:rsid w:val="335334BF"/>
    <w:rsid w:val="343958E4"/>
    <w:rsid w:val="374675C3"/>
    <w:rsid w:val="37BF7375"/>
    <w:rsid w:val="38683569"/>
    <w:rsid w:val="38CB2AF3"/>
    <w:rsid w:val="38F02439"/>
    <w:rsid w:val="39094D4C"/>
    <w:rsid w:val="396B5F51"/>
    <w:rsid w:val="3BB23479"/>
    <w:rsid w:val="3BBA7C64"/>
    <w:rsid w:val="3EA6303D"/>
    <w:rsid w:val="3F044DF5"/>
    <w:rsid w:val="3F422CCB"/>
    <w:rsid w:val="40610FCA"/>
    <w:rsid w:val="42151D04"/>
    <w:rsid w:val="4226071D"/>
    <w:rsid w:val="43460854"/>
    <w:rsid w:val="43523F59"/>
    <w:rsid w:val="43AE5A05"/>
    <w:rsid w:val="446C2633"/>
    <w:rsid w:val="465D0485"/>
    <w:rsid w:val="472C632B"/>
    <w:rsid w:val="48AD75D0"/>
    <w:rsid w:val="49F87986"/>
    <w:rsid w:val="4BE550DB"/>
    <w:rsid w:val="4D826A23"/>
    <w:rsid w:val="4E104694"/>
    <w:rsid w:val="4F0B6054"/>
    <w:rsid w:val="50515082"/>
    <w:rsid w:val="51AA2062"/>
    <w:rsid w:val="52441E05"/>
    <w:rsid w:val="54906F66"/>
    <w:rsid w:val="54C850B3"/>
    <w:rsid w:val="55BC2683"/>
    <w:rsid w:val="56B83A9F"/>
    <w:rsid w:val="5726041F"/>
    <w:rsid w:val="58C223CA"/>
    <w:rsid w:val="597154A5"/>
    <w:rsid w:val="59F91E1B"/>
    <w:rsid w:val="5CB3418B"/>
    <w:rsid w:val="5CD958C2"/>
    <w:rsid w:val="5D003E2B"/>
    <w:rsid w:val="5D1256CE"/>
    <w:rsid w:val="5D52630E"/>
    <w:rsid w:val="5D64521D"/>
    <w:rsid w:val="5E463BD3"/>
    <w:rsid w:val="5E6C077E"/>
    <w:rsid w:val="5F1857D3"/>
    <w:rsid w:val="5FEB6624"/>
    <w:rsid w:val="60471B32"/>
    <w:rsid w:val="60B85C08"/>
    <w:rsid w:val="60FB291D"/>
    <w:rsid w:val="61B03707"/>
    <w:rsid w:val="620D3742"/>
    <w:rsid w:val="62337177"/>
    <w:rsid w:val="633D546F"/>
    <w:rsid w:val="63B45BFA"/>
    <w:rsid w:val="63E91153"/>
    <w:rsid w:val="65256A9F"/>
    <w:rsid w:val="65DC544B"/>
    <w:rsid w:val="65F33B34"/>
    <w:rsid w:val="661236F7"/>
    <w:rsid w:val="68757459"/>
    <w:rsid w:val="696C085C"/>
    <w:rsid w:val="6B5E5F82"/>
    <w:rsid w:val="6C3B62C3"/>
    <w:rsid w:val="6CB53F75"/>
    <w:rsid w:val="6CE76B44"/>
    <w:rsid w:val="6E2C05BA"/>
    <w:rsid w:val="6E5A5587"/>
    <w:rsid w:val="6F12311E"/>
    <w:rsid w:val="6FDA0E73"/>
    <w:rsid w:val="7013222D"/>
    <w:rsid w:val="707D06D3"/>
    <w:rsid w:val="70A703CB"/>
    <w:rsid w:val="72D66D46"/>
    <w:rsid w:val="734C4114"/>
    <w:rsid w:val="73504D4A"/>
    <w:rsid w:val="73D2750D"/>
    <w:rsid w:val="76036736"/>
    <w:rsid w:val="769B6E27"/>
    <w:rsid w:val="76F90D9A"/>
    <w:rsid w:val="779A38C8"/>
    <w:rsid w:val="79A8143C"/>
    <w:rsid w:val="7A500897"/>
    <w:rsid w:val="7A984CF8"/>
    <w:rsid w:val="7D974D3C"/>
    <w:rsid w:val="7E927FC5"/>
    <w:rsid w:val="7EAF0B77"/>
    <w:rsid w:val="7F1C3D32"/>
    <w:rsid w:val="7F8A2479"/>
    <w:rsid w:val="7FD14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autoRedefine/>
    <w:unhideWhenUsed/>
    <w:qFormat/>
    <w:uiPriority w:val="0"/>
    <w:pPr>
      <w:keepNext/>
      <w:keepLines/>
      <w:spacing w:before="260" w:beforeLines="0" w:after="260" w:afterLines="0" w:line="413" w:lineRule="auto"/>
      <w:jc w:val="center"/>
      <w:outlineLvl w:val="1"/>
    </w:pPr>
    <w:rPr>
      <w:rFonts w:ascii="Arial" w:hAnsi="Arial" w:eastAsia="黑体"/>
      <w:b/>
      <w:sz w:val="32"/>
    </w:rPr>
  </w:style>
  <w:style w:type="paragraph" w:styleId="6">
    <w:name w:val="heading 3"/>
    <w:basedOn w:val="1"/>
    <w:next w:val="1"/>
    <w:autoRedefine/>
    <w:unhideWhenUsed/>
    <w:qFormat/>
    <w:uiPriority w:val="0"/>
    <w:pPr>
      <w:keepNext/>
      <w:keepLines/>
      <w:numPr>
        <w:ilvl w:val="0"/>
        <w:numId w:val="1"/>
      </w:numPr>
      <w:spacing w:before="157" w:beforeLines="50" w:after="157" w:afterLines="50" w:line="560" w:lineRule="exact"/>
      <w:outlineLvl w:val="2"/>
    </w:pPr>
    <w:rPr>
      <w:rFonts w:ascii="楷体" w:hAnsi="楷体" w:eastAsia="楷体" w:cs="楷体"/>
      <w:b/>
      <w:sz w:val="32"/>
    </w:rPr>
  </w:style>
  <w:style w:type="paragraph" w:styleId="7">
    <w:name w:val="heading 4"/>
    <w:basedOn w:val="1"/>
    <w:next w:val="1"/>
    <w:link w:val="18"/>
    <w:autoRedefine/>
    <w:unhideWhenUsed/>
    <w:qFormat/>
    <w:uiPriority w:val="0"/>
    <w:pPr>
      <w:keepNext/>
      <w:keepLines/>
      <w:numPr>
        <w:ilvl w:val="0"/>
        <w:numId w:val="2"/>
      </w:numPr>
      <w:spacing w:before="157" w:beforeLines="50" w:after="157" w:afterLines="50" w:line="560" w:lineRule="exact"/>
      <w:ind w:firstLine="562" w:firstLineChars="200"/>
      <w:outlineLvl w:val="3"/>
    </w:pPr>
    <w:rPr>
      <w:rFonts w:ascii="仿宋" w:hAnsi="仿宋" w:eastAsia="仿宋" w:cs="仿宋"/>
      <w:b/>
      <w:sz w:val="28"/>
      <w:szCs w:val="28"/>
    </w:rPr>
  </w:style>
  <w:style w:type="paragraph" w:styleId="8">
    <w:name w:val="heading 5"/>
    <w:basedOn w:val="1"/>
    <w:next w:val="1"/>
    <w:link w:val="17"/>
    <w:autoRedefine/>
    <w:unhideWhenUsed/>
    <w:qFormat/>
    <w:uiPriority w:val="0"/>
    <w:pPr>
      <w:keepNext/>
      <w:keepLines/>
      <w:spacing w:before="157" w:beforeLines="50" w:after="157" w:afterLines="50" w:line="560" w:lineRule="exact"/>
      <w:ind w:firstLine="562" w:firstLineChars="200"/>
      <w:outlineLvl w:val="4"/>
    </w:pPr>
    <w:rPr>
      <w:rFonts w:ascii="仿宋" w:hAnsi="仿宋" w:eastAsia="仿宋" w:cs="仿宋"/>
      <w:b/>
      <w:sz w:val="28"/>
    </w:rPr>
  </w:style>
  <w:style w:type="character" w:default="1" w:styleId="16">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customStyle="1" w:styleId="2">
    <w:name w:val="BodyText"/>
    <w:basedOn w:val="3"/>
    <w:autoRedefine/>
    <w:qFormat/>
    <w:uiPriority w:val="0"/>
    <w:pPr>
      <w:jc w:val="both"/>
      <w:textAlignment w:val="baseline"/>
    </w:pPr>
    <w:rPr>
      <w:rFonts w:ascii="Calibri" w:hAnsi="Calibri" w:eastAsia="宋体"/>
      <w:kern w:val="2"/>
      <w:sz w:val="21"/>
      <w:szCs w:val="24"/>
      <w:lang w:val="en-US" w:eastAsia="zh-CN" w:bidi="ar-SA"/>
    </w:rPr>
  </w:style>
  <w:style w:type="paragraph" w:customStyle="1" w:styleId="3">
    <w:name w:val="正文 New New New New"/>
    <w:next w:val="2"/>
    <w:autoRedefine/>
    <w:qFormat/>
    <w:uiPriority w:val="0"/>
    <w:pPr>
      <w:widowControl w:val="0"/>
      <w:spacing w:after="200" w:line="288" w:lineRule="auto"/>
      <w:jc w:val="both"/>
    </w:pPr>
    <w:rPr>
      <w:rFonts w:ascii="Calibri" w:hAnsi="Calibri" w:eastAsia="宋体" w:cs="Times New Roman"/>
      <w:kern w:val="2"/>
      <w:sz w:val="21"/>
      <w:szCs w:val="24"/>
      <w:lang w:val="en-US" w:eastAsia="zh-CN" w:bidi="ar-SA"/>
    </w:rPr>
  </w:style>
  <w:style w:type="paragraph" w:styleId="9">
    <w:name w:val="toc 3"/>
    <w:basedOn w:val="1"/>
    <w:next w:val="1"/>
    <w:autoRedefine/>
    <w:qFormat/>
    <w:uiPriority w:val="0"/>
    <w:pPr>
      <w:ind w:left="840" w:leftChars="400"/>
    </w:p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qFormat/>
    <w:uiPriority w:val="0"/>
  </w:style>
  <w:style w:type="paragraph" w:styleId="13">
    <w:name w:val="toc 2"/>
    <w:basedOn w:val="1"/>
    <w:next w:val="1"/>
    <w:autoRedefine/>
    <w:qFormat/>
    <w:uiPriority w:val="0"/>
    <w:pPr>
      <w:ind w:left="420" w:leftChars="200"/>
    </w:p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customStyle="1" w:styleId="17">
    <w:name w:val="标题 5 Char"/>
    <w:link w:val="8"/>
    <w:autoRedefine/>
    <w:qFormat/>
    <w:uiPriority w:val="0"/>
    <w:rPr>
      <w:rFonts w:ascii="仿宋" w:hAnsi="仿宋" w:eastAsia="仿宋" w:cs="仿宋"/>
      <w:b/>
      <w:sz w:val="28"/>
    </w:rPr>
  </w:style>
  <w:style w:type="character" w:customStyle="1" w:styleId="18">
    <w:name w:val="标题 4 Char"/>
    <w:link w:val="7"/>
    <w:autoRedefine/>
    <w:qFormat/>
    <w:uiPriority w:val="0"/>
    <w:rPr>
      <w:rFonts w:ascii="仿宋" w:hAnsi="仿宋" w:eastAsia="仿宋" w:cs="仿宋"/>
      <w:b/>
      <w:sz w:val="28"/>
      <w:szCs w:val="28"/>
    </w:rPr>
  </w:style>
  <w:style w:type="paragraph" w:customStyle="1" w:styleId="19">
    <w:name w:val="WPSOffice手动目录 1"/>
    <w:autoRedefine/>
    <w:qFormat/>
    <w:uiPriority w:val="0"/>
    <w:pPr>
      <w:ind w:leftChars="0"/>
    </w:pPr>
    <w:rPr>
      <w:rFonts w:ascii="Times New Roman" w:hAnsi="Times New Roman" w:eastAsia="宋体" w:cs="Times New Roman"/>
      <w:sz w:val="20"/>
      <w:szCs w:val="20"/>
    </w:rPr>
  </w:style>
  <w:style w:type="paragraph" w:customStyle="1" w:styleId="20">
    <w:name w:val="WPSOffice手动目录 2"/>
    <w:autoRedefine/>
    <w:qFormat/>
    <w:uiPriority w:val="0"/>
    <w:pPr>
      <w:ind w:leftChars="200"/>
    </w:pPr>
    <w:rPr>
      <w:rFonts w:ascii="Times New Roman" w:hAnsi="Times New Roman" w:eastAsia="宋体" w:cs="Times New Roman"/>
      <w:sz w:val="20"/>
      <w:szCs w:val="20"/>
    </w:rPr>
  </w:style>
  <w:style w:type="paragraph" w:customStyle="1" w:styleId="21">
    <w:name w:val="WPSOffice手动目录 3"/>
    <w:autoRedefine/>
    <w:qFormat/>
    <w:uiPriority w:val="0"/>
    <w:pPr>
      <w:ind w:leftChars="400"/>
    </w:pPr>
    <w:rPr>
      <w:rFonts w:ascii="Times New Roman" w:hAnsi="Times New Roman" w:eastAsia="宋体" w:cs="Times New Roman"/>
      <w:sz w:val="20"/>
      <w:szCs w:val="20"/>
    </w:rPr>
  </w:style>
  <w:style w:type="paragraph" w:customStyle="1" w:styleId="22">
    <w:name w:val="样式 样式 左侧:  2 字符 + 左侧:  0.85 厘米 首行缩进:  2 字符1"/>
    <w:basedOn w:val="1"/>
    <w:autoRedefine/>
    <w:qFormat/>
    <w:uiPriority w:val="0"/>
    <w:pPr>
      <w:ind w:left="482" w:firstLine="200" w:firstLineChars="200"/>
    </w:pPr>
    <w:rPr>
      <w:rFonts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19972</Words>
  <Characters>20150</Characters>
  <Lines>0</Lines>
  <Paragraphs>0</Paragraphs>
  <TotalTime>3</TotalTime>
  <ScaleCrop>false</ScaleCrop>
  <LinksUpToDate>false</LinksUpToDate>
  <CharactersWithSpaces>20300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2025-03-05T14:37:00Z</dcterms:created>
  <dc:creator>厚学</dc:creator>
  <cp:lastModifiedBy>孟文豪</cp:lastModifiedBy>
  <cp:lastPrinted>2025-06-03T08:16:00Z</cp:lastPrinted>
  <dcterms:modified xsi:type="dcterms:W3CDTF">2025-06-04T12:08:16Z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0E650026FAAE4A3DA29524E6EDA353AE_13</vt:lpwstr>
  </property>
  <property fmtid="{D5CDD505-2E9C-101B-9397-08002B2CF9AE}" pid="4" name="KSOTemplateDocerSaveRecord">
    <vt:lpwstr>eyJoZGlkIjoiZjI0YmY3YmNjOWJlMzlhODIxYmFkMzZiYTFkMDQwODAiLCJ1c2VySWQiOiI0MjgxNTg0MzEifQ==</vt:lpwstr>
  </property>
</Properties>
</file>