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博政办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字〔2022〕8号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博山区人民政府办公室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关于印发博山区整县制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屋顶分布式光伏规模化开发试点工作方案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各镇人民政府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街道办事处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开发区管委会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政府有关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部门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有关单位：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《博山区整县制屋顶分布式光伏规模化开发试点工作方案》已经区政府同意，现印发给你们，请认真贯彻执行。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firstLine="64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firstLine="64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firstLine="4806" w:firstLineChars="1502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博山区人民政府办公室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firstLine="5126" w:firstLineChars="1602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2022年3月29日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（此件公开发布）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博山区整县制屋顶分布式光伏规模化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开发试点工作方案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推动可再生能源高质量发展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是构建以新能源为主体新型电力系统的重要举措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是实现“碳达峰、碳中和”战略目标的必由之路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开展整县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屋顶分布式光伏规模化开发试点(以下简称“整县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开发试点”)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可以拓展可再生能源开发新领域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对助推美丽乡村建设意义重大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按照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上级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有关工作部署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为科学谋划、高效推动我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整县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开发试点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，现结合工作实际，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制定本工作方案。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一、总体要求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指导思想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以习近平新时代中国特色社会主义思想为指导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深入贯彻党的十九大和十九届二中、三中、四中、五中、六中全会精神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落实“碳达峰、碳中和”战略目标任务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开展整县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制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开发试点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工作，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拓展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域绿色能源发展空间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积极推动可再生能源替代行动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加快构建以新能源为主体的新型电力系统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我区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实施乡村振兴战略提供坚强支撑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（二）试点原则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1.政府组织、市场运作。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政府牵头组织推动试点工作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协调解决工作推进中遇到的问题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营造良好营商环境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搭建政企联动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的工作推进机制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政府组织推动和市场化运作相统筹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发挥市场主导作用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支持各类市场主体参与整县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制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分布式光伏开发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。区发展和改革局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负责调度督促推进试点工作落实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2.群众自愿、利益共享。各镇（街道）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相关部门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，村级组织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要密切联系群众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主动作为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充分发挥基层党组织战斗堡垒作用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加强宣传引导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在群众自愿、互利共赢的基础上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公平公正、积极稳妥推进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工作。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结合美丽乡村建设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鼓励为群众多做力所能及的实事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3.统一规划、循序渐进。倡导光伏建筑融合发展理念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坚持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整县制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统一规划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综合房屋质量、使用安全、寿命期限、园区建设等因素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因地制宜、依法合规确定屋顶分布式光伏开发方式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选择建设条件好、组织能力强、群众响应积极的村镇率先启动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鼓励党员干部带头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由点到面、循序渐进推动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4.就地消纳、多能互补。按照“源网荷储一体化”理念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明确整县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制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分布式光伏“集中开发汇集、就地就近消纳”为主的实施路径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综合考虑电网消纳能力、95%的利用率、不向220千伏及以上电网反送电、不超过本区域全年最大用电负荷60%的要求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，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落实就地就近消纳要求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，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原则上分布式光伏电力在接入电压等级及以下电网范围内消纳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。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整县（市、区）屋顶分布式光伏配建或租赁不低于15%、2小时的储能设施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，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当电网消纳能力不足时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，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应提高储能配置比例及充放电时长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，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确保分布式光伏就地就近消纳、满足95%利用率要求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5.健全标准、安全美观。加强顶层设计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统一建设标准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梯次组织实施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对于新建、改扩建建筑物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特别是党政机关和公共建筑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鼓励按照光伏建筑一体化同步设计实施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对于结合既有建筑开发建设的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要做好设计复核和结构加固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确保承载体结构安全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建设过程不得破坏防水、保温等原有结构层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避免发生渗漏、裂缝等问题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强化质量控制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加大宣传引导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确保项目建设、并网、运行的全流程安全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服务美丽乡村建设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提高屋顶光伏与建筑的融合度和开发美观度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thick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（三）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任务目标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到“十四五”末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整县(市、区)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屋顶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分布式光伏规模化开发容量达到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万千瓦以上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总开发规模达到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万千瓦以上。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.在推进整县制屋顶分布式光伏工作的同时，结合《淄博市光伏规模化开发实施方案》要求，实施“光伏+工业”“光伏+商业”“光伏+农业”“光伏+公共建筑”“光伏+农村、社区”以及“光伏+交通”等六大工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现有党政机关建筑屋顶按总面积安装光伏的比例不低于50%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学校、医院等公共建筑屋顶按总面积安装光伏的比例不低于40%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工商业厂房屋顶按总面积安装光伏的比例不低于30%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农村居民屋顶按总面积安装光伏的比例不低于20%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二、重点任务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（一）加强统筹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运营管理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坚持市场主导，搭建统一建设运营平台，鼓励综合实力强，业绩突出，市场信誉良好的驻地央企等开发企业牵头，联合优质光伏行业开发商，设备制造商和安装服务商等以市场化模式共同参与开发。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（责任单位：区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发展和改革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局、博山供电中心、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投资开发运营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企业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二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摸排屋顶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资源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底数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各公共资源主管部门负责摸排辖区内现有的学校、医院、银行、党政机关办公用房、文化艺术中心等公共建筑屋顶资源，按照直接可建、改建加装等进行分类，按照难易程度，分步推进屋顶加装光伏项目实施。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屋顶资源摸排工作，按照“谁主管、谁负责、属地统筹”的原则，分工负责，详细摸排主管辖区内屋顶可利用光伏资源。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{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责任单位：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区级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党政机关屋顶资源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摸排，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由区政府办公室、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区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财政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局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负责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；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学校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〔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包括区属、镇（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街道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）〕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屋顶资源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摸排，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由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区教育和体育局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负责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；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医院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〔包括区属以上、镇（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街道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）、民营〕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屋顶资源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摸排，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由区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卫生健康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局负责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；城区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大型超市、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餐饮、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酒店屋顶资源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摸排，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由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山头街道、城东街道、城西街道牵头，区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商务局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区文化和旅游局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、区服务业发展中心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配合；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工商贸企业屋顶资源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摸排，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由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各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镇（街道）牵头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区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工业和信息化局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区商务局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配合；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银行业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屋顶资源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摸排，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由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区地方金融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监督管理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局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牵头，各镇（街道）配合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；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城区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居民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楼房屋顶资源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摸排，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由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山头街道、城东街道、城西街道、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域城镇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牵头，区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住房保障服务中心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配合；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镇（街道）、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村委会（社区）办公楼房和村（社区）居民屋顶资源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摸排，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由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各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镇（街道）负责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}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）实施“光伏+”六大工程建设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1.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</w:rPr>
        <w:t>实施“光伏+工业”工程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</w:rPr>
        <w:t>在工业园区、科技园区、标准厂房等屋顶集中建设光伏设施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</w:rPr>
        <w:t>打造分布式光伏示范区。新建工业厂房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及配套用房，根据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</w:rPr>
        <w:t>同步设计、同步实施的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要求，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</w:rPr>
        <w:t>按照“宜建尽建”的原则均明确屋顶分布式光伏发电项目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建设要求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</w:rPr>
        <w:t>。在满足安全生产的前提下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</w:rPr>
        <w:t>现有年综合能耗超过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</w:rPr>
        <w:t>000吨标准煤且具备建设屋顶光伏发电条件的企业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</w:rPr>
        <w:t>要利用屋顶配套建设光伏发电项目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，提高绿色能源使用率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</w:rPr>
        <w:t>。既有、新建工业厂房可利用的建筑屋顶安装比例分别达到30%和80%。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〔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牵头单位：各镇（街道）、开发区；配合单位：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区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工业和信息化局、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区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发展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和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改革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局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、区自然资源局、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区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行政审批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服务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局、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博山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规划管理办公室、博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山供电中心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投资开发运营企业〕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2.</w:t>
      </w:r>
      <w:r>
        <w:rPr>
          <w:rStyle w:val="8"/>
          <w:rFonts w:hint="default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实施“光伏+商业”工程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</w:rPr>
        <w:t>在商业综合体、大型超市、宾馆、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饭店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</w:rPr>
        <w:t>、会展中心、仓储物流园区、商务写字楼、加油站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（综合能源港）、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</w:rPr>
        <w:t>游客集散中心等屋顶建设光伏设施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</w:rPr>
        <w:t>各类商业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设施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</w:rPr>
        <w:t>可利用的建筑屋顶安装比例达到40%以上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。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〔牵头单位：各镇（街道）、开发区；配合单位：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区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商务局、区文化和旅游局、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区服务业发展中心、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博山供电中心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投资开发运营企业〕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3.</w:t>
      </w:r>
      <w:r>
        <w:rPr>
          <w:rStyle w:val="8"/>
          <w:rFonts w:hint="default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实施“光伏+农业”工程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</w:rPr>
        <w:t>在蔬菜、瓜果等农作物塑料大棚上方建设光伏设施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</w:rPr>
        <w:t>支持在农作物育苗、花卉种植等农作物玻璃棚顶建设光伏发电系统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</w:rPr>
        <w:t>满足大棚保温、灌溉、照明补光等电力需求。在畜牧、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渔业、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</w:rPr>
        <w:t>家禽养殖基地利用养殖棚舍屋顶、管理用房屋顶、可利用空地等建设光伏设施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</w:rPr>
        <w:t>打造生态养殖基地。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农业领域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</w:rPr>
        <w:t>屋顶安装比例达到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</w:rPr>
        <w:t>%以上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。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〔牵头单位：各镇（街道）、开发区；配合单位：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区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农业农村局、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博山供电中心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投资开发运营企业〕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4.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</w:rPr>
        <w:t>实施“光伏+公共建筑”工程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各级党政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sz w:val="32"/>
          <w:szCs w:val="32"/>
        </w:rPr>
        <w:t>机关、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中小学校、医院等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sz w:val="32"/>
          <w:szCs w:val="32"/>
        </w:rPr>
        <w:t>事业单位利用屋顶及车棚顶建设光伏设施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，带动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sz w:val="32"/>
          <w:szCs w:val="32"/>
        </w:rPr>
        <w:t>清洁能源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示范应用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sz w:val="32"/>
          <w:szCs w:val="32"/>
        </w:rPr>
        <w:t>各类公共体育馆、城市展览馆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等公共机构和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sz w:val="32"/>
          <w:szCs w:val="32"/>
        </w:rPr>
        <w:t>自来水厂、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</w:rPr>
        <w:t>污水处理厂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、汽车站、火车站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</w:rPr>
        <w:t>等公共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建筑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</w:rPr>
        <w:t>利用屋顶及车棚顶建设光伏设施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</w:rPr>
        <w:t>公共建筑可利用的建筑屋顶安装比例达到50%以上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。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〔牵头单位：各镇（街道）、开发区；配合单位：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区政府办公室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区教育和体育局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区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住房和城乡建设局、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区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卫生健康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局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、区综合行政执法局、博山供电中心、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投资开发运营企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业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〕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5.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</w:rPr>
        <w:t>实施“光伏+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农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</w:rPr>
        <w:t>村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、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</w:rPr>
        <w:t>社区”工程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</w:rPr>
        <w:t>结合美丽乡村建设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，利用村委会屋顶及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</w:rPr>
        <w:t>村民房屋顶和周边空地建设光伏设施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</w:rPr>
        <w:t>支持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农村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</w:rPr>
        <w:t>光伏垃圾箱、光伏路灯、光伏指示牌建设与推广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</w:rPr>
        <w:t>加快清洁能源在农村普及与发展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</w:rPr>
        <w:t>打造一批光伏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示范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</w:rPr>
        <w:t>村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。农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</w:rPr>
        <w:t>村可利用的建筑屋顶安装比例达到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。加大城市既有小区屋顶光伏加装改造力度，积极推进新建小区屋顶光伏一体化推进。城市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</w:rPr>
        <w:t>小区建筑屋顶安装比例达到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。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〔牵头单位：各镇（街道）、开发区；配合单位：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区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农业农村局、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区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住房和城乡建设局、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博山供电中心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投资开发运营企业〕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6.</w:t>
      </w:r>
      <w:r>
        <w:rPr>
          <w:rStyle w:val="8"/>
          <w:rFonts w:hint="default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实施“光伏+交通”工程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</w:rPr>
        <w:t>在高速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公路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</w:rPr>
        <w:t>收费站、服务区、公交站台等建设光伏设施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绿色能源使用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</w:rPr>
        <w:t>。在路灯、交通信号灯、交通指示牌等交通设施领域推动光伏应用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</w:rPr>
        <w:t>打造绿色智慧交通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。交通领域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</w:rPr>
        <w:t>可利用的建筑屋顶安装比例达到50%以上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。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〔牵头单位：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区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交通运输局；配合单位：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区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住房和城乡建设局、区综合行政执法局、各镇（街道）、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开发区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、博山供电中心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投资开发运营企业〕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）科学规划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总体布局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结合工作实际，科学规划分布式光伏项目建设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在前期摸底的基础上进一步明确可建区域及屋顶条件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对涉及城市景观、规划红线等问题提供指导约束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注重和谐美观，实现光伏设施与建筑物的和谐统一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保障城乡景观风貌。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〔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牵头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单位：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区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住房和城乡建设局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、区综合行政执法局、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博山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规划管理办公室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；配合单位：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各镇（街道）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、开发区，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投资开发运营企业〕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五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）完善配网接入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运行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供电中心加大对配电网升级改造力度，切实保障光伏大规模接入需求，在做到“应接尽接”的同时确保电网安全稳定运行。根据光伏发电消纳的实际情况，提高光伏储能能力。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（责任单位：区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发展和改革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局、博山供电中心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投资开发运营企业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六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）确保工程质量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管控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光伏开发主体须严格按照屋顶光伏建设技术标准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加强规划、设计、建设、并网、运维等工作管理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选择高水平专业设计、施工、监理队伍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采用相对统一的建设安装标准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严把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安全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质量关，牢牢守住安全和质量底线，确保建设任务平稳有序推进。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〔责任单位：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各领导小组成员单位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，各镇（街道）、开发区，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投资开发运营企业〕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（七）推广智慧运营维护。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根据上级工作部署和要求，强化“云大物移智链”技术应用，推广整县制分布式光伏智能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化运维管理平台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建设，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积极构建适应高比例可再生能源的新型县域电网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建立专业运维队伍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专职负责项目全寿命周期运维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责任单位：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博山供电中心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投资开发运营企业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八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加强安全管理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控制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坚持安全管理“三个必须”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按照“谁审批、谁负责”原则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将安全管理落实到光伏及其附属设施、储能、配套送出工程建设和运维各个环节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压实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各镇（街道）、开发区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属地监管责任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加强日常监督管理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确保既有建筑物结构安全和使用功能不受影响。建立健全规章制度，加强宣传培训，确保规模化开发运营安全。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〔责任单位：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各镇（街道）、开发区，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投资开发运营企业〕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三、实施步骤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按照“政府组织、市场运作、试点示范、逐步推进”工作思路，积极有序推进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整县制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开发试点。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试点起步阶段。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按照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《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山东省整县(市、区)屋顶分布式光伏规模化开发试点工作方案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》，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编制完成分布式光伏规模化开发规划；2022年6月底前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选择一些基础条件好的党政机关建筑、公共建筑、工商业厂房、农村居民屋顶，打造不同场景下的开发样板。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（二）优化成型阶段。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年下半年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，根据上级工作安排部署，参与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试点县(市、区)开发样板评优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优化提升开发标准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；积极参与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全省组织开展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评估和现场观摩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总结交流开发经验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形成较为成熟的不同类型屋顶光伏的建设运营模式，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积极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推广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（三）达标推广阶段。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2023年底前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力争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达到国家规定试点标准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列入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省级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整县(市、区)屋顶分布式光伏开发示范县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2025年底前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力争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列入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国家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级示范县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同时，总结评估各镇（街道）推进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整县制开发试点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过程中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在规划建设、接网服务、电力消纳、智慧运维、能源综合利用等方面的典型经验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形成一套成熟稳定的开发运营商业模式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在全区范围内推广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四、保障措施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（一）落实属地责任。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各镇（街道）、开发区要把光伏发电作为能源结构调整的重中之重，狠抓落实推进。一是要选择投资实力雄厚、具备专业运维能力的实施主体参与光伏项目开发建设，实施主体建成后运维期原则上不得低于10年，坚决杜绝坑农问题发生。支持对光伏项目温室气体减排效果量化核证，积极探索已建和在建光伏项目所含碳指标使用路径。二是要做好宣传引导，提高辖区内有屋顶资源的单位安装光伏的积极性，党政机关等公共建筑要发挥带头作用，应装尽装。三是要推进光伏发电项目规范高效审批，加快项目备案、并网审核等手续办理。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〔责任单位：各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镇（街道）、开发区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负责〕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（二）压实部门责任。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直各相关部门要充分发挥各自职能，相互配合，形成合力，加快推进光伏发电规模化发展。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发展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改革部门牵头负责统筹推动全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光伏发电工作；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教体、工信、商务、农业农村、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文旅、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卫健、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服务业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银行、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机关事务管理等部门负责本行业领域光伏发电推广应用工作，稳步推进“光伏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+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”六大工程建设。到“十四五”末，各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镇（街道）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、各行业领域建筑屋顶安装光伏比例达到本方案规定的目标要求，并按要求配备储能设施；2021—2025年，各年度任务应不低于“十四五”总任务的1／5，并纳入年度考核。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生态环境部门负责做好新建光伏项目避让生态保护红线审核工作。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住建部门负责建筑光伏一体化推广应用工作。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行政审批部门负责对全市集中式光伏电站、分布式光伏项目备案工作建立审批并网绿色通道，并加强与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发展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改革部门会商沟通。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供电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中心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负责加强配套电网建设改造、项目并网敞口消纳及日常运行管理和安全稳定运行。其他有关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直部门、单位按职责配合做好光伏推进相关工作。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（责任单位：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区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直有关部门按职责分工负责）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（三）压实建设单位主体责任。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各光伏发电实施单位（建设单位）必须具备相关资质，规范办理有关手续，并严格项目规范化施工建设，按照规定标准进行设计、安装、维护和监管，项目选址、依托建筑必须合法合规。要加强光伏项目安全管理，将安全管理落实到光伏及其附属设施，储能、配套送出工程建设和运维各个环节。必须充分考虑建筑屋顶防风、防火和安全承载等因素，光伏组建离安装屋顶面垂直高度不得高于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1.5米，不得影响相邻建筑物日照标准，光伏支架必须为铝合金、不锈钢等防腐防锈材质，屋面原则上须封闭管理。投资主体要专门成立运维公司，做好光伏安装后期运行维护保障工作。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〔责任单位：各镇（街道）、开发区，投资开发运营企业〕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（四）强化监督责任。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区发展和改革局作为牵头部门，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建立月调度、季督查和半年通报制度，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加强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对各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镇（街道）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及相关部门光伏开发情况进行定期调度、定期督导、定期通报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sz w:val="32"/>
          <w:szCs w:val="32"/>
          <w:u w:val="none"/>
          <w:lang w:eastAsia="zh-CN"/>
        </w:rPr>
        <w:t>。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（责任单位：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区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发展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和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改革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局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）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附件：博山区整县制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屋顶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分布式光伏推进工作领导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84"/>
          <w:szCs w:val="84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博山区整县制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屋顶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分布式光伏推进工作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领导小组名单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组  长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 xml:space="preserve">李  战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区委常委、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区政府副区长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副组长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王  雷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区政府办公室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1920" w:firstLineChars="600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李绪涛  区发展和改革局局长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成  员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孙雪红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区教育和体育局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1920" w:firstLineChars="6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 xml:space="preserve">高  波  区工业和信息化局局长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1920" w:firstLineChars="6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 xml:space="preserve">  区财政局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            翟所信  区自然资源局局长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1920" w:firstLineChars="6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亓志伟  区住房和城乡建设局局长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1920" w:firstLineChars="600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刘持庆  区交通运输局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1920" w:firstLineChars="600"/>
        <w:textAlignment w:val="auto"/>
        <w:outlineLvl w:val="9"/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 xml:space="preserve">  区农业农村局局长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1920" w:firstLineChars="600"/>
        <w:textAlignment w:val="auto"/>
        <w:outlineLvl w:val="9"/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 xml:space="preserve">  区商务局局长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1920" w:firstLineChars="6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刘莲静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 xml:space="preserve">  区文化和旅游局局长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1920" w:firstLineChars="6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李爱红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 xml:space="preserve">  区卫生健康局局长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1920" w:firstLineChars="600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刘宣庆  区行政审批服务局局长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1920" w:firstLineChars="600"/>
        <w:textAlignment w:val="auto"/>
        <w:outlineLvl w:val="9"/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 xml:space="preserve">  区综合行政执法局局长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1920" w:firstLineChars="6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飞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 xml:space="preserve">  区地方金融监督管理局局长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1920" w:firstLineChars="600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齐占亮  区服务业发展中心党组书记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1920" w:firstLineChars="600"/>
        <w:textAlignment w:val="auto"/>
        <w:outlineLvl w:val="9"/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 xml:space="preserve">范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彬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 xml:space="preserve">  区住房保障服务中心主任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1920" w:firstLineChars="600"/>
        <w:textAlignment w:val="auto"/>
        <w:outlineLvl w:val="9"/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翟  鹏  博山规划管理办公室主任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1920" w:firstLineChars="600"/>
        <w:textAlignment w:val="auto"/>
        <w:outlineLvl w:val="9"/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王  屹  国网淄博供电公司博山供电中心主任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1920" w:firstLineChars="6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贾友斌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 xml:space="preserve">  池上镇镇长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1920" w:firstLineChars="6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李晓剑  源泉镇镇长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1920" w:firstLineChars="6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哲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 xml:space="preserve">  博山镇镇长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1920" w:firstLineChars="6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吕金霞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 xml:space="preserve">  石马镇镇长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1920" w:firstLineChars="6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张君琪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 xml:space="preserve">  八陡镇镇长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1920" w:firstLineChars="6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唐  磊  域城镇镇长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1920" w:firstLineChars="6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 xml:space="preserve">  白塔镇镇长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1920" w:firstLineChars="6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 xml:space="preserve">  山头街道办事处主任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1920" w:firstLineChars="6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许乐意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 xml:space="preserve">  城东街道办事处主任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1920" w:firstLineChars="6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曲  欣  城西街道办事处主任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0"/>
          <w:sz w:val="32"/>
          <w:szCs w:val="32"/>
        </w:rPr>
        <w:t>领导小组办公室设在区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发展和改革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0"/>
          <w:sz w:val="32"/>
          <w:szCs w:val="32"/>
        </w:rPr>
        <w:t>局，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李绪涛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0"/>
          <w:sz w:val="32"/>
          <w:szCs w:val="32"/>
        </w:rPr>
        <w:t>同志兼任办公主任，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王长波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0"/>
          <w:sz w:val="32"/>
          <w:szCs w:val="32"/>
        </w:rPr>
        <w:t>同志兼任办公室副主任。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领导小组不作为区政府议事协调机构，工作任务完成后即行撤销。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color w:val="auto"/>
          <w:kern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firstLine="0" w:firstLineChars="0"/>
        <w:textAlignment w:val="auto"/>
        <w:rPr>
          <w:rFonts w:hint="eastAsia"/>
          <w:sz w:val="32"/>
          <w:szCs w:val="32"/>
        </w:rPr>
      </w:pPr>
    </w:p>
    <w:p>
      <w:pPr>
        <w:pBdr>
          <w:top w:val="single" w:color="auto" w:sz="6" w:space="1"/>
          <w:bottom w:val="single" w:color="auto" w:sz="6" w:space="1"/>
        </w:pBdr>
        <w:ind w:firstLine="280" w:firstLineChars="100"/>
        <w:rPr>
          <w:rFonts w:hint="eastAsia" w:ascii="Times New Roman" w:hAnsi="Times New Roman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28"/>
          <w:szCs w:val="28"/>
          <w:lang w:eastAsia="zh-CN"/>
        </w:rPr>
        <w:t>博山区人民政府</w:t>
      </w:r>
      <w:r>
        <w:rPr>
          <w:rFonts w:hint="eastAsia" w:ascii="Times New Roman" w:hAnsi="Times New Roman" w:eastAsia="仿宋_GB2312"/>
          <w:sz w:val="28"/>
          <w:szCs w:val="28"/>
        </w:rPr>
        <w:t xml:space="preserve">办公室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20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日印发</w:t>
      </w:r>
    </w:p>
    <w:sectPr>
      <w:footerReference r:id="rId3" w:type="default"/>
      <w:pgSz w:w="11906" w:h="16838"/>
      <w:pgMar w:top="2098" w:right="1474" w:bottom="1984" w:left="1587" w:header="851" w:footer="1701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?">
    <w:altName w:val="宋体"/>
    <w:panose1 w:val="02010600030101010101"/>
    <w:charset w:val="82"/>
    <w:family w:val="auto"/>
    <w:pitch w:val="default"/>
    <w:sig w:usb0="00000000" w:usb1="00000000" w:usb2="00000010" w:usb3="00000000" w:csb0="002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802A8"/>
    <w:rsid w:val="00790217"/>
    <w:rsid w:val="017E2A82"/>
    <w:rsid w:val="01AA1AC9"/>
    <w:rsid w:val="01BE7323"/>
    <w:rsid w:val="0286480C"/>
    <w:rsid w:val="02E410A6"/>
    <w:rsid w:val="039E1D7A"/>
    <w:rsid w:val="04785EAF"/>
    <w:rsid w:val="04A171B4"/>
    <w:rsid w:val="054D6171"/>
    <w:rsid w:val="057747FA"/>
    <w:rsid w:val="057C552B"/>
    <w:rsid w:val="05AD7DDA"/>
    <w:rsid w:val="05C07B0D"/>
    <w:rsid w:val="05D753C8"/>
    <w:rsid w:val="067B1C86"/>
    <w:rsid w:val="06C05392"/>
    <w:rsid w:val="06FF4665"/>
    <w:rsid w:val="0730481F"/>
    <w:rsid w:val="073836D3"/>
    <w:rsid w:val="073F4A62"/>
    <w:rsid w:val="079E26A3"/>
    <w:rsid w:val="08DF7466"/>
    <w:rsid w:val="09D50AEE"/>
    <w:rsid w:val="0A0B50CF"/>
    <w:rsid w:val="0A514413"/>
    <w:rsid w:val="0A77455B"/>
    <w:rsid w:val="0B7D3DAB"/>
    <w:rsid w:val="0BB84D66"/>
    <w:rsid w:val="0BE5207C"/>
    <w:rsid w:val="0C817D26"/>
    <w:rsid w:val="0D722AE9"/>
    <w:rsid w:val="0F283944"/>
    <w:rsid w:val="0F3063E9"/>
    <w:rsid w:val="0F87169C"/>
    <w:rsid w:val="0F987405"/>
    <w:rsid w:val="10DB771D"/>
    <w:rsid w:val="121A05A5"/>
    <w:rsid w:val="12323B41"/>
    <w:rsid w:val="126D2DCB"/>
    <w:rsid w:val="13190066"/>
    <w:rsid w:val="13274D28"/>
    <w:rsid w:val="13785584"/>
    <w:rsid w:val="13E470BD"/>
    <w:rsid w:val="14850303"/>
    <w:rsid w:val="14F370C2"/>
    <w:rsid w:val="14F41582"/>
    <w:rsid w:val="14F74BCE"/>
    <w:rsid w:val="163D0D06"/>
    <w:rsid w:val="16832BBD"/>
    <w:rsid w:val="16ED5115"/>
    <w:rsid w:val="177C4109"/>
    <w:rsid w:val="183103F7"/>
    <w:rsid w:val="19A5109C"/>
    <w:rsid w:val="19C63549"/>
    <w:rsid w:val="1AAB623F"/>
    <w:rsid w:val="1C105F78"/>
    <w:rsid w:val="1CD57751"/>
    <w:rsid w:val="1DC55117"/>
    <w:rsid w:val="1F066139"/>
    <w:rsid w:val="1F78269E"/>
    <w:rsid w:val="20476A09"/>
    <w:rsid w:val="20B41BC5"/>
    <w:rsid w:val="21066BA8"/>
    <w:rsid w:val="211C7E96"/>
    <w:rsid w:val="223905D4"/>
    <w:rsid w:val="2274145C"/>
    <w:rsid w:val="22786B01"/>
    <w:rsid w:val="228A0E2F"/>
    <w:rsid w:val="22E72BA6"/>
    <w:rsid w:val="23D43362"/>
    <w:rsid w:val="245416F5"/>
    <w:rsid w:val="246C62EA"/>
    <w:rsid w:val="24B61EB6"/>
    <w:rsid w:val="253B28B5"/>
    <w:rsid w:val="254F010E"/>
    <w:rsid w:val="2637307C"/>
    <w:rsid w:val="26D920E3"/>
    <w:rsid w:val="275E4C4C"/>
    <w:rsid w:val="27D754CF"/>
    <w:rsid w:val="28780B18"/>
    <w:rsid w:val="28AD5878"/>
    <w:rsid w:val="28AF4280"/>
    <w:rsid w:val="29363569"/>
    <w:rsid w:val="29A40D78"/>
    <w:rsid w:val="29E11C7D"/>
    <w:rsid w:val="29F374C4"/>
    <w:rsid w:val="2B1C55E6"/>
    <w:rsid w:val="2B79669B"/>
    <w:rsid w:val="2B93404B"/>
    <w:rsid w:val="2BA17621"/>
    <w:rsid w:val="2BB533B5"/>
    <w:rsid w:val="2C5B7932"/>
    <w:rsid w:val="2D9E7E85"/>
    <w:rsid w:val="2DAD2051"/>
    <w:rsid w:val="2DC07DFB"/>
    <w:rsid w:val="2E4B1DBB"/>
    <w:rsid w:val="2E692241"/>
    <w:rsid w:val="2E7C6418"/>
    <w:rsid w:val="2EA94D33"/>
    <w:rsid w:val="2ED005F9"/>
    <w:rsid w:val="2ED71719"/>
    <w:rsid w:val="2F4F58DB"/>
    <w:rsid w:val="2FBE5608"/>
    <w:rsid w:val="2FDB378B"/>
    <w:rsid w:val="30662CAF"/>
    <w:rsid w:val="319D5345"/>
    <w:rsid w:val="31A970F2"/>
    <w:rsid w:val="320E6AA1"/>
    <w:rsid w:val="3227669B"/>
    <w:rsid w:val="3377033F"/>
    <w:rsid w:val="347B2CCE"/>
    <w:rsid w:val="36BF3346"/>
    <w:rsid w:val="37555A58"/>
    <w:rsid w:val="376E0E27"/>
    <w:rsid w:val="37706156"/>
    <w:rsid w:val="37C8622A"/>
    <w:rsid w:val="37D3697D"/>
    <w:rsid w:val="37F67A54"/>
    <w:rsid w:val="38500A5B"/>
    <w:rsid w:val="393873DF"/>
    <w:rsid w:val="3A0E7BEA"/>
    <w:rsid w:val="3A414072"/>
    <w:rsid w:val="3C583622"/>
    <w:rsid w:val="3CC316B6"/>
    <w:rsid w:val="3D91058D"/>
    <w:rsid w:val="3E17629B"/>
    <w:rsid w:val="3E371A14"/>
    <w:rsid w:val="3E9615AA"/>
    <w:rsid w:val="402B192A"/>
    <w:rsid w:val="41825B3E"/>
    <w:rsid w:val="41863C3D"/>
    <w:rsid w:val="41EC701C"/>
    <w:rsid w:val="41FA041F"/>
    <w:rsid w:val="43EB0E5F"/>
    <w:rsid w:val="4416656F"/>
    <w:rsid w:val="44CC031B"/>
    <w:rsid w:val="4630799B"/>
    <w:rsid w:val="46674673"/>
    <w:rsid w:val="46A36EBA"/>
    <w:rsid w:val="46FA5CD4"/>
    <w:rsid w:val="47415E93"/>
    <w:rsid w:val="47EA5E31"/>
    <w:rsid w:val="497A134E"/>
    <w:rsid w:val="49DC3DB7"/>
    <w:rsid w:val="4A406CCE"/>
    <w:rsid w:val="4A674A28"/>
    <w:rsid w:val="4ABA70C4"/>
    <w:rsid w:val="4B547D73"/>
    <w:rsid w:val="4B7630F1"/>
    <w:rsid w:val="4CB85D98"/>
    <w:rsid w:val="4D035A00"/>
    <w:rsid w:val="50B96C00"/>
    <w:rsid w:val="50C23D07"/>
    <w:rsid w:val="513D2FF9"/>
    <w:rsid w:val="51497E53"/>
    <w:rsid w:val="51510420"/>
    <w:rsid w:val="51B46FEC"/>
    <w:rsid w:val="5264494A"/>
    <w:rsid w:val="53202CBE"/>
    <w:rsid w:val="537A71B9"/>
    <w:rsid w:val="544752D9"/>
    <w:rsid w:val="545E20EB"/>
    <w:rsid w:val="54E206E2"/>
    <w:rsid w:val="54EF4F4E"/>
    <w:rsid w:val="54FE2E33"/>
    <w:rsid w:val="56073F6A"/>
    <w:rsid w:val="560C0B22"/>
    <w:rsid w:val="561B7A15"/>
    <w:rsid w:val="56A61397"/>
    <w:rsid w:val="56A94CA1"/>
    <w:rsid w:val="57AF0235"/>
    <w:rsid w:val="57B723EF"/>
    <w:rsid w:val="5A1D5B0A"/>
    <w:rsid w:val="5A5E62B8"/>
    <w:rsid w:val="5A820063"/>
    <w:rsid w:val="5A8E66D0"/>
    <w:rsid w:val="5AAE0E58"/>
    <w:rsid w:val="5B0352CA"/>
    <w:rsid w:val="5B3E3BA8"/>
    <w:rsid w:val="5B547C51"/>
    <w:rsid w:val="5BF3649C"/>
    <w:rsid w:val="5C0E3BAD"/>
    <w:rsid w:val="5C441BA9"/>
    <w:rsid w:val="5C4643A3"/>
    <w:rsid w:val="5C4F1EE2"/>
    <w:rsid w:val="5D964551"/>
    <w:rsid w:val="5E2818A0"/>
    <w:rsid w:val="60B44CEE"/>
    <w:rsid w:val="60B817D3"/>
    <w:rsid w:val="60F31CBA"/>
    <w:rsid w:val="622A40C5"/>
    <w:rsid w:val="62D64E2C"/>
    <w:rsid w:val="63393BAD"/>
    <w:rsid w:val="6370314E"/>
    <w:rsid w:val="64504D2E"/>
    <w:rsid w:val="65242442"/>
    <w:rsid w:val="65CD1667"/>
    <w:rsid w:val="66303069"/>
    <w:rsid w:val="67851192"/>
    <w:rsid w:val="67CC152C"/>
    <w:rsid w:val="69643755"/>
    <w:rsid w:val="6A9607AE"/>
    <w:rsid w:val="6B655079"/>
    <w:rsid w:val="6BA07429"/>
    <w:rsid w:val="6BED200E"/>
    <w:rsid w:val="6CB33E1D"/>
    <w:rsid w:val="6EC93EE4"/>
    <w:rsid w:val="706202C3"/>
    <w:rsid w:val="70ED2282"/>
    <w:rsid w:val="71FD7A53"/>
    <w:rsid w:val="734259B7"/>
    <w:rsid w:val="738844E4"/>
    <w:rsid w:val="74A709C2"/>
    <w:rsid w:val="74E90210"/>
    <w:rsid w:val="74FB6E0F"/>
    <w:rsid w:val="75826D11"/>
    <w:rsid w:val="75AE51B3"/>
    <w:rsid w:val="779D28DA"/>
    <w:rsid w:val="77C7150E"/>
    <w:rsid w:val="78355559"/>
    <w:rsid w:val="788D7EA7"/>
    <w:rsid w:val="79030169"/>
    <w:rsid w:val="79052133"/>
    <w:rsid w:val="79F006ED"/>
    <w:rsid w:val="7AF92CA4"/>
    <w:rsid w:val="7BA104C9"/>
    <w:rsid w:val="7BB32DB4"/>
    <w:rsid w:val="7D9F5C84"/>
    <w:rsid w:val="7F31278F"/>
    <w:rsid w:val="7F9B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Calibri" w:hAnsi="Calibri" w:eastAsia="宋?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customStyle="1" w:styleId="10">
    <w:name w:val="font31"/>
    <w:basedOn w:val="7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1">
    <w:name w:val="font61"/>
    <w:basedOn w:val="7"/>
    <w:qFormat/>
    <w:uiPriority w:val="0"/>
    <w:rPr>
      <w:rFonts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6231</Words>
  <Characters>6316</Characters>
  <Lines>0</Lines>
  <Paragraphs>0</Paragraphs>
  <TotalTime>9</TotalTime>
  <ScaleCrop>false</ScaleCrop>
  <LinksUpToDate>false</LinksUpToDate>
  <CharactersWithSpaces>6450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bsqmgj</dc:creator>
  <cp:lastModifiedBy>Administrator</cp:lastModifiedBy>
  <cp:lastPrinted>2022-03-24T02:39:00Z</cp:lastPrinted>
  <dcterms:modified xsi:type="dcterms:W3CDTF">2022-03-29T02:08:32Z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CC258C28609C403D939D287ED90C9477</vt:lpwstr>
  </property>
</Properties>
</file>