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jc w:val="center"/>
        <w:textAlignment w:val="auto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</w:rPr>
        <w:t>农村危房</w:t>
      </w:r>
      <w:r>
        <w:rPr>
          <w:rFonts w:ascii="Times New Roman" w:hAnsi="Times New Roman" w:eastAsia="方正小标宋简体"/>
          <w:bCs/>
          <w:sz w:val="44"/>
          <w:szCs w:val="44"/>
        </w:rPr>
        <w:t>改造户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纸质档案内容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1.农村危房改造户个人申请书，农村危房改造申请表，村民大会或村民代表会议关于申请人危房改造的决议；危房改造申请人身份证复印件和户口簿复印件；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建档立卡贫困户、低保户、农村分散供养特困人员、贫困残疾人家庭证明材料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及残疾证复印件；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2.农村危房改造补助对象村、镇两级公示；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3.农村危房等级鉴定报告；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4.农村危房改造协议书；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5.改造户危房的纸质档案（包括危房改造前、改造中和改造后的照片资料）；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6.工程验收记录及照片资料；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7.农村危房改造验收登记表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0533A"/>
    <w:rsid w:val="64A0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2019-05-20T08:18:00Z</dcterms:created>
  <dc:creator>博山FGJ</dc:creator>
  <cp:lastModifiedBy>博山FGJ</cp:lastModifiedBy>
  <dcterms:modified xsi:type="dcterms:W3CDTF">2019-05-20T08:21:34Z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