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14ECB" w:rsidRDefault="004A49B1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博政办字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</w:t>
      </w:r>
    </w:p>
    <w:p w:rsidR="00414ECB" w:rsidRDefault="00414EC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414ECB" w:rsidRDefault="00414EC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414ECB" w:rsidRDefault="004A49B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博山区人民政府办公室</w:t>
      </w:r>
    </w:p>
    <w:p w:rsidR="00414ECB" w:rsidRDefault="004A49B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关于博山区数字基础设施建设的实施方案</w:t>
      </w:r>
    </w:p>
    <w:p w:rsidR="00414ECB" w:rsidRDefault="00414ECB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各镇人民政府、街道办事处，开发区管委会，区政府有关部门，有关单位，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有关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企业：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为贯彻落实山东省人民政府办公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《关于山东省数字基础设施建设的指导意见》（鲁政办字〔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号），加快推进全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数字基础设施建设，经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政府同意，提出如下意见。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一、总体思路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前瞻布局以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、人工智能、工业互联网、物联网等为代表的新型基础设施，持续推动交通、能源、水利、市政等传统基础设施数字化升级，构建“泛在连接、高效协同、全域感知、智能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融合、安全可信”的数字基础设施体系。到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年年底，全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数字基础设施总体布局更加科学合理，对高质量发展支撑能力和投资拉动作用更加明显，建设规模和发展水平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大幅提升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二、重点任务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 xml:space="preserve">　（一）建设泛在连接的信息通信网络。</w:t>
      </w:r>
    </w:p>
    <w:p w:rsidR="00414ECB" w:rsidRDefault="004A49B1">
      <w:pPr>
        <w:spacing w:line="576" w:lineRule="exact"/>
        <w:ind w:firstLine="652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发展新一代移动通信网络。高质量建设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网络，全面推进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网络试点和规模组网，推动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与重点垂直行业深度融合。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新开通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基站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个，到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，基本实现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城区、重点镇（街道）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网络覆盖。（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局负责协调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深化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4G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网络建设，加快实现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户以上自然村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4G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全覆盖。（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）。</w:t>
      </w:r>
    </w:p>
    <w:p w:rsidR="00414ECB" w:rsidRDefault="004A49B1">
      <w:pPr>
        <w:spacing w:line="576" w:lineRule="exact"/>
        <w:ind w:firstLine="652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全面建成高水平全光网。加速光纤网络扩容，优化骨干网络结构，布局大容量光通信高速传输系统，持续提升网络带宽和质量，到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力争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骨干网络出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带宽达到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T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负责协调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）加大高速率宽带接入覆盖，持续推进“光纤到户”，推动“千兆城市”建设。全面提升乡村光纤宽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带网络覆盖水平和高带宽用户占比，大力推进“百兆乡村”建设。到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力争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建成千兆宽带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示范小区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个，农村百兆宽带接入用户占比超过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100 %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负责协调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推进信息网络演进升级。加快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IPv6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规模部署，统筹推进全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骨干网、城域网、接入网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IPv6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升级，推广全面支持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IPv6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的移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动和固定终端。到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实现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IPv6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网络规模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部署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区委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（二）加快数据中心高水平建设。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认真贯彻省、市数据中心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用地、用电等方面政策，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积极引进有能力的企业来我区开展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数据中心建设，到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力争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数据中心落地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博山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发展和改革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自然资源局、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区能源转型中心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推进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边缘计算资源池节点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，力争在博山经济开发区建设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个以上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集内容、网络、存储、计算为一体的边缘计算资源池节点，满足制造等行业在实时业务、智能应用、安全和隐私保护等方面的敏捷连接需求。（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科技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分工负责，有关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（三）布局全域感知的智能终端设施。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大力发展物联网。加快物联网终端部署，围绕城市管理、民生服务、公共安全、医疗卫生等领域，利用窄带物联网、增强机器类通信、远距离无线传输等物联网通信技术，积极部署低成本、低功耗、高精度、高可靠的智能化传感器，提升社会治理和公共服务科学化、精细化水平，推动“万物互联”发展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发展改革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局、区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区综合行政执法局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加快建设工业互联网。推进工业设备联网，推动高耗能、高风险、通用性强、优化价值高的工业设备上云，培育人、机、物全面互联的新兴业态。到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年年底，全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上云企业达到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家，到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年年底，全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上云企业达到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工业和信息化局负责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）加快企业内网升级改造，推动工业无源光网络、工业以太网、工业无线网等新型工业网络部署。实施“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5G+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工业互联网”工程，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力争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在数字经济园区建设低时延、高可靠、广覆盖的网络基础设施。（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工业和信息化局负责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积极培育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工业互联网平台，到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力争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家以上面向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铸造、机电、泵类等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行业的企业级工业互联网平台。（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工业和信息化局负责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 xml:space="preserve">　（四）升级智能融合的传统基础设施。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快部署智能交通基础设施。部署协同化智能交通设施，推广应用具备多维感知、高精度定位、智能网联功能的终端设备，提升交通载运工具远程监测、故障诊断、风险预警、应急处置等能力，加快构建多式联运智能综合运输体系。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交通运输局负责，有关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配合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面推广智慧能源基础设施。推进能源互联网建设，鼓励建设基于互联网的智慧能源运行云平台，强化电力、天然气、热力管网等各类能源网络信息系统的互联互通和数据共享，构建能源形态协同转化、集中式与分布式能源协同运行的综合能源网络，实现电、气、热等多种能源消费信息的集中自动采集和跨行业数据共享。推进“互联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”充电设施建设，依托加油站、公交站场、停车场等场所，构建车桩相随、智能高效的充电基础设施体系。到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年年底，全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智能充电桩保有量达到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个以上。（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住房城乡建设局、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交通运输局、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区综合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lastRenderedPageBreak/>
        <w:t>行政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执法局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、区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能源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转型中心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积极建设数字水利、市政基础设施。加快推进数字水利设施建设，布设雨量、水位、流量、水质、墒情等感知设备，实现对河湖水系、水利工程等涉水信息动态监测和智能感知。到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年年底，初步建成站点布局合理、采集要素齐全、传输稳定可靠的天地一体化水利感知网。（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水利局负责，有关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）加快推进覆盖大气、水、固体废弃物、污染源等的智慧环境监测监控基础设施建设。（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生态环境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）推进城市挂高资源共享共建，支持现有电力塔杆、通信基站、交通指示牌、监控杆、路灯杆等各类挂高资源开放共享和数字化改造，鼓励新建集智慧照明、视频监控、交通管理、环境监测、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通信、应急求助等功能于一体的智慧杆柱。到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年年底，全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新建智慧杆柱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个以上。（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发展和改革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公安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自然资源局、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住房城乡建设局、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区综合行政执法局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（五）打造安全可信的防控设施体系。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1.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提升安全技术保障能力。科学配置安全策略，强化网络安全态势感知，运用大数据等技术提升安全事件预警能力。开展主动防御试点，提高重要数字基础设施和信息系统防攻击、防篡改、防病毒、防瘫痪、防窃密水平，提高网络和信息安全事件动态响应和恢复处置能力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委网信办、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公安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局分工负责，各有关部门配合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）建立数字基础设施资源调配机制，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建设重大公共安全信息化保障体系，提升应对突发重大公共卫生等各类应急事件的数据分析、监测预警、指挥调度能力。（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委网信办、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卫生健康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局、区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应急局分工负责，各有关部门配合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强化安全管理服务能力。落实国家网络安全等级保护制度，建设应急管理平台，完善容灾备份系统，提升数字基础设施网络安全防护水平，形成运营主体和社会各方合力，提高风险评估、检查测评、应急处理、数据恢复等安全服务水平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委网信办、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公安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局分工负责，各有关部门配合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提高重要数字基础设施安全可信水平。推广应用安全可信的网络产品和服务，推动安全技术、产品和服务创新。依照国家密码管理有关法律法规和标准规范，同步规划、同步建设、同步运行密码保障系统并开展定期评估，强化密码技术在重要数字基础设施中的推广应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，扩大数字证书应用范围。（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委网信办、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区保密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公安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局分工负责，各有关部门配合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　三、保障措施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 xml:space="preserve">　（一）加强组织协调。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成立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数字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博山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建设专项小组，加强数字基础设施统筹规划和整体推进，推动一批关键性重大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落地。（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大数据局、各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（二）加大投资力度。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统筹各类财政专项资金，支持数字基础设施建设布局和应用创新。积极争取国家、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省、市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电信普遍服务基金投入，加大对偏远农村等的支持力度，鼓励社会资本投入。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发展和改革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财政局、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地方金融监管局分工负责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A49B1">
      <w:pPr>
        <w:spacing w:line="576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（三）优化发展环境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。推动重大数字基础设施工程建设，降低落地门槛和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运维成本。推动党政机关、企事业单位等相关公共设施向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基站、管线、机房等开放，免收基站租赁、资源占用等费用。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委网信办、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大数据局、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发展改革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工业和信息化局、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自然资源局分工负责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</w:p>
    <w:p w:rsidR="00414ECB" w:rsidRDefault="00414ECB">
      <w:pPr>
        <w:spacing w:line="576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A49B1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博山区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人民政府办公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室</w:t>
      </w:r>
    </w:p>
    <w:p w:rsidR="00414ECB" w:rsidRDefault="004A49B1">
      <w:pPr>
        <w:spacing w:line="576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sectPr w:rsidR="00414ECB">
          <w:footerReference w:type="default" r:id="rId7"/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414ECB" w:rsidRDefault="004A49B1">
      <w:pPr>
        <w:spacing w:line="55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397510</wp:posOffset>
                </wp:positionV>
                <wp:extent cx="561657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5E72D" id="直接连接符 3" o:spid="_x0000_s1026" style="position:absolute;left:0;text-align:left;flip:y;z-index:25166540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1.3pt" to="442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61657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76B51" id="直接连接符 2" o:spid="_x0000_s1026" style="position:absolute;left:0;text-align:left;flip:y;z-index:25166643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.5pt" to="442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博山区人民政府办公室</w:t>
      </w:r>
      <w:r>
        <w:rPr>
          <w:rFonts w:ascii="仿宋_GB2312" w:eastAsia="仿宋_GB2312" w:hint="eastAsia"/>
          <w:sz w:val="28"/>
          <w:szCs w:val="28"/>
        </w:rPr>
        <w:t xml:space="preserve">                      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414ECB" w:rsidRDefault="00414ECB">
      <w:pPr>
        <w:spacing w:line="576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414ECB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49B1">
      <w:r>
        <w:separator/>
      </w:r>
    </w:p>
  </w:endnote>
  <w:endnote w:type="continuationSeparator" w:id="0">
    <w:p w:rsidR="00000000" w:rsidRDefault="004A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CB" w:rsidRDefault="004A49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4ECB" w:rsidRDefault="004A49B1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9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" filled="f" stroked="f" strokeweight=".5pt">
              <v:textbox style="mso-fit-shape-to-text:t" inset="0,0,0,0">
                <w:txbxContent>
                  <w:p w:rsidR="00414ECB" w:rsidRDefault="004A49B1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CB" w:rsidRDefault="00414E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49B1">
      <w:r>
        <w:separator/>
      </w:r>
    </w:p>
  </w:footnote>
  <w:footnote w:type="continuationSeparator" w:id="0">
    <w:p w:rsidR="00000000" w:rsidRDefault="004A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542B4"/>
    <w:rsid w:val="00414ECB"/>
    <w:rsid w:val="004A49B1"/>
    <w:rsid w:val="02E77B78"/>
    <w:rsid w:val="04C32BDC"/>
    <w:rsid w:val="04FE60C2"/>
    <w:rsid w:val="08A45391"/>
    <w:rsid w:val="0A632001"/>
    <w:rsid w:val="0A6E7B82"/>
    <w:rsid w:val="0B657B87"/>
    <w:rsid w:val="0CC3430A"/>
    <w:rsid w:val="15CE2B6A"/>
    <w:rsid w:val="20176D1F"/>
    <w:rsid w:val="229E5857"/>
    <w:rsid w:val="236A1141"/>
    <w:rsid w:val="263056A1"/>
    <w:rsid w:val="26C91D1C"/>
    <w:rsid w:val="27375E4B"/>
    <w:rsid w:val="28601904"/>
    <w:rsid w:val="28CC1C61"/>
    <w:rsid w:val="2D5908BA"/>
    <w:rsid w:val="2F907D5B"/>
    <w:rsid w:val="38F74593"/>
    <w:rsid w:val="3CF218F1"/>
    <w:rsid w:val="3D182E86"/>
    <w:rsid w:val="3DA31892"/>
    <w:rsid w:val="42972B7D"/>
    <w:rsid w:val="45E66A2A"/>
    <w:rsid w:val="496C0A07"/>
    <w:rsid w:val="4F196DB6"/>
    <w:rsid w:val="4F3B482F"/>
    <w:rsid w:val="4F8542B4"/>
    <w:rsid w:val="50252628"/>
    <w:rsid w:val="54AB7B83"/>
    <w:rsid w:val="569536E0"/>
    <w:rsid w:val="58AB564F"/>
    <w:rsid w:val="5C2164F5"/>
    <w:rsid w:val="5DAA7F5D"/>
    <w:rsid w:val="5DFA01B7"/>
    <w:rsid w:val="63925B6B"/>
    <w:rsid w:val="65042F5E"/>
    <w:rsid w:val="678A7920"/>
    <w:rsid w:val="68401EDC"/>
    <w:rsid w:val="695A2FAD"/>
    <w:rsid w:val="6D5C114B"/>
    <w:rsid w:val="6F413170"/>
    <w:rsid w:val="701562D6"/>
    <w:rsid w:val="728E7E29"/>
    <w:rsid w:val="74336496"/>
    <w:rsid w:val="759834C6"/>
    <w:rsid w:val="76D55A10"/>
    <w:rsid w:val="7E4E30B6"/>
    <w:rsid w:val="7F4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E8DE78-2DC2-4EE4-8A63-F8D4499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523</Words>
  <Characters>2982</Characters>
  <Application>Microsoft Office Word</Application>
  <DocSecurity>0</DocSecurity>
  <Lines>24</Lines>
  <Paragraphs>6</Paragraphs>
  <ScaleCrop>false</ScaleCrop>
  <Company>微软中国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2020-05-14T00:56:00Z</cp:lastPrinted>
  <dcterms:created xsi:type="dcterms:W3CDTF">2020-03-27T00:15:00Z</dcterms:created>
  <dcterms:modified xsi:type="dcterms:W3CDTF">2020-05-25T07:33:00Z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