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keepNext w:val="0"/>
        <w:keepLines w:val="0"/>
        <w:pageBreakBefore w:val="0"/>
        <w:kinsoku/>
        <w:wordWrap/>
        <w:overflowPunct/>
        <w:topLinePunct w:val="0"/>
        <w:autoSpaceDE w:val="0"/>
        <w:autoSpaceDN w:val="0"/>
        <w:bidi w:val="0"/>
        <w:adjustRightInd/>
        <w:snapToGrid/>
        <w:spacing w:line="576" w:lineRule="exact"/>
        <w:jc w:val="center"/>
        <w:textAlignment w:val="auto"/>
        <w:rPr>
          <w:rFonts w:hint="eastAsia" w:ascii="方正小标宋简体" w:hAnsi="方正小标宋简体" w:eastAsia="方正小标宋简体" w:cs="方正小标宋简体"/>
          <w:color w:val="231F20"/>
          <w:spacing w:val="0"/>
          <w:sz w:val="32"/>
          <w:szCs w:val="32"/>
          <w:lang w:eastAsia="zh-CN"/>
        </w:rPr>
      </w:pPr>
    </w:p>
    <w:p>
      <w:pPr>
        <w:pStyle w:val="4"/>
        <w:keepNext w:val="0"/>
        <w:keepLines w:val="0"/>
        <w:pageBreakBefore w:val="0"/>
        <w:kinsoku/>
        <w:wordWrap/>
        <w:overflowPunct/>
        <w:topLinePunct w:val="0"/>
        <w:autoSpaceDE w:val="0"/>
        <w:autoSpaceDN w:val="0"/>
        <w:bidi w:val="0"/>
        <w:adjustRightInd/>
        <w:snapToGrid/>
        <w:spacing w:line="576" w:lineRule="exact"/>
        <w:jc w:val="center"/>
        <w:textAlignment w:val="auto"/>
        <w:rPr>
          <w:rFonts w:hint="eastAsia" w:ascii="方正小标宋简体" w:hAnsi="方正小标宋简体" w:eastAsia="方正小标宋简体" w:cs="方正小标宋简体"/>
          <w:color w:val="231F20"/>
          <w:spacing w:val="0"/>
          <w:sz w:val="32"/>
          <w:szCs w:val="32"/>
          <w:lang w:eastAsia="zh-CN"/>
        </w:rPr>
      </w:pPr>
    </w:p>
    <w:p>
      <w:pPr>
        <w:pStyle w:val="4"/>
        <w:keepNext w:val="0"/>
        <w:keepLines w:val="0"/>
        <w:pageBreakBefore w:val="0"/>
        <w:kinsoku/>
        <w:wordWrap/>
        <w:overflowPunct/>
        <w:topLinePunct w:val="0"/>
        <w:autoSpaceDE w:val="0"/>
        <w:autoSpaceDN w:val="0"/>
        <w:bidi w:val="0"/>
        <w:adjustRightInd/>
        <w:snapToGrid/>
        <w:spacing w:line="576" w:lineRule="exact"/>
        <w:jc w:val="center"/>
        <w:textAlignment w:val="auto"/>
        <w:rPr>
          <w:rFonts w:hint="eastAsia" w:ascii="方正小标宋简体" w:hAnsi="方正小标宋简体" w:eastAsia="方正小标宋简体" w:cs="方正小标宋简体"/>
          <w:color w:val="231F20"/>
          <w:spacing w:val="0"/>
          <w:sz w:val="32"/>
          <w:szCs w:val="32"/>
          <w:lang w:eastAsia="zh-CN"/>
        </w:rPr>
      </w:pPr>
    </w:p>
    <w:p>
      <w:pPr>
        <w:pStyle w:val="4"/>
        <w:keepNext w:val="0"/>
        <w:keepLines w:val="0"/>
        <w:pageBreakBefore w:val="0"/>
        <w:kinsoku/>
        <w:wordWrap/>
        <w:overflowPunct/>
        <w:topLinePunct w:val="0"/>
        <w:autoSpaceDE w:val="0"/>
        <w:autoSpaceDN w:val="0"/>
        <w:bidi w:val="0"/>
        <w:adjustRightInd/>
        <w:snapToGrid/>
        <w:spacing w:line="576" w:lineRule="exact"/>
        <w:jc w:val="both"/>
        <w:textAlignment w:val="auto"/>
        <w:rPr>
          <w:rFonts w:hint="eastAsia" w:ascii="方正小标宋简体" w:hAnsi="方正小标宋简体" w:eastAsia="方正小标宋简体" w:cs="方正小标宋简体"/>
          <w:color w:val="231F20"/>
          <w:spacing w:val="0"/>
          <w:sz w:val="32"/>
          <w:szCs w:val="32"/>
          <w:lang w:eastAsia="zh-CN"/>
        </w:rPr>
      </w:pPr>
    </w:p>
    <w:p>
      <w:pPr>
        <w:pStyle w:val="4"/>
        <w:keepNext w:val="0"/>
        <w:keepLines w:val="0"/>
        <w:pageBreakBefore w:val="0"/>
        <w:kinsoku/>
        <w:wordWrap/>
        <w:overflowPunct/>
        <w:topLinePunct w:val="0"/>
        <w:autoSpaceDE w:val="0"/>
        <w:autoSpaceDN w:val="0"/>
        <w:bidi w:val="0"/>
        <w:adjustRightInd/>
        <w:snapToGrid/>
        <w:spacing w:line="576" w:lineRule="exact"/>
        <w:jc w:val="both"/>
        <w:textAlignment w:val="auto"/>
        <w:rPr>
          <w:rFonts w:hint="eastAsia" w:ascii="方正小标宋简体" w:hAnsi="方正小标宋简体" w:eastAsia="方正小标宋简体" w:cs="方正小标宋简体"/>
          <w:color w:val="231F20"/>
          <w:spacing w:val="0"/>
          <w:sz w:val="32"/>
          <w:szCs w:val="32"/>
          <w:lang w:eastAsia="zh-CN"/>
        </w:rPr>
      </w:pPr>
    </w:p>
    <w:p>
      <w:pPr>
        <w:pStyle w:val="4"/>
        <w:keepNext w:val="0"/>
        <w:keepLines w:val="0"/>
        <w:pageBreakBefore w:val="0"/>
        <w:kinsoku/>
        <w:wordWrap/>
        <w:overflowPunct/>
        <w:topLinePunct w:val="0"/>
        <w:autoSpaceDE w:val="0"/>
        <w:autoSpaceDN w:val="0"/>
        <w:bidi w:val="0"/>
        <w:adjustRightInd/>
        <w:snapToGrid/>
        <w:spacing w:line="576" w:lineRule="exact"/>
        <w:jc w:val="both"/>
        <w:textAlignment w:val="auto"/>
        <w:rPr>
          <w:rFonts w:hint="eastAsia" w:ascii="方正小标宋简体" w:hAnsi="方正小标宋简体" w:eastAsia="方正小标宋简体" w:cs="方正小标宋简体"/>
          <w:color w:val="231F20"/>
          <w:spacing w:val="0"/>
          <w:sz w:val="32"/>
          <w:szCs w:val="32"/>
          <w:lang w:eastAsia="zh-CN"/>
        </w:rPr>
      </w:pPr>
    </w:p>
    <w:p>
      <w:pPr>
        <w:pStyle w:val="4"/>
        <w:keepNext w:val="0"/>
        <w:keepLines w:val="0"/>
        <w:pageBreakBefore w:val="0"/>
        <w:kinsoku/>
        <w:wordWrap/>
        <w:overflowPunct/>
        <w:topLinePunct w:val="0"/>
        <w:autoSpaceDE w:val="0"/>
        <w:autoSpaceDN w:val="0"/>
        <w:bidi w:val="0"/>
        <w:adjustRightInd/>
        <w:snapToGrid/>
        <w:spacing w:line="576" w:lineRule="exact"/>
        <w:jc w:val="both"/>
        <w:textAlignment w:val="auto"/>
        <w:rPr>
          <w:rFonts w:hint="eastAsia" w:ascii="方正小标宋简体" w:hAnsi="方正小标宋简体" w:eastAsia="方正小标宋简体" w:cs="方正小标宋简体"/>
          <w:color w:val="231F20"/>
          <w:spacing w:val="0"/>
          <w:sz w:val="32"/>
          <w:szCs w:val="32"/>
          <w:lang w:eastAsia="zh-CN"/>
        </w:rPr>
      </w:pPr>
    </w:p>
    <w:p>
      <w:pPr>
        <w:pStyle w:val="4"/>
        <w:keepNext w:val="0"/>
        <w:keepLines w:val="0"/>
        <w:pageBreakBefore w:val="0"/>
        <w:kinsoku/>
        <w:wordWrap/>
        <w:overflowPunct/>
        <w:topLinePunct w:val="0"/>
        <w:autoSpaceDE w:val="0"/>
        <w:autoSpaceDN w:val="0"/>
        <w:bidi w:val="0"/>
        <w:adjustRightInd/>
        <w:snapToGrid/>
        <w:spacing w:line="576" w:lineRule="exact"/>
        <w:jc w:val="center"/>
        <w:textAlignment w:val="auto"/>
        <w:rPr>
          <w:rFonts w:hint="default" w:ascii="仿宋_GB2312" w:hAnsi="仿宋_GB2312" w:eastAsia="仿宋_GB2312" w:cs="仿宋_GB2312"/>
          <w:color w:val="231F20"/>
          <w:spacing w:val="0"/>
          <w:sz w:val="32"/>
          <w:szCs w:val="32"/>
          <w:lang w:val="en-US" w:eastAsia="zh-CN"/>
        </w:rPr>
      </w:pPr>
      <w:r>
        <w:rPr>
          <w:rFonts w:hint="eastAsia" w:ascii="仿宋_GB2312" w:hAnsi="仿宋_GB2312" w:eastAsia="仿宋_GB2312" w:cs="仿宋_GB2312"/>
          <w:color w:val="231F20"/>
          <w:spacing w:val="0"/>
          <w:sz w:val="32"/>
          <w:szCs w:val="32"/>
          <w:lang w:val="en-US" w:eastAsia="zh-CN"/>
        </w:rPr>
        <w:t>博政发</w:t>
      </w:r>
      <w:r>
        <w:rPr>
          <w:rFonts w:hint="eastAsia" w:ascii="仿宋_GB2312" w:hAnsi="仿宋_GB2312" w:eastAsia="仿宋_GB2312" w:cs="仿宋_GB2312"/>
          <w:color w:val="231F20"/>
          <w:spacing w:val="0"/>
          <w:sz w:val="32"/>
          <w:szCs w:val="32"/>
          <w:lang w:eastAsia="zh-CN"/>
        </w:rPr>
        <w:t>〔202</w:t>
      </w:r>
      <w:r>
        <w:rPr>
          <w:rFonts w:hint="eastAsia" w:ascii="仿宋_GB2312" w:hAnsi="仿宋_GB2312" w:eastAsia="仿宋_GB2312" w:cs="仿宋_GB2312"/>
          <w:color w:val="231F20"/>
          <w:spacing w:val="0"/>
          <w:sz w:val="32"/>
          <w:szCs w:val="32"/>
          <w:lang w:val="en-US" w:eastAsia="zh-CN"/>
        </w:rPr>
        <w:t>3</w:t>
      </w:r>
      <w:r>
        <w:rPr>
          <w:rFonts w:hint="eastAsia" w:ascii="仿宋_GB2312" w:hAnsi="仿宋_GB2312" w:eastAsia="仿宋_GB2312" w:cs="仿宋_GB2312"/>
          <w:color w:val="231F20"/>
          <w:spacing w:val="0"/>
          <w:sz w:val="32"/>
          <w:szCs w:val="32"/>
          <w:lang w:eastAsia="zh-CN"/>
        </w:rPr>
        <w:t>〕</w:t>
      </w:r>
      <w:r>
        <w:rPr>
          <w:rFonts w:hint="eastAsia" w:ascii="仿宋_GB2312" w:hAnsi="仿宋_GB2312" w:eastAsia="仿宋_GB2312" w:cs="仿宋_GB2312"/>
          <w:color w:val="231F20"/>
          <w:spacing w:val="0"/>
          <w:sz w:val="32"/>
          <w:szCs w:val="32"/>
          <w:lang w:val="en-US" w:eastAsia="zh-CN"/>
        </w:rPr>
        <w:t>2号</w:t>
      </w:r>
    </w:p>
    <w:p>
      <w:pPr>
        <w:pStyle w:val="4"/>
        <w:keepNext w:val="0"/>
        <w:keepLines w:val="0"/>
        <w:pageBreakBefore w:val="0"/>
        <w:kinsoku/>
        <w:wordWrap/>
        <w:overflowPunct/>
        <w:topLinePunct w:val="0"/>
        <w:autoSpaceDE w:val="0"/>
        <w:autoSpaceDN w:val="0"/>
        <w:bidi w:val="0"/>
        <w:adjustRightInd/>
        <w:snapToGrid/>
        <w:spacing w:line="576" w:lineRule="exact"/>
        <w:jc w:val="both"/>
        <w:textAlignment w:val="auto"/>
        <w:rPr>
          <w:rFonts w:hint="eastAsia" w:ascii="方正小标宋简体" w:hAnsi="方正小标宋简体" w:eastAsia="方正小标宋简体" w:cs="方正小标宋简体"/>
          <w:color w:val="231F20"/>
          <w:spacing w:val="0"/>
          <w:sz w:val="32"/>
          <w:szCs w:val="32"/>
          <w:lang w:eastAsia="zh-CN"/>
        </w:rPr>
      </w:pPr>
    </w:p>
    <w:p>
      <w:pPr>
        <w:pStyle w:val="4"/>
        <w:keepNext w:val="0"/>
        <w:keepLines w:val="0"/>
        <w:pageBreakBefore w:val="0"/>
        <w:kinsoku/>
        <w:wordWrap/>
        <w:overflowPunct/>
        <w:topLinePunct w:val="0"/>
        <w:autoSpaceDE w:val="0"/>
        <w:autoSpaceDN w:val="0"/>
        <w:bidi w:val="0"/>
        <w:adjustRightInd/>
        <w:snapToGrid/>
        <w:spacing w:line="576" w:lineRule="exact"/>
        <w:jc w:val="both"/>
        <w:textAlignment w:val="auto"/>
        <w:rPr>
          <w:rFonts w:hint="eastAsia" w:ascii="方正小标宋简体" w:hAnsi="方正小标宋简体" w:eastAsia="方正小标宋简体" w:cs="方正小标宋简体"/>
          <w:color w:val="231F20"/>
          <w:spacing w:val="0"/>
          <w:sz w:val="32"/>
          <w:szCs w:val="32"/>
          <w:lang w:eastAsia="zh-CN"/>
        </w:rPr>
      </w:pPr>
    </w:p>
    <w:p>
      <w:pPr>
        <w:pStyle w:val="4"/>
        <w:keepNext w:val="0"/>
        <w:keepLines w:val="0"/>
        <w:pageBreakBefore w:val="0"/>
        <w:kinsoku/>
        <w:wordWrap/>
        <w:overflowPunct/>
        <w:topLinePunct w:val="0"/>
        <w:autoSpaceDE w:val="0"/>
        <w:autoSpaceDN w:val="0"/>
        <w:bidi w:val="0"/>
        <w:adjustRightInd/>
        <w:snapToGrid/>
        <w:spacing w:line="576" w:lineRule="exact"/>
        <w:jc w:val="center"/>
        <w:textAlignment w:val="auto"/>
        <w:rPr>
          <w:rFonts w:ascii="方正小标宋简体" w:hAnsi="方正小标宋简体" w:eastAsia="方正小标宋简体" w:cs="方正小标宋简体"/>
          <w:spacing w:val="0"/>
          <w:sz w:val="44"/>
          <w:szCs w:val="44"/>
          <w:lang w:eastAsia="zh-CN"/>
        </w:rPr>
      </w:pPr>
      <w:r>
        <w:rPr>
          <w:rFonts w:hint="eastAsia" w:ascii="方正小标宋简体" w:hAnsi="方正小标宋简体" w:eastAsia="方正小标宋简体" w:cs="方正小标宋简体"/>
          <w:color w:val="231F20"/>
          <w:spacing w:val="0"/>
          <w:sz w:val="44"/>
          <w:szCs w:val="44"/>
          <w:lang w:eastAsia="zh-CN"/>
        </w:rPr>
        <w:t>博山区人民政府</w:t>
      </w:r>
    </w:p>
    <w:p>
      <w:pPr>
        <w:pStyle w:val="2"/>
        <w:keepNext w:val="0"/>
        <w:keepLines w:val="0"/>
        <w:pageBreakBefore w:val="0"/>
        <w:kinsoku/>
        <w:wordWrap/>
        <w:overflowPunct/>
        <w:topLinePunct w:val="0"/>
        <w:autoSpaceDE w:val="0"/>
        <w:autoSpaceDN w:val="0"/>
        <w:bidi w:val="0"/>
        <w:adjustRightInd/>
        <w:snapToGrid/>
        <w:spacing w:after="0" w:line="576" w:lineRule="exact"/>
        <w:ind w:left="0" w:leftChars="0" w:firstLine="0" w:firstLineChars="0"/>
        <w:jc w:val="center"/>
        <w:textAlignment w:val="auto"/>
        <w:rPr>
          <w:rFonts w:ascii="方正小标宋简体" w:hAnsi="方正小标宋简体" w:eastAsia="方正小标宋简体" w:cs="方正小标宋简体"/>
          <w:color w:val="231F20"/>
          <w:spacing w:val="0"/>
          <w:sz w:val="44"/>
          <w:szCs w:val="44"/>
          <w:lang w:eastAsia="zh-CN"/>
        </w:rPr>
      </w:pPr>
      <w:r>
        <w:rPr>
          <w:rFonts w:hint="eastAsia" w:ascii="方正小标宋简体" w:hAnsi="方正小标宋简体" w:eastAsia="方正小标宋简体" w:cs="方正小标宋简体"/>
          <w:color w:val="231F20"/>
          <w:spacing w:val="0"/>
          <w:sz w:val="44"/>
          <w:szCs w:val="44"/>
          <w:lang w:eastAsia="zh-CN"/>
        </w:rPr>
        <w:t>关于深入开展爱国卫生运动的实施意见</w:t>
      </w:r>
    </w:p>
    <w:p>
      <w:pPr>
        <w:pStyle w:val="2"/>
        <w:keepNext w:val="0"/>
        <w:keepLines w:val="0"/>
        <w:pageBreakBefore w:val="0"/>
        <w:kinsoku/>
        <w:wordWrap/>
        <w:overflowPunct/>
        <w:topLinePunct w:val="0"/>
        <w:autoSpaceDE w:val="0"/>
        <w:autoSpaceDN w:val="0"/>
        <w:bidi w:val="0"/>
        <w:adjustRightInd/>
        <w:snapToGrid/>
        <w:spacing w:after="0" w:line="576" w:lineRule="exact"/>
        <w:ind w:left="0" w:leftChars="0" w:firstLine="0" w:firstLineChars="0"/>
        <w:jc w:val="both"/>
        <w:textAlignment w:val="auto"/>
        <w:rPr>
          <w:rFonts w:ascii="仿宋_GB2312" w:hAnsi="仿宋_GB2312" w:eastAsia="仿宋_GB2312" w:cs="仿宋_GB2312"/>
          <w:color w:val="231F20"/>
          <w:spacing w:val="0"/>
          <w:sz w:val="32"/>
          <w:szCs w:val="32"/>
          <w:lang w:eastAsia="zh-CN"/>
        </w:rPr>
      </w:pPr>
    </w:p>
    <w:p>
      <w:pPr>
        <w:keepNext w:val="0"/>
        <w:keepLines w:val="0"/>
        <w:pageBreakBefore w:val="0"/>
        <w:widowControl/>
        <w:kinsoku/>
        <w:wordWrap/>
        <w:overflowPunct/>
        <w:topLinePunct w:val="0"/>
        <w:autoSpaceDE w:val="0"/>
        <w:autoSpaceDN w:val="0"/>
        <w:bidi w:val="0"/>
        <w:adjustRightInd/>
        <w:snapToGrid/>
        <w:spacing w:line="576" w:lineRule="exact"/>
        <w:jc w:val="both"/>
        <w:textAlignment w:val="auto"/>
        <w:rPr>
          <w:rFonts w:ascii="仿宋_GB2312" w:hAnsi="仿宋_GB2312" w:eastAsia="仿宋_GB2312" w:cs="仿宋_GB2312"/>
          <w:color w:val="231F20"/>
          <w:spacing w:val="0"/>
          <w:sz w:val="32"/>
          <w:szCs w:val="32"/>
          <w:lang w:eastAsia="zh-CN"/>
        </w:rPr>
      </w:pPr>
      <w:r>
        <w:rPr>
          <w:rFonts w:hint="eastAsia" w:ascii="仿宋_GB2312" w:hAnsi="仿宋_GB2312" w:eastAsia="仿宋_GB2312" w:cs="仿宋_GB2312"/>
          <w:color w:val="231F20"/>
          <w:spacing w:val="0"/>
          <w:sz w:val="32"/>
          <w:szCs w:val="32"/>
          <w:lang w:eastAsia="zh-CN"/>
        </w:rPr>
        <w:t>各镇人民政府、街道办事处，开发区管委会，</w:t>
      </w:r>
      <w:r>
        <w:rPr>
          <w:rFonts w:hint="eastAsia" w:ascii="仿宋_GB2312" w:hAnsi="仿宋_GB2312" w:eastAsia="仿宋_GB2312" w:cs="仿宋_GB2312"/>
          <w:color w:val="231F20"/>
          <w:spacing w:val="0"/>
          <w:sz w:val="32"/>
          <w:szCs w:val="32"/>
          <w:lang w:val="en-US" w:eastAsia="zh-CN" w:bidi="ar-SA"/>
        </w:rPr>
        <w:t>区政府各部门，各有关单位</w:t>
      </w:r>
      <w:r>
        <w:rPr>
          <w:rFonts w:hint="eastAsia" w:ascii="仿宋_GB2312" w:hAnsi="仿宋_GB2312" w:eastAsia="仿宋_GB2312" w:cs="仿宋_GB2312"/>
          <w:color w:val="231F20"/>
          <w:spacing w:val="0"/>
          <w:sz w:val="32"/>
          <w:szCs w:val="32"/>
          <w:lang w:eastAsia="zh-CN"/>
        </w:rPr>
        <w:t>：</w:t>
      </w:r>
    </w:p>
    <w:p>
      <w:pPr>
        <w:pStyle w:val="4"/>
        <w:keepNext w:val="0"/>
        <w:keepLines w:val="0"/>
        <w:pageBreakBefore w:val="0"/>
        <w:kinsoku/>
        <w:wordWrap/>
        <w:overflowPunct/>
        <w:topLinePunct w:val="0"/>
        <w:autoSpaceDE w:val="0"/>
        <w:autoSpaceDN w:val="0"/>
        <w:bidi w:val="0"/>
        <w:adjustRightInd/>
        <w:snapToGrid/>
        <w:spacing w:line="576" w:lineRule="exact"/>
        <w:ind w:firstLine="629"/>
        <w:jc w:val="both"/>
        <w:textAlignment w:val="auto"/>
        <w:rPr>
          <w:rFonts w:ascii="仿宋_GB2312" w:hAnsi="仿宋_GB2312" w:eastAsia="仿宋_GB2312" w:cs="仿宋_GB2312"/>
          <w:color w:val="231F20"/>
          <w:spacing w:val="0"/>
          <w:sz w:val="32"/>
          <w:szCs w:val="32"/>
          <w:lang w:eastAsia="zh-CN"/>
        </w:rPr>
      </w:pPr>
      <w:r>
        <w:rPr>
          <w:rFonts w:hint="eastAsia" w:ascii="仿宋_GB2312" w:hAnsi="仿宋_GB2312" w:eastAsia="仿宋_GB2312" w:cs="仿宋_GB2312"/>
          <w:color w:val="231F20"/>
          <w:spacing w:val="0"/>
          <w:sz w:val="32"/>
          <w:szCs w:val="32"/>
          <w:lang w:eastAsia="zh-CN"/>
        </w:rPr>
        <w:t>为深入贯彻习近平总书记关于爱国卫生运动的重要指示精神、《国务院关于深入开展爱国卫生运动的意见》（国发〔2020〕15号）和《淄博市人民政府关于深入开展爱国卫生运动的实施意见》（淄政发〔2023〕1号），充分发挥爱国卫生运动的组织优势和群众动员优势，全面改善人居环境，加快形成文明健康、绿色环保的生活方式，切实保障人民群众生命安全和身体健康，推动爱国卫生运动不断取得新成效，结合我区实际，提出如下实施意见。</w:t>
      </w:r>
    </w:p>
    <w:p>
      <w:pPr>
        <w:pStyle w:val="4"/>
        <w:keepNext w:val="0"/>
        <w:keepLines w:val="0"/>
        <w:pageBreakBefore w:val="0"/>
        <w:kinsoku/>
        <w:wordWrap/>
        <w:overflowPunct/>
        <w:topLinePunct w:val="0"/>
        <w:autoSpaceDE w:val="0"/>
        <w:autoSpaceDN w:val="0"/>
        <w:bidi w:val="0"/>
        <w:adjustRightInd/>
        <w:snapToGrid/>
        <w:spacing w:line="576" w:lineRule="exact"/>
        <w:ind w:firstLine="632" w:firstLineChars="200"/>
        <w:jc w:val="both"/>
        <w:textAlignment w:val="auto"/>
        <w:rPr>
          <w:rFonts w:ascii="黑体" w:hAnsi="黑体" w:eastAsia="黑体" w:cs="黑体"/>
          <w:color w:val="231F20"/>
          <w:spacing w:val="0"/>
          <w:sz w:val="32"/>
          <w:szCs w:val="32"/>
          <w:lang w:eastAsia="zh-CN"/>
        </w:rPr>
      </w:pPr>
      <w:r>
        <w:rPr>
          <w:rFonts w:hint="eastAsia" w:ascii="黑体" w:hAnsi="黑体" w:eastAsia="黑体" w:cs="黑体"/>
          <w:color w:val="231F20"/>
          <w:spacing w:val="0"/>
          <w:sz w:val="32"/>
          <w:szCs w:val="32"/>
          <w:lang w:eastAsia="zh-CN"/>
        </w:rPr>
        <w:t>一、总体要求</w:t>
      </w:r>
    </w:p>
    <w:p>
      <w:pPr>
        <w:pStyle w:val="4"/>
        <w:keepNext w:val="0"/>
        <w:keepLines w:val="0"/>
        <w:pageBreakBefore w:val="0"/>
        <w:kinsoku/>
        <w:wordWrap/>
        <w:overflowPunct/>
        <w:topLinePunct w:val="0"/>
        <w:autoSpaceDE w:val="0"/>
        <w:autoSpaceDN w:val="0"/>
        <w:bidi w:val="0"/>
        <w:adjustRightInd/>
        <w:snapToGrid/>
        <w:spacing w:line="576" w:lineRule="exact"/>
        <w:ind w:firstLine="628"/>
        <w:jc w:val="both"/>
        <w:textAlignment w:val="auto"/>
        <w:rPr>
          <w:rFonts w:ascii="仿宋_GB2312" w:hAnsi="仿宋_GB2312" w:eastAsia="仿宋_GB2312" w:cs="仿宋_GB2312"/>
          <w:color w:val="231F20"/>
          <w:spacing w:val="0"/>
          <w:sz w:val="32"/>
          <w:szCs w:val="32"/>
          <w:lang w:eastAsia="zh-CN"/>
        </w:rPr>
      </w:pPr>
      <w:r>
        <w:rPr>
          <w:rFonts w:hint="eastAsia" w:ascii="仿宋_GB2312" w:hAnsi="仿宋_GB2312" w:eastAsia="仿宋_GB2312" w:cs="仿宋_GB2312"/>
          <w:color w:val="231F20"/>
          <w:spacing w:val="0"/>
          <w:sz w:val="32"/>
          <w:szCs w:val="32"/>
          <w:lang w:eastAsia="zh-CN"/>
        </w:rPr>
        <w:t>以习近平新时代中国特色社会主义思想为指导，全面贯彻党的二十大精神，准确把握爱国卫生工作的丰富内涵，进一步强化健康优先理念和全生命周期健康管理理念，实现对影响健康元素的源头管控和有效管理。新时期开展爱国卫生运动，工作内容上注重从环境卫生治理向全面社会健康管理转变，管理方式上注重从粗放式管理向精细化管理转变，动员方法上注重从运动化向常态化社会动员转变，不断推动爱国卫生工作与健康博山建设在组织架构、行动目标、工作筹划等方面结合融合，切实解决我区爱国卫生工作中存在的突出矛盾和问题，全面改善城乡环境面貌，完善公共卫生设施，提升卫生城镇覆盖率，推进健康细胞建设，广泛普及文明健康、绿色环保的生活方式，全面提升社会健康治理水平。</w:t>
      </w:r>
    </w:p>
    <w:p>
      <w:pPr>
        <w:pStyle w:val="4"/>
        <w:keepNext w:val="0"/>
        <w:keepLines w:val="0"/>
        <w:pageBreakBefore w:val="0"/>
        <w:kinsoku/>
        <w:wordWrap/>
        <w:overflowPunct/>
        <w:topLinePunct w:val="0"/>
        <w:autoSpaceDE w:val="0"/>
        <w:autoSpaceDN w:val="0"/>
        <w:bidi w:val="0"/>
        <w:adjustRightInd/>
        <w:snapToGrid/>
        <w:spacing w:line="576" w:lineRule="exact"/>
        <w:ind w:firstLine="632" w:firstLineChars="200"/>
        <w:jc w:val="both"/>
        <w:textAlignment w:val="auto"/>
        <w:rPr>
          <w:rFonts w:ascii="黑体" w:hAnsi="黑体" w:eastAsia="黑体" w:cs="黑体"/>
          <w:color w:val="231F20"/>
          <w:spacing w:val="0"/>
          <w:sz w:val="32"/>
          <w:szCs w:val="32"/>
          <w:lang w:eastAsia="zh-CN"/>
        </w:rPr>
      </w:pPr>
      <w:r>
        <w:rPr>
          <w:rFonts w:hint="eastAsia" w:ascii="黑体" w:hAnsi="黑体" w:eastAsia="黑体" w:cs="黑体"/>
          <w:color w:val="231F20"/>
          <w:spacing w:val="0"/>
          <w:sz w:val="32"/>
          <w:szCs w:val="32"/>
          <w:lang w:eastAsia="zh-CN"/>
        </w:rPr>
        <w:t>二、主要任务</w:t>
      </w:r>
    </w:p>
    <w:p>
      <w:pPr>
        <w:pStyle w:val="4"/>
        <w:keepNext w:val="0"/>
        <w:keepLines w:val="0"/>
        <w:pageBreakBefore w:val="0"/>
        <w:kinsoku/>
        <w:wordWrap/>
        <w:overflowPunct/>
        <w:topLinePunct w:val="0"/>
        <w:autoSpaceDE w:val="0"/>
        <w:autoSpaceDN w:val="0"/>
        <w:bidi w:val="0"/>
        <w:adjustRightInd/>
        <w:snapToGrid/>
        <w:spacing w:line="576" w:lineRule="exact"/>
        <w:ind w:firstLine="628"/>
        <w:jc w:val="both"/>
        <w:textAlignment w:val="auto"/>
        <w:rPr>
          <w:rFonts w:hint="eastAsia" w:ascii="楷体_GB2312" w:hAnsi="楷体_GB2312" w:eastAsia="楷体_GB2312" w:cs="楷体_GB2312"/>
          <w:color w:val="231F20"/>
          <w:spacing w:val="0"/>
          <w:sz w:val="32"/>
          <w:szCs w:val="32"/>
          <w:lang w:eastAsia="zh-CN"/>
        </w:rPr>
      </w:pPr>
      <w:r>
        <w:rPr>
          <w:rFonts w:hint="eastAsia" w:ascii="楷体_GB2312" w:hAnsi="楷体_GB2312" w:eastAsia="楷体_GB2312" w:cs="楷体_GB2312"/>
          <w:b w:val="0"/>
          <w:bCs w:val="0"/>
          <w:color w:val="231F20"/>
          <w:spacing w:val="0"/>
          <w:sz w:val="32"/>
          <w:szCs w:val="32"/>
          <w:lang w:eastAsia="zh-CN"/>
        </w:rPr>
        <w:t>（一）加强体系建设。</w:t>
      </w:r>
      <w:r>
        <w:rPr>
          <w:rFonts w:hint="eastAsia" w:ascii="仿宋_GB2312" w:hAnsi="仿宋_GB2312" w:eastAsia="仿宋_GB2312" w:cs="仿宋_GB2312"/>
          <w:color w:val="231F20"/>
          <w:spacing w:val="0"/>
          <w:sz w:val="32"/>
          <w:szCs w:val="32"/>
          <w:lang w:eastAsia="zh-CN"/>
        </w:rPr>
        <w:t>进一步强化爱国卫生工作体系建设，健全区、镇（街道）各级爱国卫生工作网络，镇（街道）、村（社区）、机关、企事业单位要明确专兼职爱国卫生工作人员，推动爱国卫生工作在城乡基层得到有效落实。</w:t>
      </w:r>
      <w:r>
        <w:rPr>
          <w:rFonts w:hint="eastAsia" w:ascii="楷体_GB2312" w:hAnsi="楷体_GB2312" w:eastAsia="楷体_GB2312" w:cs="楷体_GB2312"/>
          <w:color w:val="231F20"/>
          <w:spacing w:val="0"/>
          <w:sz w:val="32"/>
          <w:szCs w:val="32"/>
          <w:lang w:eastAsia="zh-CN"/>
        </w:rPr>
        <w:t>〔责任单位：区民政局、区爱卫办，各镇（街道）。以下工作均需各镇（街道）落实，不再一一列出〕</w:t>
      </w:r>
    </w:p>
    <w:p>
      <w:pPr>
        <w:pStyle w:val="4"/>
        <w:keepNext w:val="0"/>
        <w:keepLines w:val="0"/>
        <w:pageBreakBefore w:val="0"/>
        <w:kinsoku/>
        <w:wordWrap/>
        <w:overflowPunct/>
        <w:topLinePunct w:val="0"/>
        <w:autoSpaceDE w:val="0"/>
        <w:autoSpaceDN w:val="0"/>
        <w:bidi w:val="0"/>
        <w:adjustRightInd/>
        <w:snapToGrid/>
        <w:spacing w:line="576" w:lineRule="exact"/>
        <w:ind w:firstLine="628"/>
        <w:jc w:val="both"/>
        <w:textAlignment w:val="auto"/>
        <w:rPr>
          <w:rFonts w:hint="eastAsia" w:ascii="仿宋_GB2312" w:hAnsi="仿宋_GB2312" w:eastAsia="仿宋_GB2312" w:cs="仿宋_GB2312"/>
          <w:color w:val="231F20"/>
          <w:spacing w:val="0"/>
          <w:sz w:val="32"/>
          <w:szCs w:val="32"/>
          <w:lang w:eastAsia="zh-CN"/>
        </w:rPr>
      </w:pPr>
      <w:r>
        <w:rPr>
          <w:rFonts w:hint="eastAsia" w:ascii="楷体_GB2312" w:hAnsi="楷体_GB2312" w:eastAsia="楷体_GB2312" w:cs="楷体_GB2312"/>
          <w:b w:val="0"/>
          <w:bCs w:val="0"/>
          <w:color w:val="231F20"/>
          <w:spacing w:val="0"/>
          <w:sz w:val="32"/>
          <w:szCs w:val="32"/>
          <w:lang w:eastAsia="zh-CN"/>
        </w:rPr>
        <w:t>（二）强化技术支持。</w:t>
      </w:r>
      <w:r>
        <w:rPr>
          <w:rFonts w:hint="eastAsia" w:ascii="仿宋_GB2312" w:hAnsi="仿宋_GB2312" w:eastAsia="仿宋_GB2312" w:cs="仿宋_GB2312"/>
          <w:color w:val="231F20"/>
          <w:spacing w:val="0"/>
          <w:sz w:val="32"/>
          <w:szCs w:val="32"/>
          <w:lang w:eastAsia="zh-CN"/>
        </w:rPr>
        <w:t>区疾控中心承担爱国卫生工作的技术支持，逐步建立涵盖市容环境、环境保护、重点场所卫生、食品卫生和生活饮用水、病媒生物防制等重点领域的专家队伍，并实施动态管理。充分利用信息化、大数据等新手段，增强群众动员、社会沟通等方面的管理能力。</w:t>
      </w:r>
      <w:r>
        <w:rPr>
          <w:rFonts w:hint="eastAsia" w:ascii="楷体_GB2312" w:hAnsi="楷体_GB2312" w:eastAsia="楷体_GB2312" w:cs="楷体_GB2312"/>
          <w:color w:val="231F20"/>
          <w:spacing w:val="0"/>
          <w:sz w:val="32"/>
          <w:szCs w:val="32"/>
          <w:lang w:eastAsia="zh-CN"/>
        </w:rPr>
        <w:t>（责任单位：区卫生健康局）</w:t>
      </w:r>
    </w:p>
    <w:p>
      <w:pPr>
        <w:pStyle w:val="4"/>
        <w:keepNext w:val="0"/>
        <w:keepLines w:val="0"/>
        <w:pageBreakBefore w:val="0"/>
        <w:widowControl w:val="0"/>
        <w:kinsoku/>
        <w:wordWrap/>
        <w:overflowPunct/>
        <w:topLinePunct w:val="0"/>
        <w:autoSpaceDE w:val="0"/>
        <w:autoSpaceDN w:val="0"/>
        <w:bidi w:val="0"/>
        <w:adjustRightInd/>
        <w:snapToGrid/>
        <w:spacing w:before="0" w:after="0" w:line="576" w:lineRule="exact"/>
        <w:ind w:left="0" w:leftChars="0" w:right="0" w:firstLine="628"/>
        <w:jc w:val="both"/>
        <w:textAlignment w:val="auto"/>
        <w:rPr>
          <w:rFonts w:hint="eastAsia" w:ascii="楷体_GB2312" w:hAnsi="楷体_GB2312" w:eastAsia="楷体_GB2312" w:cs="楷体_GB2312"/>
          <w:color w:val="231F20"/>
          <w:spacing w:val="0"/>
          <w:sz w:val="32"/>
          <w:szCs w:val="32"/>
          <w:lang w:eastAsia="zh-CN"/>
        </w:rPr>
      </w:pPr>
      <w:r>
        <w:rPr>
          <w:rFonts w:hint="eastAsia" w:ascii="楷体_GB2312" w:hAnsi="楷体_GB2312" w:eastAsia="楷体_GB2312" w:cs="楷体_GB2312"/>
          <w:b w:val="0"/>
          <w:bCs w:val="0"/>
          <w:color w:val="231F20"/>
          <w:spacing w:val="0"/>
          <w:sz w:val="32"/>
          <w:szCs w:val="32"/>
          <w:lang w:eastAsia="zh-CN"/>
        </w:rPr>
        <w:t>（三）开展环境卫生综合整治。</w:t>
      </w:r>
      <w:r>
        <w:rPr>
          <w:rFonts w:hint="eastAsia" w:ascii="仿宋_GB2312" w:hAnsi="仿宋_GB2312" w:eastAsia="仿宋_GB2312" w:cs="仿宋_GB2312"/>
          <w:color w:val="231F20"/>
          <w:spacing w:val="0"/>
          <w:sz w:val="32"/>
          <w:szCs w:val="32"/>
          <w:lang w:eastAsia="zh-CN"/>
        </w:rPr>
        <w:t>扎实开展城乡环境专项整治、爱国卫生提升行动，统筹治理城乡环境卫生问题。抓好城市老旧小区、城中村、城乡结合部、农贸市场、背街小巷、建筑工地等环境卫生治理，全面排查小餐饮店、小食品店、小作坊、小美容美发店、小旅馆、小歌舞厅、小浴室和小网吧等食品生产经营和公共卫生场所，对发现的证照不全、卫生不达标等问题，依法进行处置。严格落实“三防”设施，规范消毒措施。</w:t>
      </w:r>
      <w:r>
        <w:rPr>
          <w:rFonts w:hint="eastAsia" w:ascii="楷体_GB2312" w:hAnsi="楷体_GB2312" w:eastAsia="楷体_GB2312" w:cs="楷体_GB2312"/>
          <w:color w:val="231F20"/>
          <w:spacing w:val="0"/>
          <w:sz w:val="32"/>
          <w:szCs w:val="32"/>
          <w:lang w:eastAsia="zh-CN"/>
        </w:rPr>
        <w:t>（责任单位：区住房和城乡建设局、区交通运输局、区水利局、区农业农村局、区文化和旅游局、区卫生健康局、区市场监督管理局、区综合行政执法局）</w:t>
      </w:r>
      <w:r>
        <w:rPr>
          <w:rFonts w:hint="eastAsia" w:ascii="仿宋_GB2312" w:hAnsi="仿宋_GB2312" w:eastAsia="仿宋_GB2312" w:cs="仿宋_GB2312"/>
          <w:color w:val="231F20"/>
          <w:spacing w:val="0"/>
          <w:sz w:val="32"/>
          <w:szCs w:val="32"/>
          <w:lang w:eastAsia="zh-CN"/>
        </w:rPr>
        <w:t>积极推动机关、企事业单位和餐饮行业实行分餐制，倡导聚餐使用公勺公筷。</w:t>
      </w:r>
      <w:r>
        <w:rPr>
          <w:rFonts w:hint="eastAsia" w:ascii="楷体_GB2312" w:hAnsi="楷体_GB2312" w:eastAsia="楷体_GB2312" w:cs="楷体_GB2312"/>
          <w:color w:val="231F20"/>
          <w:spacing w:val="0"/>
          <w:sz w:val="32"/>
          <w:szCs w:val="32"/>
          <w:lang w:eastAsia="zh-CN"/>
        </w:rPr>
        <w:t>（责任单位：区市场监督管理局</w:t>
      </w:r>
      <w:r>
        <w:rPr>
          <w:rFonts w:hint="eastAsia" w:ascii="楷体_GB2312" w:hAnsi="楷体_GB2312" w:eastAsia="楷体_GB2312" w:cs="楷体_GB2312"/>
          <w:color w:val="231F20"/>
          <w:spacing w:val="0"/>
          <w:sz w:val="32"/>
          <w:szCs w:val="32"/>
          <w:lang w:val="en-US" w:eastAsia="zh-CN"/>
        </w:rPr>
        <w:t>、区机关事务管理局</w:t>
      </w:r>
      <w:r>
        <w:rPr>
          <w:rFonts w:hint="eastAsia" w:ascii="楷体_GB2312" w:hAnsi="楷体_GB2312" w:eastAsia="楷体_GB2312" w:cs="楷体_GB2312"/>
          <w:color w:val="231F20"/>
          <w:spacing w:val="0"/>
          <w:sz w:val="32"/>
          <w:szCs w:val="32"/>
          <w:lang w:eastAsia="zh-CN"/>
        </w:rPr>
        <w:t>）</w:t>
      </w:r>
      <w:r>
        <w:rPr>
          <w:rFonts w:hint="eastAsia" w:ascii="仿宋_GB2312" w:hAnsi="仿宋_GB2312" w:eastAsia="仿宋_GB2312" w:cs="仿宋_GB2312"/>
          <w:color w:val="231F20"/>
          <w:spacing w:val="0"/>
          <w:sz w:val="32"/>
          <w:szCs w:val="32"/>
          <w:lang w:eastAsia="zh-CN"/>
        </w:rPr>
        <w:t>推进村庄清洁行动，深入持久开展农村人居环境整治。</w:t>
      </w:r>
      <w:r>
        <w:rPr>
          <w:rFonts w:hint="eastAsia" w:ascii="楷体_GB2312" w:hAnsi="楷体_GB2312" w:eastAsia="楷体_GB2312" w:cs="楷体_GB2312"/>
          <w:color w:val="231F20"/>
          <w:spacing w:val="0"/>
          <w:sz w:val="32"/>
          <w:szCs w:val="32"/>
          <w:lang w:eastAsia="zh-CN"/>
        </w:rPr>
        <w:t>（责任单位：区农业农村局）</w:t>
      </w:r>
      <w:r>
        <w:rPr>
          <w:rFonts w:hint="eastAsia" w:ascii="仿宋_GB2312" w:hAnsi="仿宋_GB2312" w:eastAsia="仿宋_GB2312" w:cs="仿宋_GB2312"/>
          <w:color w:val="231F20"/>
          <w:spacing w:val="0"/>
          <w:sz w:val="32"/>
          <w:szCs w:val="32"/>
          <w:lang w:eastAsia="zh-CN"/>
        </w:rPr>
        <w:t>持续加大水、大气、土壤污染防治，严格实行污染物排放总量控制，依法从严查处违法排污行为。</w:t>
      </w:r>
      <w:r>
        <w:rPr>
          <w:rFonts w:hint="eastAsia" w:ascii="楷体_GB2312" w:hAnsi="楷体_GB2312" w:eastAsia="楷体_GB2312" w:cs="楷体_GB2312"/>
          <w:color w:val="231F20"/>
          <w:spacing w:val="0"/>
          <w:sz w:val="32"/>
          <w:szCs w:val="32"/>
          <w:lang w:eastAsia="zh-CN"/>
        </w:rPr>
        <w:t>（责任单位：区生态环境分局）</w:t>
      </w:r>
      <w:r>
        <w:rPr>
          <w:rFonts w:hint="eastAsia" w:ascii="仿宋_GB2312" w:hAnsi="仿宋_GB2312" w:eastAsia="仿宋_GB2312" w:cs="仿宋_GB2312"/>
          <w:color w:val="231F20"/>
          <w:spacing w:val="0"/>
          <w:sz w:val="32"/>
          <w:szCs w:val="32"/>
          <w:lang w:eastAsia="zh-CN"/>
        </w:rPr>
        <w:t>加强铁路车站和铁路沿</w:t>
      </w:r>
      <w:r>
        <w:rPr>
          <w:rFonts w:hint="eastAsia" w:ascii="仿宋_GB2312" w:hAnsi="仿宋_GB2312" w:eastAsia="仿宋_GB2312" w:cs="仿宋_GB2312"/>
          <w:color w:val="auto"/>
          <w:spacing w:val="0"/>
          <w:sz w:val="32"/>
          <w:szCs w:val="32"/>
          <w:lang w:eastAsia="zh-CN"/>
        </w:rPr>
        <w:t>线环境卫生整治，铁路沿线安全保护区内无倾倒垃圾、排污等现象。</w:t>
      </w:r>
      <w:r>
        <w:rPr>
          <w:rFonts w:hint="eastAsia" w:ascii="楷体_GB2312" w:hAnsi="楷体_GB2312" w:eastAsia="楷体_GB2312" w:cs="楷体_GB2312"/>
          <w:color w:val="231F20"/>
          <w:spacing w:val="0"/>
          <w:sz w:val="32"/>
          <w:szCs w:val="32"/>
          <w:lang w:eastAsia="zh-CN"/>
        </w:rPr>
        <w:t>（责任单位：区交通运输局、国铁济南局</w:t>
      </w:r>
      <w:r>
        <w:rPr>
          <w:rFonts w:hint="eastAsia" w:ascii="楷体_GB2312" w:hAnsi="楷体_GB2312" w:eastAsia="楷体_GB2312" w:cs="楷体_GB2312"/>
          <w:color w:val="231F20"/>
          <w:spacing w:val="0"/>
          <w:sz w:val="32"/>
          <w:szCs w:val="32"/>
          <w:lang w:val="en-US" w:eastAsia="zh-CN"/>
        </w:rPr>
        <w:t>淄博车务段</w:t>
      </w:r>
      <w:r>
        <w:rPr>
          <w:rFonts w:hint="eastAsia" w:ascii="楷体_GB2312" w:hAnsi="楷体_GB2312" w:eastAsia="楷体_GB2312" w:cs="楷体_GB2312"/>
          <w:color w:val="231F20"/>
          <w:spacing w:val="0"/>
          <w:sz w:val="32"/>
          <w:szCs w:val="32"/>
          <w:lang w:eastAsia="zh-CN"/>
        </w:rPr>
        <w:t>博山</w:t>
      </w:r>
      <w:r>
        <w:rPr>
          <w:rFonts w:hint="eastAsia" w:ascii="楷体_GB2312" w:hAnsi="楷体_GB2312" w:eastAsia="楷体_GB2312" w:cs="楷体_GB2312"/>
          <w:color w:val="231F20"/>
          <w:spacing w:val="0"/>
          <w:sz w:val="32"/>
          <w:szCs w:val="32"/>
          <w:lang w:val="en-US" w:eastAsia="zh-CN"/>
        </w:rPr>
        <w:t>站</w:t>
      </w:r>
      <w:r>
        <w:rPr>
          <w:rFonts w:hint="eastAsia" w:ascii="楷体_GB2312" w:hAnsi="楷体_GB2312" w:eastAsia="楷体_GB2312" w:cs="楷体_GB2312"/>
          <w:color w:val="231F20"/>
          <w:spacing w:val="0"/>
          <w:sz w:val="32"/>
          <w:szCs w:val="32"/>
          <w:lang w:eastAsia="zh-CN"/>
        </w:rPr>
        <w:t>、</w:t>
      </w:r>
      <w:r>
        <w:rPr>
          <w:rFonts w:hint="eastAsia" w:ascii="楷体_GB2312" w:hAnsi="楷体_GB2312" w:eastAsia="楷体_GB2312" w:cs="楷体_GB2312"/>
          <w:color w:val="231F20"/>
          <w:spacing w:val="0"/>
          <w:sz w:val="32"/>
          <w:szCs w:val="32"/>
          <w:lang w:val="en-US" w:eastAsia="zh-CN"/>
        </w:rPr>
        <w:t>国铁济南局淄博工务段博山工区</w:t>
      </w:r>
      <w:r>
        <w:rPr>
          <w:rFonts w:hint="eastAsia" w:ascii="楷体_GB2312" w:hAnsi="楷体_GB2312" w:eastAsia="楷体_GB2312" w:cs="楷体_GB2312"/>
          <w:color w:val="231F20"/>
          <w:spacing w:val="0"/>
          <w:sz w:val="32"/>
          <w:szCs w:val="32"/>
          <w:lang w:eastAsia="zh-CN"/>
        </w:rPr>
        <w:t>）</w:t>
      </w:r>
    </w:p>
    <w:p>
      <w:pPr>
        <w:pStyle w:val="4"/>
        <w:keepNext w:val="0"/>
        <w:keepLines w:val="0"/>
        <w:pageBreakBefore w:val="0"/>
        <w:kinsoku/>
        <w:wordWrap/>
        <w:overflowPunct/>
        <w:topLinePunct w:val="0"/>
        <w:autoSpaceDE w:val="0"/>
        <w:autoSpaceDN w:val="0"/>
        <w:bidi w:val="0"/>
        <w:adjustRightInd/>
        <w:snapToGrid/>
        <w:spacing w:line="576" w:lineRule="exact"/>
        <w:ind w:firstLine="628"/>
        <w:jc w:val="both"/>
        <w:textAlignment w:val="auto"/>
        <w:rPr>
          <w:rFonts w:hint="eastAsia" w:ascii="楷体_GB2312" w:hAnsi="楷体_GB2312" w:eastAsia="楷体_GB2312" w:cs="楷体_GB2312"/>
          <w:color w:val="231F20"/>
          <w:spacing w:val="0"/>
          <w:sz w:val="32"/>
          <w:szCs w:val="32"/>
          <w:lang w:eastAsia="zh-CN"/>
        </w:rPr>
      </w:pPr>
      <w:r>
        <w:rPr>
          <w:rFonts w:hint="eastAsia" w:ascii="楷体_GB2312" w:hAnsi="楷体_GB2312" w:eastAsia="楷体_GB2312" w:cs="楷体_GB2312"/>
          <w:b w:val="0"/>
          <w:bCs w:val="0"/>
          <w:color w:val="231F20"/>
          <w:spacing w:val="0"/>
          <w:sz w:val="32"/>
          <w:szCs w:val="32"/>
          <w:lang w:eastAsia="zh-CN"/>
        </w:rPr>
        <w:t>（四）提升公共卫生设施。</w:t>
      </w:r>
      <w:r>
        <w:rPr>
          <w:rFonts w:hint="eastAsia" w:ascii="仿宋_GB2312" w:hAnsi="仿宋_GB2312" w:eastAsia="仿宋_GB2312" w:cs="仿宋_GB2312"/>
          <w:color w:val="auto"/>
          <w:spacing w:val="0"/>
          <w:sz w:val="32"/>
          <w:szCs w:val="32"/>
          <w:lang w:eastAsia="zh-CN"/>
        </w:rPr>
        <w:t>坚持问题导</w:t>
      </w:r>
      <w:r>
        <w:rPr>
          <w:rFonts w:hint="eastAsia" w:ascii="仿宋_GB2312" w:hAnsi="仿宋_GB2312" w:eastAsia="仿宋_GB2312" w:cs="仿宋_GB2312"/>
          <w:color w:val="231F20"/>
          <w:spacing w:val="0"/>
          <w:sz w:val="32"/>
          <w:szCs w:val="32"/>
          <w:lang w:eastAsia="zh-CN"/>
        </w:rPr>
        <w:t>向，补齐公共卫生环境短板。健全生活垃圾收运处置体系，推广生活垃圾分类投放、分类收集、分类运输、分类处理。通过政策鼓励、宣传教育等方式，引导群众主动参与垃圾分类。</w:t>
      </w:r>
      <w:r>
        <w:rPr>
          <w:rFonts w:hint="eastAsia" w:ascii="楷体_GB2312" w:hAnsi="楷体_GB2312" w:eastAsia="楷体_GB2312" w:cs="楷体_GB2312"/>
          <w:color w:val="231F20"/>
          <w:spacing w:val="0"/>
          <w:sz w:val="32"/>
          <w:szCs w:val="32"/>
          <w:lang w:eastAsia="zh-CN"/>
        </w:rPr>
        <w:t>（责任单位：区综合行政执法局）</w:t>
      </w:r>
      <w:r>
        <w:rPr>
          <w:rFonts w:hint="eastAsia" w:ascii="仿宋_GB2312" w:hAnsi="仿宋_GB2312" w:eastAsia="仿宋_GB2312" w:cs="仿宋_GB2312"/>
          <w:color w:val="231F20"/>
          <w:spacing w:val="0"/>
          <w:sz w:val="32"/>
          <w:szCs w:val="32"/>
          <w:lang w:eastAsia="zh-CN"/>
        </w:rPr>
        <w:t>加快推进农村改厕后续管护长效机制建设，提升改厕质量。</w:t>
      </w:r>
      <w:r>
        <w:rPr>
          <w:rFonts w:hint="eastAsia" w:ascii="楷体_GB2312" w:hAnsi="楷体_GB2312" w:eastAsia="楷体_GB2312" w:cs="楷体_GB2312"/>
          <w:color w:val="231F20"/>
          <w:spacing w:val="0"/>
          <w:sz w:val="32"/>
          <w:szCs w:val="32"/>
          <w:lang w:eastAsia="zh-CN"/>
        </w:rPr>
        <w:t>（责任单位：区住房和城乡建设局）</w:t>
      </w:r>
      <w:r>
        <w:rPr>
          <w:rFonts w:hint="eastAsia" w:ascii="仿宋_GB2312" w:hAnsi="仿宋_GB2312" w:eastAsia="仿宋_GB2312" w:cs="仿宋_GB2312"/>
          <w:color w:val="231F20"/>
          <w:spacing w:val="0"/>
          <w:sz w:val="32"/>
          <w:szCs w:val="32"/>
          <w:lang w:eastAsia="zh-CN"/>
        </w:rPr>
        <w:t>推进城市供水设施改造提升，提高出厂水水质，扩大供水范围。加强城市二次供水规范化管理。</w:t>
      </w:r>
      <w:r>
        <w:rPr>
          <w:rFonts w:hint="eastAsia" w:ascii="楷体_GB2312" w:hAnsi="楷体_GB2312" w:eastAsia="楷体_GB2312" w:cs="楷体_GB2312"/>
          <w:color w:val="231F20"/>
          <w:spacing w:val="0"/>
          <w:sz w:val="32"/>
          <w:szCs w:val="32"/>
          <w:lang w:eastAsia="zh-CN"/>
        </w:rPr>
        <w:t>（责任单位：区水利局）</w:t>
      </w:r>
      <w:r>
        <w:rPr>
          <w:rFonts w:hint="eastAsia" w:ascii="仿宋_GB2312" w:hAnsi="仿宋_GB2312" w:eastAsia="仿宋_GB2312" w:cs="仿宋_GB2312"/>
          <w:color w:val="231F20"/>
          <w:spacing w:val="0"/>
          <w:sz w:val="32"/>
          <w:szCs w:val="32"/>
          <w:lang w:eastAsia="zh-CN"/>
        </w:rPr>
        <w:t>新建扩建城市污水处理厂，提升城市生活污水处理效能。</w:t>
      </w:r>
      <w:r>
        <w:rPr>
          <w:rFonts w:hint="eastAsia" w:ascii="楷体_GB2312" w:hAnsi="楷体_GB2312" w:eastAsia="楷体_GB2312" w:cs="楷体_GB2312"/>
          <w:color w:val="231F20"/>
          <w:spacing w:val="0"/>
          <w:sz w:val="32"/>
          <w:szCs w:val="32"/>
          <w:lang w:eastAsia="zh-CN"/>
        </w:rPr>
        <w:t>（责任单位：区住房和城乡建设局、区综合行政执法局）</w:t>
      </w:r>
      <w:r>
        <w:rPr>
          <w:rFonts w:hint="eastAsia" w:ascii="仿宋_GB2312" w:hAnsi="仿宋_GB2312" w:eastAsia="仿宋_GB2312" w:cs="仿宋_GB2312"/>
          <w:color w:val="231F20"/>
          <w:spacing w:val="0"/>
          <w:sz w:val="32"/>
          <w:szCs w:val="32"/>
          <w:lang w:eastAsia="zh-CN"/>
        </w:rPr>
        <w:t>开展城市农贸市场、医疗卫生机构、客运站等重点公共场所厕所整治，推进学校厕所改造，加快旅游厕所提档升级，抓好粪污无害化处理。</w:t>
      </w:r>
      <w:r>
        <w:rPr>
          <w:rFonts w:hint="eastAsia" w:ascii="楷体_GB2312" w:hAnsi="楷体_GB2312" w:eastAsia="楷体_GB2312" w:cs="楷体_GB2312"/>
          <w:color w:val="231F20"/>
          <w:spacing w:val="0"/>
          <w:sz w:val="32"/>
          <w:szCs w:val="32"/>
          <w:lang w:eastAsia="zh-CN"/>
        </w:rPr>
        <w:t>（责任单位：区教育和体育局、区交通运输局、区文化和旅游局、区卫生健康局、区市场监督管理局、区综合行政执法局、国铁济南局</w:t>
      </w:r>
      <w:r>
        <w:rPr>
          <w:rFonts w:hint="eastAsia" w:ascii="楷体_GB2312" w:hAnsi="楷体_GB2312" w:eastAsia="楷体_GB2312" w:cs="楷体_GB2312"/>
          <w:color w:val="231F20"/>
          <w:spacing w:val="0"/>
          <w:sz w:val="32"/>
          <w:szCs w:val="32"/>
          <w:lang w:val="en-US" w:eastAsia="zh-CN"/>
        </w:rPr>
        <w:t>淄博车务段</w:t>
      </w:r>
      <w:r>
        <w:rPr>
          <w:rFonts w:hint="eastAsia" w:ascii="楷体_GB2312" w:hAnsi="楷体_GB2312" w:eastAsia="楷体_GB2312" w:cs="楷体_GB2312"/>
          <w:color w:val="231F20"/>
          <w:spacing w:val="0"/>
          <w:sz w:val="32"/>
          <w:szCs w:val="32"/>
          <w:lang w:eastAsia="zh-CN"/>
        </w:rPr>
        <w:t>博山</w:t>
      </w:r>
      <w:r>
        <w:rPr>
          <w:rFonts w:hint="eastAsia" w:ascii="楷体_GB2312" w:hAnsi="楷体_GB2312" w:eastAsia="楷体_GB2312" w:cs="楷体_GB2312"/>
          <w:color w:val="231F20"/>
          <w:spacing w:val="0"/>
          <w:sz w:val="32"/>
          <w:szCs w:val="32"/>
          <w:lang w:val="en-US" w:eastAsia="zh-CN"/>
        </w:rPr>
        <w:t>站</w:t>
      </w:r>
      <w:r>
        <w:rPr>
          <w:rFonts w:hint="eastAsia" w:ascii="楷体_GB2312" w:hAnsi="楷体_GB2312" w:eastAsia="楷体_GB2312" w:cs="楷体_GB2312"/>
          <w:color w:val="231F20"/>
          <w:spacing w:val="0"/>
          <w:sz w:val="32"/>
          <w:szCs w:val="32"/>
          <w:lang w:eastAsia="zh-CN"/>
        </w:rPr>
        <w:t>）</w:t>
      </w:r>
      <w:r>
        <w:rPr>
          <w:rFonts w:hint="eastAsia" w:ascii="仿宋_GB2312" w:hAnsi="仿宋_GB2312" w:eastAsia="仿宋_GB2312" w:cs="仿宋_GB2312"/>
          <w:color w:val="231F20"/>
          <w:spacing w:val="0"/>
          <w:sz w:val="32"/>
          <w:szCs w:val="32"/>
          <w:lang w:eastAsia="zh-CN"/>
        </w:rPr>
        <w:t>加强农村供水制度建设，完善农村供水长效机制。推进规模化供水工程建设以及人口分散区域的小型供水工程规范化改造，不断提高农村供水保障水平。到20</w:t>
      </w:r>
      <w:r>
        <w:rPr>
          <w:rFonts w:hint="eastAsia" w:ascii="仿宋_GB2312" w:hAnsi="仿宋_GB2312" w:eastAsia="仿宋_GB2312" w:cs="仿宋_GB2312"/>
          <w:color w:val="auto"/>
          <w:spacing w:val="0"/>
          <w:sz w:val="32"/>
          <w:szCs w:val="32"/>
          <w:lang w:eastAsia="zh-CN"/>
        </w:rPr>
        <w:t>25年，农村生活饮用水水质监测以镇（街道）为单位实现全覆盖。</w:t>
      </w:r>
      <w:r>
        <w:rPr>
          <w:rFonts w:hint="eastAsia" w:ascii="楷体_GB2312" w:hAnsi="楷体_GB2312" w:eastAsia="楷体_GB2312" w:cs="楷体_GB2312"/>
          <w:color w:val="231F20"/>
          <w:spacing w:val="0"/>
          <w:sz w:val="32"/>
          <w:szCs w:val="32"/>
          <w:lang w:eastAsia="zh-CN"/>
        </w:rPr>
        <w:t>（责任单位：区水利局、区生态环境分局）</w:t>
      </w:r>
    </w:p>
    <w:p>
      <w:pPr>
        <w:pStyle w:val="4"/>
        <w:keepNext w:val="0"/>
        <w:keepLines w:val="0"/>
        <w:pageBreakBefore w:val="0"/>
        <w:kinsoku/>
        <w:wordWrap/>
        <w:overflowPunct/>
        <w:topLinePunct w:val="0"/>
        <w:autoSpaceDE w:val="0"/>
        <w:autoSpaceDN w:val="0"/>
        <w:bidi w:val="0"/>
        <w:adjustRightInd/>
        <w:snapToGrid/>
        <w:spacing w:line="576" w:lineRule="exact"/>
        <w:ind w:firstLine="628"/>
        <w:jc w:val="both"/>
        <w:textAlignment w:val="auto"/>
        <w:rPr>
          <w:rFonts w:hint="eastAsia" w:ascii="楷体_GB2312" w:hAnsi="楷体_GB2312" w:eastAsia="楷体_GB2312" w:cs="楷体_GB2312"/>
          <w:color w:val="231F20"/>
          <w:spacing w:val="0"/>
          <w:sz w:val="32"/>
          <w:szCs w:val="32"/>
          <w:lang w:eastAsia="zh-CN"/>
        </w:rPr>
      </w:pPr>
      <w:r>
        <w:rPr>
          <w:rFonts w:hint="eastAsia" w:ascii="楷体_GB2312" w:hAnsi="楷体_GB2312" w:eastAsia="楷体_GB2312" w:cs="楷体_GB2312"/>
          <w:b w:val="0"/>
          <w:bCs w:val="0"/>
          <w:color w:val="231F20"/>
          <w:spacing w:val="0"/>
          <w:sz w:val="32"/>
          <w:szCs w:val="32"/>
          <w:lang w:eastAsia="zh-CN"/>
        </w:rPr>
        <w:t>（五）强化病媒生物防制。</w:t>
      </w:r>
      <w:r>
        <w:rPr>
          <w:rFonts w:hint="eastAsia" w:ascii="仿宋_GB2312" w:hAnsi="仿宋_GB2312" w:eastAsia="仿宋_GB2312" w:cs="仿宋_GB2312"/>
          <w:color w:val="231F20"/>
          <w:spacing w:val="0"/>
          <w:sz w:val="32"/>
          <w:szCs w:val="32"/>
          <w:lang w:eastAsia="zh-CN"/>
        </w:rPr>
        <w:t>坚持日常防制和集中防制、专业防制和常规防制相结合，积极开展以环境治理为主、药物防制为辅的病媒生物防制工作。各镇（街道）每年至少组织一次病媒生物防制培训，每季度至少排查一次本地病媒生物孳生的重点场所，每年5—6月和11—12月要集中开展一次“除四害”活动，确保病媒生物密度控制水平达到国家C级标准要求。以元旦、春节等重要节日为契机，广泛发动群众，开展家庭卫生清理和药物消杀。</w:t>
      </w:r>
      <w:r>
        <w:rPr>
          <w:rFonts w:hint="eastAsia" w:ascii="楷体_GB2312" w:hAnsi="楷体_GB2312" w:eastAsia="楷体_GB2312" w:cs="楷体_GB2312"/>
          <w:color w:val="231F20"/>
          <w:spacing w:val="0"/>
          <w:sz w:val="32"/>
          <w:szCs w:val="32"/>
          <w:lang w:eastAsia="zh-CN"/>
        </w:rPr>
        <w:t>（责任单位：区卫生健康局）</w:t>
      </w:r>
    </w:p>
    <w:p>
      <w:pPr>
        <w:pStyle w:val="4"/>
        <w:keepNext w:val="0"/>
        <w:keepLines w:val="0"/>
        <w:pageBreakBefore w:val="0"/>
        <w:kinsoku/>
        <w:wordWrap/>
        <w:overflowPunct/>
        <w:topLinePunct w:val="0"/>
        <w:autoSpaceDE w:val="0"/>
        <w:autoSpaceDN w:val="0"/>
        <w:bidi w:val="0"/>
        <w:adjustRightInd/>
        <w:snapToGrid/>
        <w:spacing w:line="576" w:lineRule="exact"/>
        <w:ind w:firstLine="628"/>
        <w:jc w:val="both"/>
        <w:textAlignment w:val="auto"/>
        <w:rPr>
          <w:rFonts w:ascii="仿宋_GB2312" w:hAnsi="仿宋_GB2312" w:eastAsia="仿宋_GB2312" w:cs="仿宋_GB2312"/>
          <w:color w:val="231F20"/>
          <w:spacing w:val="0"/>
          <w:sz w:val="32"/>
          <w:szCs w:val="32"/>
          <w:lang w:eastAsia="zh-CN"/>
        </w:rPr>
      </w:pPr>
      <w:r>
        <w:rPr>
          <w:rFonts w:hint="eastAsia" w:ascii="楷体_GB2312" w:hAnsi="楷体_GB2312" w:eastAsia="楷体_GB2312" w:cs="楷体_GB2312"/>
          <w:b w:val="0"/>
          <w:bCs w:val="0"/>
          <w:color w:val="231F20"/>
          <w:spacing w:val="0"/>
          <w:sz w:val="32"/>
          <w:szCs w:val="32"/>
          <w:lang w:eastAsia="zh-CN"/>
        </w:rPr>
        <w:t>（六）开展无烟环境建设。</w:t>
      </w:r>
      <w:r>
        <w:rPr>
          <w:rFonts w:hint="eastAsia" w:ascii="仿宋_GB2312" w:hAnsi="仿宋_GB2312" w:eastAsia="仿宋_GB2312" w:cs="仿宋_GB2312"/>
          <w:color w:val="231F20"/>
          <w:spacing w:val="0"/>
          <w:sz w:val="32"/>
          <w:szCs w:val="32"/>
          <w:lang w:eastAsia="zh-CN"/>
        </w:rPr>
        <w:t>大力推进控烟制度建设，力争到</w:t>
      </w:r>
    </w:p>
    <w:p>
      <w:pPr>
        <w:pStyle w:val="4"/>
        <w:keepNext w:val="0"/>
        <w:keepLines w:val="0"/>
        <w:pageBreakBefore w:val="0"/>
        <w:widowControl w:val="0"/>
        <w:kinsoku/>
        <w:wordWrap/>
        <w:overflowPunct/>
        <w:topLinePunct w:val="0"/>
        <w:autoSpaceDE w:val="0"/>
        <w:autoSpaceDN w:val="0"/>
        <w:bidi w:val="0"/>
        <w:adjustRightInd/>
        <w:snapToGrid/>
        <w:spacing w:before="0" w:after="0" w:line="576" w:lineRule="exact"/>
        <w:ind w:right="0"/>
        <w:jc w:val="both"/>
        <w:textAlignment w:val="auto"/>
        <w:rPr>
          <w:rFonts w:hint="eastAsia" w:ascii="楷体_GB2312" w:hAnsi="楷体_GB2312" w:eastAsia="楷体_GB2312" w:cs="楷体_GB2312"/>
          <w:color w:val="231F20"/>
          <w:spacing w:val="0"/>
          <w:sz w:val="32"/>
          <w:szCs w:val="32"/>
          <w:lang w:eastAsia="zh-CN"/>
        </w:rPr>
      </w:pPr>
      <w:r>
        <w:rPr>
          <w:rFonts w:hint="eastAsia" w:ascii="仿宋_GB2312" w:hAnsi="仿宋_GB2312" w:eastAsia="仿宋_GB2312" w:cs="仿宋_GB2312"/>
          <w:color w:val="231F20"/>
          <w:spacing w:val="0"/>
          <w:sz w:val="32"/>
          <w:szCs w:val="32"/>
          <w:lang w:eastAsia="zh-CN"/>
        </w:rPr>
        <w:t>2025年，无烟法规保护人口比例达到100%。积极开展无烟家庭建设，广泛宣传保护家人免受烟草危害。全区无烟机关、无烟学校、无烟医疗机构实现全覆盖。加强戒烟服务体系和控烟志愿者队伍建设，推动有条件的医疗机构开设戒烟门诊。大力开展控烟宣传教育，推动控烟工作向基层延伸，到2025年，15岁以上人群吸烟率下降至20%以下。</w:t>
      </w:r>
      <w:r>
        <w:rPr>
          <w:rFonts w:hint="eastAsia" w:ascii="楷体_GB2312" w:hAnsi="楷体_GB2312" w:eastAsia="楷体_GB2312" w:cs="楷体_GB2312"/>
          <w:color w:val="231F20"/>
          <w:spacing w:val="0"/>
          <w:sz w:val="32"/>
          <w:szCs w:val="32"/>
          <w:lang w:eastAsia="zh-CN"/>
        </w:rPr>
        <w:t>（责任单位：区委宣传部、区妇联、区教育和体育局、区司法局、区卫生健康局、</w:t>
      </w:r>
      <w:r>
        <w:rPr>
          <w:rFonts w:hint="eastAsia" w:ascii="楷体_GB2312" w:hAnsi="楷体_GB2312" w:eastAsia="楷体_GB2312" w:cs="楷体_GB2312"/>
          <w:color w:val="231F20"/>
          <w:spacing w:val="0"/>
          <w:sz w:val="32"/>
          <w:szCs w:val="32"/>
          <w:lang w:val="en-US" w:eastAsia="zh-CN"/>
        </w:rPr>
        <w:t>区机关事务管理局</w:t>
      </w:r>
      <w:r>
        <w:rPr>
          <w:rFonts w:hint="eastAsia" w:ascii="楷体_GB2312" w:hAnsi="楷体_GB2312" w:eastAsia="楷体_GB2312" w:cs="楷体_GB2312"/>
          <w:color w:val="231F20"/>
          <w:spacing w:val="0"/>
          <w:sz w:val="32"/>
          <w:szCs w:val="32"/>
          <w:lang w:eastAsia="zh-CN"/>
        </w:rPr>
        <w:t>、</w:t>
      </w:r>
      <w:r>
        <w:rPr>
          <w:rFonts w:hint="eastAsia" w:ascii="楷体_GB2312" w:hAnsi="楷体_GB2312" w:eastAsia="楷体_GB2312" w:cs="楷体_GB2312"/>
          <w:color w:val="231F20"/>
          <w:spacing w:val="0"/>
          <w:sz w:val="32"/>
          <w:szCs w:val="32"/>
          <w:lang w:val="en-US" w:eastAsia="zh-CN"/>
        </w:rPr>
        <w:t>区融媒体中心）</w:t>
      </w:r>
    </w:p>
    <w:p>
      <w:pPr>
        <w:pStyle w:val="4"/>
        <w:keepNext w:val="0"/>
        <w:keepLines w:val="0"/>
        <w:pageBreakBefore w:val="0"/>
        <w:kinsoku/>
        <w:wordWrap/>
        <w:overflowPunct/>
        <w:topLinePunct w:val="0"/>
        <w:autoSpaceDE w:val="0"/>
        <w:autoSpaceDN w:val="0"/>
        <w:bidi w:val="0"/>
        <w:adjustRightInd/>
        <w:snapToGrid/>
        <w:spacing w:line="576" w:lineRule="exact"/>
        <w:ind w:firstLine="628"/>
        <w:jc w:val="both"/>
        <w:textAlignment w:val="auto"/>
        <w:rPr>
          <w:rFonts w:hint="eastAsia" w:ascii="楷体_GB2312" w:hAnsi="楷体_GB2312" w:eastAsia="楷体_GB2312" w:cs="楷体_GB2312"/>
          <w:color w:val="231F20"/>
          <w:spacing w:val="0"/>
          <w:sz w:val="32"/>
          <w:szCs w:val="32"/>
          <w:lang w:eastAsia="zh-CN"/>
        </w:rPr>
      </w:pPr>
      <w:r>
        <w:rPr>
          <w:rFonts w:hint="eastAsia" w:ascii="楷体_GB2312" w:hAnsi="楷体_GB2312" w:eastAsia="楷体_GB2312" w:cs="楷体_GB2312"/>
          <w:b w:val="0"/>
          <w:bCs w:val="0"/>
          <w:color w:val="231F20"/>
          <w:spacing w:val="0"/>
          <w:sz w:val="32"/>
          <w:szCs w:val="32"/>
          <w:lang w:eastAsia="zh-CN"/>
        </w:rPr>
        <w:t>（七）常态长效巩固国家卫生城市创建成果。</w:t>
      </w:r>
      <w:r>
        <w:rPr>
          <w:rFonts w:hint="eastAsia" w:ascii="仿宋_GB2312" w:hAnsi="仿宋_GB2312" w:eastAsia="仿宋_GB2312" w:cs="仿宋_GB2312"/>
          <w:color w:val="231F20"/>
          <w:spacing w:val="0"/>
          <w:sz w:val="32"/>
          <w:szCs w:val="32"/>
          <w:lang w:eastAsia="zh-CN"/>
        </w:rPr>
        <w:t>持续做好国家卫生城市创建成果巩固工作，强化工作力量，建立健全工作制度，形成长效机制。按照国家卫生城市最新标准，进一步健全完善行业规范体系，持续提升行业规范化管理水平。</w:t>
      </w:r>
      <w:r>
        <w:rPr>
          <w:rFonts w:hint="eastAsia" w:ascii="楷体_GB2312" w:hAnsi="楷体_GB2312" w:eastAsia="楷体_GB2312" w:cs="楷体_GB2312"/>
          <w:color w:val="231F20"/>
          <w:spacing w:val="0"/>
          <w:sz w:val="32"/>
          <w:szCs w:val="32"/>
          <w:lang w:eastAsia="zh-CN"/>
        </w:rPr>
        <w:t>（责任单位：区有关部门单位按职责分工负责）</w:t>
      </w:r>
      <w:r>
        <w:rPr>
          <w:rFonts w:hint="eastAsia" w:ascii="仿宋_GB2312" w:hAnsi="仿宋_GB2312" w:eastAsia="仿宋_GB2312" w:cs="仿宋_GB2312"/>
          <w:color w:val="231F20"/>
          <w:spacing w:val="0"/>
          <w:sz w:val="32"/>
          <w:szCs w:val="32"/>
          <w:lang w:eastAsia="zh-CN"/>
        </w:rPr>
        <w:t>制定长效宣传计划，全方位多角度深层次开展报道，让卫生城市理念深入人心，持续营造“人人参与</w:t>
      </w:r>
      <w:r>
        <w:rPr>
          <w:rFonts w:hint="eastAsia" w:ascii="仿宋_GB2312" w:hAnsi="仿宋_GB2312" w:eastAsia="仿宋_GB2312" w:cs="仿宋_GB2312"/>
          <w:color w:val="auto"/>
          <w:spacing w:val="0"/>
          <w:sz w:val="32"/>
          <w:szCs w:val="32"/>
          <w:lang w:eastAsia="zh-CN"/>
        </w:rPr>
        <w:t>、共建共享”的浓厚氛围。</w:t>
      </w:r>
      <w:r>
        <w:rPr>
          <w:rFonts w:hint="eastAsia" w:ascii="楷体_GB2312" w:hAnsi="楷体_GB2312" w:eastAsia="楷体_GB2312" w:cs="楷体_GB2312"/>
          <w:color w:val="231F20"/>
          <w:spacing w:val="0"/>
          <w:sz w:val="32"/>
          <w:szCs w:val="32"/>
          <w:lang w:eastAsia="zh-CN"/>
        </w:rPr>
        <w:t>（责任单位：区委宣传部、</w:t>
      </w:r>
      <w:r>
        <w:rPr>
          <w:rFonts w:hint="eastAsia" w:ascii="楷体_GB2312" w:hAnsi="楷体_GB2312" w:eastAsia="楷体_GB2312" w:cs="楷体_GB2312"/>
          <w:color w:val="231F20"/>
          <w:spacing w:val="0"/>
          <w:sz w:val="32"/>
          <w:szCs w:val="32"/>
          <w:lang w:val="en-US" w:eastAsia="zh-CN"/>
        </w:rPr>
        <w:t>区融媒体中心、</w:t>
      </w:r>
      <w:r>
        <w:rPr>
          <w:rFonts w:hint="eastAsia" w:ascii="楷体_GB2312" w:hAnsi="楷体_GB2312" w:eastAsia="楷体_GB2312" w:cs="楷体_GB2312"/>
          <w:color w:val="231F20"/>
          <w:spacing w:val="0"/>
          <w:sz w:val="32"/>
          <w:szCs w:val="32"/>
          <w:lang w:eastAsia="zh-CN"/>
        </w:rPr>
        <w:t>区爱卫办）</w:t>
      </w:r>
    </w:p>
    <w:p>
      <w:pPr>
        <w:pStyle w:val="4"/>
        <w:keepNext w:val="0"/>
        <w:keepLines w:val="0"/>
        <w:pageBreakBefore w:val="0"/>
        <w:widowControl w:val="0"/>
        <w:kinsoku/>
        <w:wordWrap/>
        <w:overflowPunct/>
        <w:topLinePunct w:val="0"/>
        <w:autoSpaceDE w:val="0"/>
        <w:autoSpaceDN w:val="0"/>
        <w:bidi w:val="0"/>
        <w:adjustRightInd/>
        <w:snapToGrid/>
        <w:spacing w:line="576" w:lineRule="exact"/>
        <w:ind w:firstLine="628"/>
        <w:jc w:val="both"/>
        <w:textAlignment w:val="auto"/>
        <w:rPr>
          <w:rFonts w:hint="eastAsia" w:ascii="楷体_GB2312" w:hAnsi="楷体_GB2312" w:eastAsia="楷体_GB2312" w:cs="楷体_GB2312"/>
          <w:color w:val="231F20"/>
          <w:spacing w:val="0"/>
          <w:sz w:val="32"/>
          <w:szCs w:val="32"/>
          <w:lang w:eastAsia="zh-CN"/>
        </w:rPr>
      </w:pPr>
      <w:r>
        <w:rPr>
          <w:rFonts w:hint="eastAsia" w:ascii="楷体_GB2312" w:hAnsi="楷体_GB2312" w:eastAsia="楷体_GB2312" w:cs="楷体_GB2312"/>
          <w:b w:val="0"/>
          <w:bCs w:val="0"/>
          <w:color w:val="231F20"/>
          <w:spacing w:val="0"/>
          <w:sz w:val="32"/>
          <w:szCs w:val="32"/>
          <w:lang w:eastAsia="zh-CN"/>
        </w:rPr>
        <w:t>（八）大力推进卫生城镇创建。</w:t>
      </w:r>
      <w:r>
        <w:rPr>
          <w:rFonts w:hint="eastAsia" w:ascii="仿宋_GB2312" w:hAnsi="仿宋_GB2312" w:eastAsia="仿宋_GB2312" w:cs="仿宋_GB2312"/>
          <w:color w:val="231F20"/>
          <w:spacing w:val="0"/>
          <w:sz w:val="32"/>
          <w:szCs w:val="32"/>
          <w:lang w:eastAsia="zh-CN"/>
        </w:rPr>
        <w:t>积极开展卫生创建活动，推动城乡环境质量整体提升。到2025年，全区国家卫生乡镇比例不低于50%。加强卫生城镇建设的技术指导和监督管理，引导国家和省级卫生城镇不断巩固建设成果，形成长效机制。</w:t>
      </w:r>
      <w:r>
        <w:rPr>
          <w:rFonts w:hint="eastAsia" w:ascii="楷体_GB2312" w:hAnsi="楷体_GB2312" w:eastAsia="楷体_GB2312" w:cs="楷体_GB2312"/>
          <w:color w:val="231F20"/>
          <w:spacing w:val="0"/>
          <w:sz w:val="32"/>
          <w:szCs w:val="32"/>
          <w:lang w:eastAsia="zh-CN"/>
        </w:rPr>
        <w:t>（责任单位：区爱卫办）</w:t>
      </w:r>
    </w:p>
    <w:p>
      <w:pPr>
        <w:pStyle w:val="4"/>
        <w:keepNext w:val="0"/>
        <w:keepLines w:val="0"/>
        <w:pageBreakBefore w:val="0"/>
        <w:widowControl w:val="0"/>
        <w:kinsoku/>
        <w:wordWrap/>
        <w:overflowPunct/>
        <w:topLinePunct w:val="0"/>
        <w:autoSpaceDE w:val="0"/>
        <w:autoSpaceDN w:val="0"/>
        <w:bidi w:val="0"/>
        <w:adjustRightInd/>
        <w:snapToGrid/>
        <w:spacing w:line="576" w:lineRule="exact"/>
        <w:ind w:firstLine="628"/>
        <w:jc w:val="both"/>
        <w:textAlignment w:val="auto"/>
        <w:rPr>
          <w:rFonts w:hint="eastAsia" w:ascii="楷体_GB2312" w:hAnsi="楷体_GB2312" w:eastAsia="楷体_GB2312" w:cs="楷体_GB2312"/>
          <w:color w:val="231F20"/>
          <w:spacing w:val="0"/>
          <w:sz w:val="32"/>
          <w:szCs w:val="32"/>
          <w:lang w:eastAsia="zh-CN"/>
        </w:rPr>
      </w:pPr>
      <w:r>
        <w:rPr>
          <w:rFonts w:hint="eastAsia" w:ascii="楷体_GB2312" w:hAnsi="楷体_GB2312" w:eastAsia="楷体_GB2312" w:cs="楷体_GB2312"/>
          <w:b w:val="0"/>
          <w:bCs w:val="0"/>
          <w:color w:val="231F20"/>
          <w:spacing w:val="0"/>
          <w:sz w:val="32"/>
          <w:szCs w:val="32"/>
          <w:lang w:eastAsia="zh-CN"/>
        </w:rPr>
        <w:t>（九）推进健康细胞建设。</w:t>
      </w:r>
      <w:r>
        <w:rPr>
          <w:rFonts w:hint="eastAsia" w:ascii="仿宋_GB2312" w:hAnsi="仿宋_GB2312" w:eastAsia="仿宋_GB2312" w:cs="仿宋_GB2312"/>
          <w:color w:val="231F20"/>
          <w:spacing w:val="0"/>
          <w:sz w:val="32"/>
          <w:szCs w:val="32"/>
          <w:lang w:eastAsia="zh-CN"/>
        </w:rPr>
        <w:t>把健康细胞建设作为健康博山建设的重要抓手，建成一批建设样板，推动全生命周期健康管理理念贯穿城市规划、建设、管理全过程各环节。鼓励各镇（街道）根据自身经济发展水平、文化特点等，以整洁宜居的环境、便民优质的服务、和谐文明的文化为主要内容，培育一批健康乡镇、健康社区、健康机关、健康企业、健康学校、健康家庭等健康细胞建设特色样板，发挥辐射带动作用。力争到2025年年底，全区建成各类健康细胞</w:t>
      </w:r>
      <w:r>
        <w:rPr>
          <w:rFonts w:hint="eastAsia" w:ascii="仿宋_GB2312" w:hAnsi="仿宋_GB2312" w:eastAsia="仿宋_GB2312" w:cs="仿宋_GB2312"/>
          <w:color w:val="231F20"/>
          <w:spacing w:val="0"/>
          <w:sz w:val="32"/>
          <w:szCs w:val="32"/>
          <w:lang w:val="en-US" w:eastAsia="zh-CN"/>
        </w:rPr>
        <w:t>1</w:t>
      </w:r>
      <w:r>
        <w:rPr>
          <w:rFonts w:hint="eastAsia" w:ascii="仿宋_GB2312" w:hAnsi="仿宋_GB2312" w:eastAsia="仿宋_GB2312" w:cs="仿宋_GB2312"/>
          <w:color w:val="231F20"/>
          <w:spacing w:val="0"/>
          <w:sz w:val="32"/>
          <w:szCs w:val="32"/>
          <w:lang w:eastAsia="zh-CN"/>
        </w:rPr>
        <w:t>00个左右。</w:t>
      </w:r>
      <w:r>
        <w:rPr>
          <w:rFonts w:hint="eastAsia" w:ascii="楷体_GB2312" w:hAnsi="楷体_GB2312" w:eastAsia="楷体_GB2312" w:cs="楷体_GB2312"/>
          <w:color w:val="231F20"/>
          <w:spacing w:val="0"/>
          <w:sz w:val="32"/>
          <w:szCs w:val="32"/>
          <w:lang w:eastAsia="zh-CN"/>
        </w:rPr>
        <w:t>（责任单位：区教育和体育局、区爱卫办）</w:t>
      </w:r>
    </w:p>
    <w:p>
      <w:pPr>
        <w:pStyle w:val="4"/>
        <w:keepNext w:val="0"/>
        <w:keepLines w:val="0"/>
        <w:pageBreakBefore w:val="0"/>
        <w:widowControl w:val="0"/>
        <w:kinsoku/>
        <w:wordWrap/>
        <w:overflowPunct/>
        <w:topLinePunct w:val="0"/>
        <w:autoSpaceDE w:val="0"/>
        <w:autoSpaceDN w:val="0"/>
        <w:bidi w:val="0"/>
        <w:adjustRightInd/>
        <w:snapToGrid/>
        <w:spacing w:line="576" w:lineRule="exact"/>
        <w:ind w:firstLine="629"/>
        <w:jc w:val="both"/>
        <w:textAlignment w:val="auto"/>
        <w:rPr>
          <w:rFonts w:hint="eastAsia" w:ascii="楷体_GB2312" w:hAnsi="楷体_GB2312" w:eastAsia="楷体_GB2312" w:cs="楷体_GB2312"/>
          <w:color w:val="231F20"/>
          <w:spacing w:val="6"/>
          <w:position w:val="0"/>
          <w:sz w:val="32"/>
          <w:szCs w:val="32"/>
          <w:lang w:eastAsia="zh-CN"/>
        </w:rPr>
      </w:pPr>
      <w:r>
        <w:rPr>
          <w:rFonts w:hint="eastAsia" w:ascii="楷体_GB2312" w:hAnsi="楷体_GB2312" w:eastAsia="楷体_GB2312" w:cs="楷体_GB2312"/>
          <w:b w:val="0"/>
          <w:bCs w:val="0"/>
          <w:color w:val="231F20"/>
          <w:spacing w:val="0"/>
          <w:sz w:val="32"/>
          <w:szCs w:val="32"/>
          <w:lang w:eastAsia="zh-CN"/>
        </w:rPr>
        <w:t>（十）倡导文明健康、绿色环保生活方式。</w:t>
      </w:r>
      <w:r>
        <w:rPr>
          <w:rFonts w:hint="eastAsia" w:ascii="仿宋_GB2312" w:hAnsi="仿宋_GB2312" w:eastAsia="仿宋_GB2312" w:cs="仿宋_GB2312"/>
          <w:color w:val="231F20"/>
          <w:spacing w:val="0"/>
          <w:sz w:val="32"/>
          <w:szCs w:val="32"/>
          <w:lang w:eastAsia="zh-CN"/>
        </w:rPr>
        <w:t>各镇（街道）要积极制定卫生健康公约，宣传健康生活方式，普及卫生健康和疾病防控知识。注重发挥专家作用和关键群体引领作用，广泛开展健康科普进村镇、进社区、进机关、进企业、进学校、进家庭活动，引导群众养成戒烟限酒、适量运动、合理膳食、心理平衡的健康生活方式。将健康教育作为中小学素质教育的重要内容，以“小手拉大手”促进全社会形成文明卫生习惯。宣传公共卫生安全、重大疾病防控及不同季节重点流行疾病防控等卫生健康知识，推动群众养成戴口罩、勤洗手、多通风、少聚集的良好习惯，筑牢传染病防控的第一道防线。加快推进公共体育设施建设，广泛</w:t>
      </w:r>
      <w:r>
        <w:rPr>
          <w:rFonts w:hint="eastAsia" w:ascii="仿宋_GB2312" w:hAnsi="仿宋_GB2312" w:eastAsia="仿宋_GB2312" w:cs="仿宋_GB2312"/>
          <w:color w:val="231F20"/>
          <w:spacing w:val="6"/>
          <w:position w:val="0"/>
          <w:sz w:val="32"/>
          <w:szCs w:val="32"/>
          <w:lang w:eastAsia="zh-CN"/>
        </w:rPr>
        <w:t>开展全民健身活动，加大全民健身宣传和科学指导力度，动员社会各界积极参加全民健身。通过开展系列宣教活动，到2025年，居民健康素养水平达到30%。</w:t>
      </w:r>
      <w:r>
        <w:rPr>
          <w:rFonts w:hint="eastAsia" w:ascii="楷体_GB2312" w:hAnsi="楷体_GB2312" w:eastAsia="楷体_GB2312" w:cs="楷体_GB2312"/>
          <w:color w:val="231F20"/>
          <w:spacing w:val="6"/>
          <w:position w:val="0"/>
          <w:sz w:val="32"/>
          <w:szCs w:val="32"/>
          <w:lang w:eastAsia="zh-CN"/>
        </w:rPr>
        <w:t>（责任单位：区委宣传部、区教育和体育局、区卫生健康局）</w:t>
      </w:r>
    </w:p>
    <w:p>
      <w:pPr>
        <w:pStyle w:val="4"/>
        <w:keepNext w:val="0"/>
        <w:keepLines w:val="0"/>
        <w:pageBreakBefore w:val="0"/>
        <w:widowControl w:val="0"/>
        <w:kinsoku/>
        <w:wordWrap/>
        <w:overflowPunct/>
        <w:topLinePunct w:val="0"/>
        <w:autoSpaceDE w:val="0"/>
        <w:autoSpaceDN w:val="0"/>
        <w:bidi w:val="0"/>
        <w:adjustRightInd/>
        <w:snapToGrid/>
        <w:spacing w:line="576" w:lineRule="exact"/>
        <w:ind w:firstLine="628"/>
        <w:jc w:val="both"/>
        <w:textAlignment w:val="auto"/>
        <w:rPr>
          <w:rFonts w:ascii="仿宋_GB2312" w:hAnsi="仿宋_GB2312" w:eastAsia="仿宋_GB2312" w:cs="仿宋_GB2312"/>
          <w:color w:val="231F20"/>
          <w:spacing w:val="6"/>
          <w:position w:val="0"/>
          <w:sz w:val="32"/>
          <w:szCs w:val="32"/>
          <w:lang w:eastAsia="zh-CN"/>
        </w:rPr>
      </w:pPr>
      <w:r>
        <w:rPr>
          <w:rFonts w:hint="eastAsia" w:ascii="黑体" w:hAnsi="黑体" w:eastAsia="黑体" w:cs="黑体"/>
          <w:color w:val="231F20"/>
          <w:spacing w:val="6"/>
          <w:position w:val="0"/>
          <w:sz w:val="32"/>
          <w:szCs w:val="32"/>
          <w:lang w:eastAsia="zh-CN"/>
        </w:rPr>
        <w:t>三、保障措施</w:t>
      </w:r>
    </w:p>
    <w:p>
      <w:pPr>
        <w:pStyle w:val="4"/>
        <w:keepNext w:val="0"/>
        <w:keepLines w:val="0"/>
        <w:pageBreakBefore w:val="0"/>
        <w:widowControl w:val="0"/>
        <w:kinsoku/>
        <w:wordWrap/>
        <w:overflowPunct/>
        <w:topLinePunct w:val="0"/>
        <w:autoSpaceDE w:val="0"/>
        <w:autoSpaceDN w:val="0"/>
        <w:bidi w:val="0"/>
        <w:adjustRightInd/>
        <w:snapToGrid/>
        <w:spacing w:line="576" w:lineRule="exact"/>
        <w:ind w:firstLine="628"/>
        <w:jc w:val="both"/>
        <w:textAlignment w:val="auto"/>
        <w:rPr>
          <w:rFonts w:hint="eastAsia" w:ascii="楷体_GB2312" w:hAnsi="楷体_GB2312" w:eastAsia="楷体_GB2312" w:cs="楷体_GB2312"/>
          <w:color w:val="231F20"/>
          <w:spacing w:val="6"/>
          <w:position w:val="0"/>
          <w:sz w:val="32"/>
          <w:szCs w:val="32"/>
          <w:lang w:eastAsia="zh-CN"/>
        </w:rPr>
      </w:pPr>
      <w:r>
        <w:rPr>
          <w:rFonts w:hint="eastAsia" w:ascii="楷体_GB2312" w:hAnsi="楷体_GB2312" w:eastAsia="楷体_GB2312" w:cs="楷体_GB2312"/>
          <w:b w:val="0"/>
          <w:bCs w:val="0"/>
          <w:color w:val="231F20"/>
          <w:spacing w:val="6"/>
          <w:position w:val="0"/>
          <w:sz w:val="32"/>
          <w:szCs w:val="32"/>
          <w:lang w:eastAsia="zh-CN"/>
        </w:rPr>
        <w:t>（一）加强组织领导。</w:t>
      </w:r>
      <w:r>
        <w:rPr>
          <w:rFonts w:hint="eastAsia" w:ascii="仿宋_GB2312" w:hAnsi="仿宋_GB2312" w:eastAsia="仿宋_GB2312" w:cs="仿宋_GB2312"/>
          <w:color w:val="231F20"/>
          <w:spacing w:val="6"/>
          <w:position w:val="0"/>
          <w:sz w:val="32"/>
          <w:szCs w:val="32"/>
          <w:lang w:eastAsia="zh-CN"/>
        </w:rPr>
        <w:t>把爱国卫生工作列入政府重要议事日程，</w:t>
      </w:r>
      <w:r>
        <w:rPr>
          <w:rFonts w:hint="eastAsia" w:ascii="仿宋_GB2312" w:hAnsi="仿宋_GB2312" w:eastAsia="仿宋_GB2312" w:cs="仿宋_GB2312"/>
          <w:color w:val="auto"/>
          <w:spacing w:val="6"/>
          <w:position w:val="0"/>
          <w:sz w:val="32"/>
          <w:szCs w:val="32"/>
          <w:lang w:val="en-US" w:eastAsia="zh-CN"/>
        </w:rPr>
        <w:t>纳入全区高质量发展综合绩效考核</w:t>
      </w:r>
      <w:r>
        <w:rPr>
          <w:rFonts w:hint="eastAsia" w:ascii="仿宋_GB2312" w:hAnsi="仿宋_GB2312" w:eastAsia="仿宋_GB2312" w:cs="仿宋_GB2312"/>
          <w:color w:val="auto"/>
          <w:spacing w:val="6"/>
          <w:position w:val="0"/>
          <w:sz w:val="32"/>
          <w:szCs w:val="32"/>
          <w:lang w:eastAsia="zh-CN"/>
        </w:rPr>
        <w:t>，常</w:t>
      </w:r>
      <w:r>
        <w:rPr>
          <w:rFonts w:hint="eastAsia" w:ascii="仿宋_GB2312" w:hAnsi="仿宋_GB2312" w:eastAsia="仿宋_GB2312" w:cs="仿宋_GB2312"/>
          <w:color w:val="231F20"/>
          <w:spacing w:val="6"/>
          <w:position w:val="0"/>
          <w:sz w:val="32"/>
          <w:szCs w:val="32"/>
          <w:lang w:eastAsia="zh-CN"/>
        </w:rPr>
        <w:t>抓不懈推动工作落实。要在部门设置、职能调整、人员配备、经费投入等方面予以保障。各级爱国卫生运动委员会要发挥统筹协调作用，制定具体的爱国卫生工作方案和计划。各部门要加强工作协调联动，按照职责分工扎实部署，推进本领域相关工作。</w:t>
      </w:r>
      <w:r>
        <w:rPr>
          <w:rFonts w:hint="eastAsia" w:ascii="楷体_GB2312" w:hAnsi="楷体_GB2312" w:eastAsia="楷体_GB2312" w:cs="楷体_GB2312"/>
          <w:color w:val="231F20"/>
          <w:spacing w:val="6"/>
          <w:position w:val="0"/>
          <w:sz w:val="32"/>
          <w:szCs w:val="32"/>
          <w:lang w:eastAsia="zh-CN"/>
        </w:rPr>
        <w:t>（责任单位：</w:t>
      </w:r>
      <w:r>
        <w:rPr>
          <w:rFonts w:hint="eastAsia" w:ascii="楷体_GB2312" w:hAnsi="楷体_GB2312" w:eastAsia="楷体_GB2312" w:cs="楷体_GB2312"/>
          <w:color w:val="231F20"/>
          <w:spacing w:val="6"/>
          <w:position w:val="0"/>
          <w:sz w:val="32"/>
          <w:szCs w:val="32"/>
          <w:lang w:val="en-US" w:eastAsia="zh-CN"/>
        </w:rPr>
        <w:t>区</w:t>
      </w:r>
      <w:r>
        <w:rPr>
          <w:rFonts w:hint="eastAsia" w:ascii="楷体_GB2312" w:hAnsi="楷体_GB2312" w:eastAsia="楷体_GB2312" w:cs="楷体_GB2312"/>
          <w:color w:val="231F20"/>
          <w:spacing w:val="6"/>
          <w:position w:val="0"/>
          <w:sz w:val="32"/>
          <w:szCs w:val="32"/>
          <w:lang w:eastAsia="zh-CN"/>
        </w:rPr>
        <w:t>考核办、区委编办、区财政局、区爱卫办）</w:t>
      </w:r>
    </w:p>
    <w:p>
      <w:pPr>
        <w:pStyle w:val="4"/>
        <w:keepNext w:val="0"/>
        <w:keepLines w:val="0"/>
        <w:pageBreakBefore w:val="0"/>
        <w:widowControl w:val="0"/>
        <w:kinsoku/>
        <w:wordWrap/>
        <w:overflowPunct/>
        <w:topLinePunct w:val="0"/>
        <w:autoSpaceDE w:val="0"/>
        <w:autoSpaceDN w:val="0"/>
        <w:bidi w:val="0"/>
        <w:adjustRightInd/>
        <w:snapToGrid/>
        <w:spacing w:line="576" w:lineRule="exact"/>
        <w:ind w:firstLine="628"/>
        <w:jc w:val="both"/>
        <w:textAlignment w:val="auto"/>
        <w:rPr>
          <w:rFonts w:hint="eastAsia" w:ascii="楷体_GB2312" w:hAnsi="楷体_GB2312" w:eastAsia="楷体_GB2312" w:cs="楷体_GB2312"/>
          <w:color w:val="231F20"/>
          <w:spacing w:val="6"/>
          <w:position w:val="0"/>
          <w:sz w:val="32"/>
          <w:szCs w:val="32"/>
          <w:lang w:eastAsia="zh-CN"/>
        </w:rPr>
      </w:pPr>
      <w:r>
        <w:rPr>
          <w:rFonts w:hint="eastAsia" w:ascii="楷体_GB2312" w:hAnsi="楷体_GB2312" w:eastAsia="楷体_GB2312" w:cs="楷体_GB2312"/>
          <w:b w:val="0"/>
          <w:bCs w:val="0"/>
          <w:color w:val="231F20"/>
          <w:spacing w:val="6"/>
          <w:position w:val="0"/>
          <w:sz w:val="32"/>
          <w:szCs w:val="32"/>
          <w:lang w:eastAsia="zh-CN"/>
        </w:rPr>
        <w:t>（二）加强宣传引导。</w:t>
      </w:r>
      <w:r>
        <w:rPr>
          <w:rFonts w:hint="eastAsia" w:ascii="仿宋_GB2312" w:hAnsi="仿宋_GB2312" w:eastAsia="仿宋_GB2312" w:cs="仿宋_GB2312"/>
          <w:color w:val="231F20"/>
          <w:spacing w:val="6"/>
          <w:position w:val="0"/>
          <w:sz w:val="32"/>
          <w:szCs w:val="32"/>
          <w:lang w:eastAsia="zh-CN"/>
        </w:rPr>
        <w:t>充分利用电视、广播等传统媒体和微信、微博等新媒体全方位、多层次宣传爱国卫生运动，凝聚全社会共识，营造良好社会氛围；畅通监督渠道，及时回应社会关切，不断提高群众满意度和获得感，推进新时代爱国卫生运动深入广泛开展。</w:t>
      </w:r>
      <w:r>
        <w:rPr>
          <w:rFonts w:hint="eastAsia" w:ascii="楷体_GB2312" w:hAnsi="楷体_GB2312" w:eastAsia="楷体_GB2312" w:cs="楷体_GB2312"/>
          <w:color w:val="231F20"/>
          <w:spacing w:val="6"/>
          <w:position w:val="0"/>
          <w:sz w:val="32"/>
          <w:szCs w:val="32"/>
          <w:lang w:eastAsia="zh-CN"/>
        </w:rPr>
        <w:t>（责任单位：区委宣传部、</w:t>
      </w:r>
      <w:r>
        <w:rPr>
          <w:rFonts w:hint="eastAsia" w:ascii="楷体_GB2312" w:hAnsi="楷体_GB2312" w:eastAsia="楷体_GB2312" w:cs="楷体_GB2312"/>
          <w:color w:val="231F20"/>
          <w:spacing w:val="6"/>
          <w:position w:val="0"/>
          <w:sz w:val="32"/>
          <w:szCs w:val="32"/>
          <w:lang w:val="en-US" w:eastAsia="zh-CN"/>
        </w:rPr>
        <w:t>区融媒体中心</w:t>
      </w:r>
      <w:r>
        <w:rPr>
          <w:rFonts w:hint="eastAsia" w:ascii="楷体_GB2312" w:hAnsi="楷体_GB2312" w:eastAsia="楷体_GB2312" w:cs="楷体_GB2312"/>
          <w:color w:val="231F20"/>
          <w:spacing w:val="6"/>
          <w:position w:val="0"/>
          <w:sz w:val="32"/>
          <w:szCs w:val="32"/>
          <w:lang w:eastAsia="zh-CN"/>
        </w:rPr>
        <w:t>、区爱卫办)</w:t>
      </w:r>
    </w:p>
    <w:p>
      <w:pPr>
        <w:pStyle w:val="4"/>
        <w:keepNext w:val="0"/>
        <w:keepLines w:val="0"/>
        <w:pageBreakBefore w:val="0"/>
        <w:widowControl w:val="0"/>
        <w:kinsoku/>
        <w:wordWrap/>
        <w:overflowPunct/>
        <w:topLinePunct w:val="0"/>
        <w:autoSpaceDE w:val="0"/>
        <w:autoSpaceDN w:val="0"/>
        <w:bidi w:val="0"/>
        <w:adjustRightInd/>
        <w:snapToGrid/>
        <w:spacing w:before="0" w:after="0" w:line="576" w:lineRule="exact"/>
        <w:ind w:right="0" w:firstLine="656" w:firstLineChars="200"/>
        <w:jc w:val="both"/>
        <w:textAlignment w:val="auto"/>
        <w:rPr>
          <w:rFonts w:hint="eastAsia" w:ascii="楷体_GB2312" w:hAnsi="楷体_GB2312" w:eastAsia="楷体_GB2312" w:cs="楷体_GB2312"/>
          <w:color w:val="231F20"/>
          <w:spacing w:val="6"/>
          <w:position w:val="0"/>
          <w:sz w:val="32"/>
          <w:szCs w:val="32"/>
          <w:lang w:val="en-US" w:eastAsia="zh-CN"/>
        </w:rPr>
      </w:pPr>
      <w:r>
        <w:rPr>
          <w:rFonts w:hint="eastAsia" w:ascii="楷体_GB2312" w:hAnsi="楷体_GB2312" w:eastAsia="楷体_GB2312" w:cs="楷体_GB2312"/>
          <w:b w:val="0"/>
          <w:bCs w:val="0"/>
          <w:color w:val="231F20"/>
          <w:spacing w:val="6"/>
          <w:position w:val="0"/>
          <w:sz w:val="32"/>
          <w:szCs w:val="32"/>
          <w:lang w:eastAsia="zh-CN"/>
        </w:rPr>
        <w:t>（三）加强监督管理。</w:t>
      </w:r>
      <w:r>
        <w:rPr>
          <w:rFonts w:hint="eastAsia" w:ascii="仿宋_GB2312" w:hAnsi="仿宋_GB2312" w:eastAsia="仿宋_GB2312" w:cs="仿宋_GB2312"/>
          <w:color w:val="231F20"/>
          <w:spacing w:val="6"/>
          <w:position w:val="0"/>
          <w:sz w:val="32"/>
          <w:szCs w:val="32"/>
          <w:lang w:eastAsia="zh-CN"/>
        </w:rPr>
        <w:t>按照条块结合、属地管理的原则，建立健全爱国卫生目标管理和责任管理制度，建立和完善必要的激励机制。结合国家卫生城市命名周期，对在爱国卫生工作中表现突出的单位和个人，按照有关规定予以通报表扬。</w:t>
      </w:r>
      <w:r>
        <w:rPr>
          <w:rFonts w:hint="eastAsia" w:ascii="楷体_GB2312" w:hAnsi="楷体_GB2312" w:eastAsia="楷体_GB2312" w:cs="楷体_GB2312"/>
          <w:color w:val="231F20"/>
          <w:spacing w:val="6"/>
          <w:position w:val="0"/>
          <w:sz w:val="32"/>
          <w:szCs w:val="32"/>
          <w:lang w:eastAsia="zh-CN"/>
        </w:rPr>
        <w:t>（责任单位：</w:t>
      </w:r>
      <w:r>
        <w:rPr>
          <w:rFonts w:hint="eastAsia" w:ascii="楷体_GB2312" w:hAnsi="楷体_GB2312" w:eastAsia="楷体_GB2312" w:cs="楷体_GB2312"/>
          <w:color w:val="231F20"/>
          <w:spacing w:val="6"/>
          <w:position w:val="0"/>
          <w:sz w:val="32"/>
          <w:szCs w:val="32"/>
          <w:lang w:val="en-US" w:eastAsia="zh-CN"/>
        </w:rPr>
        <w:t>区爱卫办）</w:t>
      </w:r>
    </w:p>
    <w:p>
      <w:pPr>
        <w:pStyle w:val="4"/>
        <w:keepNext w:val="0"/>
        <w:keepLines w:val="0"/>
        <w:pageBreakBefore w:val="0"/>
        <w:widowControl w:val="0"/>
        <w:kinsoku/>
        <w:wordWrap/>
        <w:overflowPunct/>
        <w:topLinePunct w:val="0"/>
        <w:autoSpaceDE w:val="0"/>
        <w:autoSpaceDN w:val="0"/>
        <w:bidi w:val="0"/>
        <w:adjustRightInd/>
        <w:snapToGrid/>
        <w:spacing w:line="576" w:lineRule="exact"/>
        <w:jc w:val="both"/>
        <w:textAlignment w:val="auto"/>
        <w:rPr>
          <w:rFonts w:hint="eastAsia" w:ascii="楷体" w:hAnsi="楷体" w:eastAsia="楷体" w:cs="楷体"/>
          <w:color w:val="231F20"/>
          <w:spacing w:val="0"/>
          <w:sz w:val="32"/>
          <w:szCs w:val="32"/>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line="576" w:lineRule="exact"/>
        <w:jc w:val="both"/>
        <w:textAlignment w:val="auto"/>
        <w:rPr>
          <w:rFonts w:hint="eastAsia" w:ascii="楷体" w:hAnsi="楷体" w:eastAsia="楷体" w:cs="楷体"/>
          <w:color w:val="231F20"/>
          <w:spacing w:val="0"/>
          <w:sz w:val="32"/>
          <w:szCs w:val="32"/>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line="576" w:lineRule="exact"/>
        <w:ind w:firstLine="632" w:firstLineChars="200"/>
        <w:jc w:val="both"/>
        <w:textAlignment w:val="auto"/>
        <w:rPr>
          <w:rFonts w:hint="eastAsia" w:ascii="仿宋_GB2312" w:hAnsi="仿宋_GB2312" w:eastAsia="仿宋_GB2312" w:cs="仿宋_GB2312"/>
          <w:color w:val="231F20"/>
          <w:spacing w:val="0"/>
          <w:sz w:val="32"/>
          <w:szCs w:val="32"/>
          <w:lang w:val="en-US" w:eastAsia="zh-CN"/>
        </w:rPr>
      </w:pPr>
      <w:r>
        <w:rPr>
          <w:rFonts w:hint="eastAsia" w:ascii="楷体" w:hAnsi="楷体" w:eastAsia="楷体" w:cs="楷体"/>
          <w:color w:val="231F20"/>
          <w:spacing w:val="0"/>
          <w:sz w:val="32"/>
          <w:szCs w:val="32"/>
          <w:lang w:val="en-US" w:eastAsia="zh-CN"/>
        </w:rPr>
        <w:t xml:space="preserve">                              </w:t>
      </w:r>
      <w:r>
        <w:rPr>
          <w:rFonts w:hint="eastAsia" w:ascii="仿宋_GB2312" w:hAnsi="仿宋_GB2312" w:eastAsia="仿宋_GB2312" w:cs="仿宋_GB2312"/>
          <w:color w:val="231F20"/>
          <w:spacing w:val="0"/>
          <w:sz w:val="32"/>
          <w:szCs w:val="32"/>
          <w:lang w:val="en-US" w:eastAsia="zh-CN"/>
        </w:rPr>
        <w:t>博山区人民政府</w:t>
      </w:r>
    </w:p>
    <w:p>
      <w:pPr>
        <w:pStyle w:val="4"/>
        <w:keepNext w:val="0"/>
        <w:keepLines w:val="0"/>
        <w:pageBreakBefore w:val="0"/>
        <w:widowControl w:val="0"/>
        <w:kinsoku/>
        <w:wordWrap/>
        <w:overflowPunct/>
        <w:topLinePunct w:val="0"/>
        <w:autoSpaceDE w:val="0"/>
        <w:autoSpaceDN w:val="0"/>
        <w:bidi w:val="0"/>
        <w:adjustRightInd/>
        <w:snapToGrid/>
        <w:spacing w:line="576" w:lineRule="exact"/>
        <w:ind w:firstLine="632" w:firstLineChars="200"/>
        <w:jc w:val="both"/>
        <w:textAlignment w:val="auto"/>
        <w:rPr>
          <w:rFonts w:hint="eastAsia" w:ascii="仿宋_GB2312" w:hAnsi="仿宋_GB2312" w:eastAsia="仿宋_GB2312" w:cs="仿宋_GB2312"/>
          <w:color w:val="231F20"/>
          <w:spacing w:val="0"/>
          <w:sz w:val="32"/>
          <w:szCs w:val="32"/>
          <w:lang w:val="en-US" w:eastAsia="zh-CN"/>
        </w:rPr>
      </w:pPr>
      <w:r>
        <w:rPr>
          <w:rFonts w:hint="eastAsia" w:ascii="仿宋_GB2312" w:hAnsi="仿宋_GB2312" w:eastAsia="仿宋_GB2312" w:cs="仿宋_GB2312"/>
          <w:color w:val="231F20"/>
          <w:spacing w:val="0"/>
          <w:sz w:val="32"/>
          <w:szCs w:val="32"/>
          <w:lang w:val="en-US" w:eastAsia="zh-CN"/>
        </w:rPr>
        <w:t xml:space="preserve">                              2023年2月27日</w:t>
      </w:r>
    </w:p>
    <w:p>
      <w:pPr>
        <w:pStyle w:val="4"/>
        <w:keepNext w:val="0"/>
        <w:keepLines w:val="0"/>
        <w:pageBreakBefore w:val="0"/>
        <w:widowControl w:val="0"/>
        <w:kinsoku/>
        <w:wordWrap/>
        <w:overflowPunct/>
        <w:topLinePunct w:val="0"/>
        <w:autoSpaceDE w:val="0"/>
        <w:autoSpaceDN w:val="0"/>
        <w:bidi w:val="0"/>
        <w:adjustRightInd/>
        <w:snapToGrid/>
        <w:spacing w:line="576" w:lineRule="exact"/>
        <w:ind w:firstLine="632" w:firstLineChars="200"/>
        <w:jc w:val="both"/>
        <w:textAlignment w:val="auto"/>
        <w:rPr>
          <w:rFonts w:hint="eastAsia" w:ascii="仿宋_GB2312" w:hAnsi="仿宋_GB2312" w:eastAsia="仿宋_GB2312" w:cs="仿宋_GB2312"/>
          <w:color w:val="231F20"/>
          <w:spacing w:val="0"/>
          <w:sz w:val="32"/>
          <w:szCs w:val="32"/>
          <w:lang w:val="en-US" w:eastAsia="zh-CN"/>
        </w:rPr>
      </w:pPr>
      <w:r>
        <w:rPr>
          <w:rFonts w:hint="eastAsia" w:ascii="仿宋_GB2312" w:hAnsi="仿宋_GB2312" w:eastAsia="仿宋_GB2312" w:cs="仿宋_GB2312"/>
          <w:color w:val="231F20"/>
          <w:spacing w:val="0"/>
          <w:sz w:val="32"/>
          <w:szCs w:val="32"/>
          <w:lang w:val="en-US" w:eastAsia="zh-CN"/>
        </w:rPr>
        <w:t>（此件公开发布）</w:t>
      </w:r>
    </w:p>
    <w:p>
      <w:pPr>
        <w:pStyle w:val="4"/>
        <w:keepNext w:val="0"/>
        <w:keepLines w:val="0"/>
        <w:pageBreakBefore w:val="0"/>
        <w:widowControl w:val="0"/>
        <w:kinsoku/>
        <w:wordWrap/>
        <w:overflowPunct/>
        <w:topLinePunct w:val="0"/>
        <w:autoSpaceDE w:val="0"/>
        <w:autoSpaceDN w:val="0"/>
        <w:bidi w:val="0"/>
        <w:adjustRightInd/>
        <w:snapToGrid/>
        <w:spacing w:line="579" w:lineRule="exact"/>
        <w:ind w:firstLine="632" w:firstLineChars="200"/>
        <w:jc w:val="both"/>
        <w:textAlignment w:val="auto"/>
        <w:rPr>
          <w:rFonts w:hint="eastAsia" w:ascii="仿宋_GB2312" w:hAnsi="仿宋_GB2312" w:eastAsia="仿宋_GB2312" w:cs="仿宋_GB2312"/>
          <w:color w:val="231F20"/>
          <w:spacing w:val="0"/>
          <w:sz w:val="32"/>
          <w:szCs w:val="32"/>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line="579" w:lineRule="exact"/>
        <w:ind w:firstLine="632" w:firstLineChars="200"/>
        <w:jc w:val="both"/>
        <w:textAlignment w:val="auto"/>
        <w:rPr>
          <w:rFonts w:hint="eastAsia" w:ascii="仿宋_GB2312" w:hAnsi="仿宋_GB2312" w:eastAsia="仿宋_GB2312" w:cs="仿宋_GB2312"/>
          <w:color w:val="231F20"/>
          <w:spacing w:val="0"/>
          <w:sz w:val="32"/>
          <w:szCs w:val="32"/>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line="579" w:lineRule="exact"/>
        <w:ind w:firstLine="632" w:firstLineChars="200"/>
        <w:jc w:val="both"/>
        <w:textAlignment w:val="auto"/>
        <w:rPr>
          <w:rFonts w:hint="eastAsia" w:ascii="仿宋_GB2312" w:hAnsi="仿宋_GB2312" w:eastAsia="仿宋_GB2312" w:cs="仿宋_GB2312"/>
          <w:color w:val="231F20"/>
          <w:spacing w:val="0"/>
          <w:sz w:val="32"/>
          <w:szCs w:val="32"/>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line="576" w:lineRule="exact"/>
        <w:ind w:firstLine="632" w:firstLineChars="200"/>
        <w:jc w:val="both"/>
        <w:textAlignment w:val="auto"/>
        <w:rPr>
          <w:rFonts w:hint="eastAsia" w:ascii="仿宋_GB2312" w:hAnsi="仿宋_GB2312" w:eastAsia="仿宋_GB2312" w:cs="仿宋_GB2312"/>
          <w:color w:val="231F20"/>
          <w:spacing w:val="0"/>
          <w:sz w:val="32"/>
          <w:szCs w:val="32"/>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line="576" w:lineRule="exact"/>
        <w:ind w:firstLine="632" w:firstLineChars="200"/>
        <w:jc w:val="both"/>
        <w:textAlignment w:val="auto"/>
        <w:rPr>
          <w:rFonts w:hint="eastAsia" w:ascii="仿宋_GB2312" w:hAnsi="仿宋_GB2312" w:eastAsia="仿宋_GB2312" w:cs="仿宋_GB2312"/>
          <w:color w:val="231F20"/>
          <w:spacing w:val="0"/>
          <w:sz w:val="32"/>
          <w:szCs w:val="32"/>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line="576" w:lineRule="exact"/>
        <w:ind w:firstLine="632" w:firstLineChars="200"/>
        <w:jc w:val="both"/>
        <w:textAlignment w:val="auto"/>
        <w:rPr>
          <w:rFonts w:hint="eastAsia" w:ascii="仿宋_GB2312" w:hAnsi="仿宋_GB2312" w:eastAsia="仿宋_GB2312" w:cs="仿宋_GB2312"/>
          <w:color w:val="231F20"/>
          <w:spacing w:val="0"/>
          <w:sz w:val="32"/>
          <w:szCs w:val="32"/>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line="576" w:lineRule="exact"/>
        <w:ind w:firstLine="632" w:firstLineChars="200"/>
        <w:jc w:val="both"/>
        <w:textAlignment w:val="auto"/>
        <w:rPr>
          <w:rFonts w:hint="eastAsia" w:ascii="仿宋_GB2312" w:hAnsi="仿宋_GB2312" w:eastAsia="仿宋_GB2312" w:cs="仿宋_GB2312"/>
          <w:color w:val="231F20"/>
          <w:spacing w:val="0"/>
          <w:sz w:val="32"/>
          <w:szCs w:val="32"/>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line="576" w:lineRule="exact"/>
        <w:ind w:firstLine="632" w:firstLineChars="200"/>
        <w:jc w:val="both"/>
        <w:textAlignment w:val="auto"/>
        <w:rPr>
          <w:rFonts w:hint="eastAsia" w:ascii="仿宋_GB2312" w:hAnsi="仿宋_GB2312" w:eastAsia="仿宋_GB2312" w:cs="仿宋_GB2312"/>
          <w:color w:val="231F20"/>
          <w:spacing w:val="0"/>
          <w:sz w:val="32"/>
          <w:szCs w:val="32"/>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line="576" w:lineRule="exact"/>
        <w:ind w:firstLine="632" w:firstLineChars="200"/>
        <w:jc w:val="both"/>
        <w:textAlignment w:val="auto"/>
        <w:rPr>
          <w:rFonts w:hint="eastAsia" w:ascii="仿宋_GB2312" w:hAnsi="仿宋_GB2312" w:eastAsia="仿宋_GB2312" w:cs="仿宋_GB2312"/>
          <w:color w:val="231F20"/>
          <w:spacing w:val="0"/>
          <w:sz w:val="32"/>
          <w:szCs w:val="32"/>
          <w:lang w:val="en-US" w:eastAsia="zh-CN"/>
        </w:rPr>
      </w:pPr>
    </w:p>
    <w:p>
      <w:pPr>
        <w:pStyle w:val="4"/>
        <w:keepNext w:val="0"/>
        <w:keepLines w:val="0"/>
        <w:pageBreakBefore w:val="0"/>
        <w:widowControl w:val="0"/>
        <w:kinsoku/>
        <w:wordWrap/>
        <w:overflowPunct/>
        <w:topLinePunct w:val="0"/>
        <w:autoSpaceDE w:val="0"/>
        <w:autoSpaceDN w:val="0"/>
        <w:bidi w:val="0"/>
        <w:adjustRightInd/>
        <w:snapToGrid/>
        <w:spacing w:line="576" w:lineRule="exact"/>
        <w:ind w:firstLine="632" w:firstLineChars="200"/>
        <w:jc w:val="both"/>
        <w:textAlignment w:val="auto"/>
        <w:rPr>
          <w:rFonts w:hint="eastAsia" w:ascii="仿宋_GB2312" w:hAnsi="仿宋_GB2312" w:eastAsia="仿宋_GB2312" w:cs="仿宋_GB2312"/>
          <w:color w:val="231F20"/>
          <w:spacing w:val="0"/>
          <w:sz w:val="32"/>
          <w:szCs w:val="32"/>
          <w:lang w:val="en-US" w:eastAsia="zh-CN"/>
        </w:rPr>
      </w:pPr>
    </w:p>
    <w:p>
      <w:pPr>
        <w:pStyle w:val="10"/>
        <w:keepNext w:val="0"/>
        <w:keepLines w:val="0"/>
        <w:pageBreakBefore w:val="0"/>
        <w:widowControl w:val="0"/>
        <w:kinsoku/>
        <w:wordWrap/>
        <w:overflowPunct/>
        <w:topLinePunct w:val="0"/>
        <w:autoSpaceDE w:val="0"/>
        <w:autoSpaceDN w:val="0"/>
        <w:bidi w:val="0"/>
        <w:adjustRightInd/>
        <w:snapToGrid/>
        <w:spacing w:line="576" w:lineRule="exact"/>
        <w:ind w:left="0" w:leftChars="0" w:firstLine="0" w:firstLineChars="0"/>
        <w:textAlignment w:val="auto"/>
        <w:rPr>
          <w:rFonts w:hint="eastAsia"/>
        </w:rPr>
      </w:pPr>
    </w:p>
    <w:p>
      <w:pPr>
        <w:pStyle w:val="4"/>
        <w:keepNext w:val="0"/>
        <w:keepLines w:val="0"/>
        <w:pageBreakBefore w:val="0"/>
        <w:widowControl w:val="0"/>
        <w:kinsoku/>
        <w:wordWrap/>
        <w:overflowPunct/>
        <w:topLinePunct w:val="0"/>
        <w:autoSpaceDE w:val="0"/>
        <w:autoSpaceDN w:val="0"/>
        <w:bidi w:val="0"/>
        <w:adjustRightInd/>
        <w:snapToGrid/>
        <w:spacing w:line="576" w:lineRule="exact"/>
        <w:ind w:firstLine="276" w:firstLineChars="100"/>
        <w:jc w:val="both"/>
        <w:textAlignment w:val="auto"/>
        <w:rPr>
          <w:rFonts w:hint="eastAsia" w:ascii="仿宋_GB2312" w:eastAsia="仿宋_GB2312"/>
          <w:sz w:val="28"/>
          <w:szCs w:val="28"/>
        </w:rPr>
      </w:pPr>
    </w:p>
    <w:p>
      <w:pPr>
        <w:pStyle w:val="4"/>
        <w:keepNext w:val="0"/>
        <w:keepLines w:val="0"/>
        <w:pageBreakBefore w:val="0"/>
        <w:widowControl w:val="0"/>
        <w:kinsoku/>
        <w:wordWrap/>
        <w:overflowPunct/>
        <w:topLinePunct w:val="0"/>
        <w:autoSpaceDE w:val="0"/>
        <w:autoSpaceDN w:val="0"/>
        <w:bidi w:val="0"/>
        <w:adjustRightInd/>
        <w:snapToGrid/>
        <w:spacing w:line="576" w:lineRule="exact"/>
        <w:ind w:firstLine="276" w:firstLineChars="100"/>
        <w:jc w:val="both"/>
        <w:textAlignment w:val="auto"/>
        <w:rPr>
          <w:rFonts w:hint="eastAsia" w:ascii="仿宋_GB2312" w:eastAsia="仿宋_GB2312"/>
          <w:sz w:val="28"/>
          <w:szCs w:val="28"/>
        </w:rPr>
      </w:pPr>
    </w:p>
    <w:p>
      <w:pPr>
        <w:pStyle w:val="4"/>
        <w:keepNext w:val="0"/>
        <w:keepLines w:val="0"/>
        <w:pageBreakBefore w:val="0"/>
        <w:widowControl w:val="0"/>
        <w:kinsoku/>
        <w:wordWrap/>
        <w:overflowPunct/>
        <w:topLinePunct w:val="0"/>
        <w:autoSpaceDE w:val="0"/>
        <w:autoSpaceDN w:val="0"/>
        <w:bidi w:val="0"/>
        <w:adjustRightInd/>
        <w:snapToGrid/>
        <w:spacing w:line="576" w:lineRule="exact"/>
        <w:ind w:firstLine="276" w:firstLineChars="100"/>
        <w:jc w:val="both"/>
        <w:textAlignment w:val="auto"/>
        <w:rPr>
          <w:rFonts w:hint="eastAsia" w:ascii="仿宋_GB2312" w:eastAsia="仿宋_GB2312"/>
          <w:sz w:val="28"/>
          <w:szCs w:val="28"/>
        </w:rPr>
      </w:pPr>
    </w:p>
    <w:p>
      <w:pPr>
        <w:pStyle w:val="4"/>
        <w:keepNext w:val="0"/>
        <w:keepLines w:val="0"/>
        <w:pageBreakBefore w:val="0"/>
        <w:widowControl w:val="0"/>
        <w:kinsoku/>
        <w:wordWrap/>
        <w:overflowPunct/>
        <w:topLinePunct w:val="0"/>
        <w:autoSpaceDE w:val="0"/>
        <w:autoSpaceDN w:val="0"/>
        <w:bidi w:val="0"/>
        <w:adjustRightInd/>
        <w:snapToGrid/>
        <w:spacing w:line="576" w:lineRule="exact"/>
        <w:jc w:val="both"/>
        <w:textAlignment w:val="auto"/>
        <w:rPr>
          <w:rFonts w:hint="eastAsia" w:ascii="仿宋_GB2312" w:eastAsia="仿宋_GB2312"/>
          <w:sz w:val="28"/>
          <w:szCs w:val="28"/>
        </w:rPr>
      </w:pPr>
    </w:p>
    <w:p>
      <w:pPr>
        <w:pStyle w:val="4"/>
        <w:keepNext w:val="0"/>
        <w:keepLines w:val="0"/>
        <w:pageBreakBefore w:val="0"/>
        <w:widowControl w:val="0"/>
        <w:kinsoku/>
        <w:wordWrap/>
        <w:overflowPunct/>
        <w:topLinePunct w:val="0"/>
        <w:autoSpaceDE w:val="0"/>
        <w:autoSpaceDN w:val="0"/>
        <w:bidi w:val="0"/>
        <w:adjustRightInd/>
        <w:snapToGrid/>
        <w:spacing w:line="576" w:lineRule="exact"/>
        <w:ind w:firstLine="276" w:firstLineChars="100"/>
        <w:jc w:val="both"/>
        <w:textAlignment w:val="auto"/>
        <w:rPr>
          <w:rFonts w:hint="default" w:ascii="仿宋_GB2312" w:hAnsi="仿宋_GB2312" w:eastAsia="仿宋_GB2312" w:cs="仿宋_GB2312"/>
          <w:color w:val="231F20"/>
          <w:spacing w:val="0"/>
          <w:sz w:val="32"/>
          <w:szCs w:val="32"/>
          <w:lang w:val="en-US" w:eastAsia="zh-CN"/>
        </w:rPr>
      </w:pPr>
      <w:r>
        <w:rPr>
          <w:rFonts w:hint="eastAsia" w:ascii="仿宋_GB2312" w:eastAsia="仿宋_GB2312"/>
          <w:sz w:val="28"/>
          <w:szCs w:val="28"/>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426085</wp:posOffset>
                </wp:positionV>
                <wp:extent cx="5616575" cy="1270"/>
                <wp:effectExtent l="0" t="0" r="0" b="0"/>
                <wp:wrapNone/>
                <wp:docPr id="8" name="直接连接符 8"/>
                <wp:cNvGraphicFramePr/>
                <a:graphic xmlns:a="http://schemas.openxmlformats.org/drawingml/2006/main">
                  <a:graphicData uri="http://schemas.microsoft.com/office/word/2010/wordprocessingShape">
                    <wps:wsp>
                      <wps:cNvCnPr/>
                      <wps:spPr>
                        <a:xfrm flipV="true">
                          <a:off x="0" y="0"/>
                          <a:ext cx="5616575" cy="127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flip:y;margin-left:-0.05pt;margin-top:33.55pt;height:0.1pt;width:442.25pt;z-index:251660288;mso-width-relative:page;mso-height-relative:page;" filled="f" stroked="t" coordsize="21600,21600" o:gfxdata="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FgAA&#10;AGRycy9QSwECFAAUAAAACACHTuJA3ZBJ/NUAAAAHAQAADwAAAAAAAAABACAAAAA4AAAAZHJzL2Rv&#10;d25yZXYueG1sUEsBAhQAFAAAAAgAh07iQBR6fZLuAQAAtwMAAA4AAAAAAAAAAQAgAAAAOgEAAGRy&#10;cy9lMm9Eb2MueG1sUEsFBgAAAAAGAAYAWQEAAJoFAAAAAA==&#10;">
                <v:fill on="f" focussize="0,0"/>
                <v:stroke color="#000000" joinstyle="round"/>
                <v:imagedata o:title=""/>
                <o:lock v:ext="edit" aspectratio="f"/>
              </v:line>
            </w:pict>
          </mc:Fallback>
        </mc:AlternateContent>
      </w:r>
      <w:r>
        <w:rPr>
          <w:rFonts w:ascii="仿宋_GB2312" w:eastAsia="仿宋_GB2312"/>
          <w:sz w:val="28"/>
          <w:szCs w:val="28"/>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44450</wp:posOffset>
                </wp:positionV>
                <wp:extent cx="5616575" cy="1270"/>
                <wp:effectExtent l="0" t="0" r="0" b="0"/>
                <wp:wrapNone/>
                <wp:docPr id="28" name="直接连接符 28"/>
                <wp:cNvGraphicFramePr/>
                <a:graphic xmlns:a="http://schemas.openxmlformats.org/drawingml/2006/main">
                  <a:graphicData uri="http://schemas.microsoft.com/office/word/2010/wordprocessingShape">
                    <wps:wsp>
                      <wps:cNvCnPr/>
                      <wps:spPr>
                        <a:xfrm flipV="true">
                          <a:off x="0" y="0"/>
                          <a:ext cx="5616575" cy="1270"/>
                        </a:xfrm>
                        <a:prstGeom prst="line">
                          <a:avLst/>
                        </a:prstGeom>
                        <a:ln w="9525" cap="flat" cmpd="sng">
                          <a:solidFill>
                            <a:srgbClr val="000000"/>
                          </a:solidFill>
                          <a:prstDash val="solid"/>
                          <a:headEnd type="none" w="med" len="med"/>
                          <a:tailEnd type="none" w="med" len="med"/>
                        </a:ln>
                        <a:effectLst/>
                      </wps:spPr>
                      <wps:bodyPr upright="true"/>
                    </wps:wsp>
                  </a:graphicData>
                </a:graphic>
              </wp:anchor>
            </w:drawing>
          </mc:Choice>
          <mc:Fallback>
            <w:pict>
              <v:line id="_x0000_s1026" o:spid="_x0000_s1026" o:spt="20" style="position:absolute;left:0pt;flip:y;margin-left:-0.05pt;margin-top:3.5pt;height:0.1pt;width:442.25pt;z-index:251661312;mso-width-relative:page;mso-height-relative:page;" filled="f" stroked="t" coordsize="21600,21600" o:gfxdata="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WAAAA&#10;ZHJzL1BLAQIUABQAAAAIAIdO4kAtCqrb0wAAAAUBAAAPAAAAAAAAAAEAIAAAADgAAABkcnMvZG93&#10;bnJldi54bWxQSwECFAAUAAAACACHTuJArCDo4u8BAAC5AwAADgAAAAAAAAABACAAAAA4AQAAZHJz&#10;L2Uyb0RvYy54bWxQSwUGAAAAAAYABgBZAQAAmQUAAAAA&#10;">
                <v:fill on="f" focussize="0,0"/>
                <v:stroke color="#000000" joinstyle="round"/>
                <v:imagedata o:title=""/>
                <o:lock v:ext="edit" aspectratio="f"/>
              </v:line>
            </w:pict>
          </mc:Fallback>
        </mc:AlternateContent>
      </w:r>
      <w:r>
        <w:rPr>
          <w:rFonts w:hint="eastAsia" w:ascii="仿宋_GB2312" w:eastAsia="仿宋_GB2312"/>
          <w:sz w:val="28"/>
          <w:szCs w:val="28"/>
        </w:rPr>
        <w:t xml:space="preserve">博山区人民政府办公室                    </w:t>
      </w:r>
      <w:r>
        <w:rPr>
          <w:rFonts w:hint="eastAsia" w:ascii="仿宋_GB2312" w:eastAsia="仿宋_GB2312"/>
          <w:sz w:val="28"/>
          <w:szCs w:val="28"/>
          <w:lang w:val="en-US" w:eastAsia="zh-CN"/>
        </w:rPr>
        <w:t xml:space="preserve">   </w:t>
      </w:r>
      <w:r>
        <w:rPr>
          <w:rFonts w:hint="eastAsia" w:ascii="仿宋_GB2312" w:eastAsia="仿宋_GB2312"/>
          <w:sz w:val="28"/>
          <w:szCs w:val="28"/>
        </w:rPr>
        <w:t>20</w:t>
      </w:r>
      <w:r>
        <w:rPr>
          <w:rFonts w:hint="eastAsia" w:ascii="仿宋_GB2312" w:eastAsia="仿宋_GB2312"/>
          <w:sz w:val="28"/>
          <w:szCs w:val="28"/>
          <w:lang w:val="en-US" w:eastAsia="zh-CN"/>
        </w:rPr>
        <w:t>23</w:t>
      </w:r>
      <w:r>
        <w:rPr>
          <w:rFonts w:hint="eastAsia" w:ascii="仿宋_GB2312" w:eastAsia="仿宋_GB2312"/>
          <w:sz w:val="28"/>
          <w:szCs w:val="28"/>
        </w:rPr>
        <w:t>年</w:t>
      </w:r>
      <w:r>
        <w:rPr>
          <w:rFonts w:hint="eastAsia" w:ascii="仿宋_GB2312" w:eastAsia="仿宋_GB2312"/>
          <w:sz w:val="28"/>
          <w:szCs w:val="28"/>
          <w:lang w:val="en-US" w:eastAsia="zh-CN"/>
        </w:rPr>
        <w:t>2</w:t>
      </w:r>
      <w:r>
        <w:rPr>
          <w:rFonts w:hint="eastAsia" w:ascii="仿宋_GB2312" w:eastAsia="仿宋_GB2312"/>
          <w:sz w:val="28"/>
          <w:szCs w:val="28"/>
        </w:rPr>
        <w:t>月</w:t>
      </w:r>
      <w:r>
        <w:rPr>
          <w:rFonts w:hint="eastAsia" w:ascii="仿宋_GB2312" w:eastAsia="仿宋_GB2312"/>
          <w:sz w:val="28"/>
          <w:szCs w:val="28"/>
          <w:lang w:val="en-US" w:eastAsia="zh-CN"/>
        </w:rPr>
        <w:t>27</w:t>
      </w:r>
      <w:bookmarkStart w:id="0" w:name="_GoBack"/>
      <w:bookmarkEnd w:id="0"/>
      <w:r>
        <w:rPr>
          <w:rFonts w:hint="eastAsia" w:ascii="仿宋_GB2312" w:eastAsia="仿宋_GB2312"/>
          <w:sz w:val="28"/>
          <w:szCs w:val="28"/>
        </w:rPr>
        <w:t>日印发</w:t>
      </w:r>
    </w:p>
    <w:sectPr>
      <w:footerReference r:id="rId3" w:type="default"/>
      <w:pgSz w:w="11905" w:h="16838"/>
      <w:pgMar w:top="2098" w:right="1474" w:bottom="1984" w:left="1587" w:header="1701" w:footer="1417" w:gutter="0"/>
      <w:pgNumType w:fmt="decimal"/>
      <w:cols w:space="720" w:num="1"/>
      <w:docGrid w:type="linesAndChars" w:linePitch="579" w:charSpace="-8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楷体">
    <w:altName w:val="方正楷体_GBK"/>
    <w:panose1 w:val="02010609060101010101"/>
    <w:charset w:val="86"/>
    <w:family w:val="modern"/>
    <w:pitch w:val="default"/>
    <w:sig w:usb0="00000000" w:usb1="00000000"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方正黑体_GBK">
    <w:panose1 w:val="02000000000000000000"/>
    <w:charset w:val="86"/>
    <w:family w:val="auto"/>
    <w:pitch w:val="default"/>
    <w:sig w:usb0="00000001" w:usb1="08000000" w:usb2="00000000" w:usb3="00000000" w:csb0="00040000" w:csb1="00000000"/>
  </w:font>
  <w:font w:name="方正楷体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spacing w:line="14" w:lineRule="auto"/>
      <w:rPr>
        <w:sz w:val="20"/>
      </w:rPr>
    </w:pPr>
    <w:r>
      <w:rPr>
        <w:sz w:val="20"/>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FgAAAGRycy9QSwECFAAUAAAA&#10;CACHTuJAs0lY7tAAAAAFAQAADwAAAAAAAAABACAAAAA4AAAAZHJzL2Rvd25yZXYueG1sUEsBAhQA&#10;FAAAAAgAh07iQPXvojAdAgAAKQQAAA4AAAAAAAAAAQAgAAAANQEAAGRycy9lMm9Eb2MueG1sUEsF&#10;BgAAAAAGAAYAWQEAAMQFAAAAAA==&#10;">
              <v:fill on="f" focussize="0,0"/>
              <v:stroke on="f" weight="0.5pt"/>
              <v:imagedata o:title=""/>
              <o:lock v:ext="edit" aspectratio="f"/>
              <v:textbox inset="0mm,0mm,0mm,0mm" style="mso-fit-shape-to-text:t;">
                <w:txbxContent>
                  <w:p>
                    <w:pPr>
                      <w:pStyle w:val="5"/>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8</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HorizontalSpacing w:val="108"/>
  <w:drawingGridVerticalSpacing w:val="579"/>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RhZjg1YTE4ZjU0OTA4OWFhMTE0MGFiMmUzNDk4MjAifQ=="/>
  </w:docVars>
  <w:rsids>
    <w:rsidRoot w:val="1AC7306B"/>
    <w:rsid w:val="00101EDF"/>
    <w:rsid w:val="005D4354"/>
    <w:rsid w:val="00632266"/>
    <w:rsid w:val="00725782"/>
    <w:rsid w:val="00803C5B"/>
    <w:rsid w:val="00F71446"/>
    <w:rsid w:val="01D36FC3"/>
    <w:rsid w:val="024F117A"/>
    <w:rsid w:val="041476CE"/>
    <w:rsid w:val="09CA2D09"/>
    <w:rsid w:val="0A0501E5"/>
    <w:rsid w:val="0BC417F8"/>
    <w:rsid w:val="0CDD473D"/>
    <w:rsid w:val="0F796224"/>
    <w:rsid w:val="118266B8"/>
    <w:rsid w:val="14504752"/>
    <w:rsid w:val="14881EE9"/>
    <w:rsid w:val="157C1F91"/>
    <w:rsid w:val="15C263DB"/>
    <w:rsid w:val="15FD3709"/>
    <w:rsid w:val="16923F69"/>
    <w:rsid w:val="16FB62F8"/>
    <w:rsid w:val="178C34F3"/>
    <w:rsid w:val="18884BA1"/>
    <w:rsid w:val="192341E3"/>
    <w:rsid w:val="19C87A59"/>
    <w:rsid w:val="1A3B5843"/>
    <w:rsid w:val="1AC7306B"/>
    <w:rsid w:val="1CBE1ECC"/>
    <w:rsid w:val="1F1028FE"/>
    <w:rsid w:val="20E969EE"/>
    <w:rsid w:val="21933ED0"/>
    <w:rsid w:val="21D71F89"/>
    <w:rsid w:val="22A9523C"/>
    <w:rsid w:val="22CD0713"/>
    <w:rsid w:val="236D2984"/>
    <w:rsid w:val="239712B8"/>
    <w:rsid w:val="23CE2F9E"/>
    <w:rsid w:val="25757B75"/>
    <w:rsid w:val="25DD571A"/>
    <w:rsid w:val="266B176E"/>
    <w:rsid w:val="29CF3D19"/>
    <w:rsid w:val="2EBA5397"/>
    <w:rsid w:val="2F373075"/>
    <w:rsid w:val="301B5562"/>
    <w:rsid w:val="30C708F2"/>
    <w:rsid w:val="31B41A25"/>
    <w:rsid w:val="33330B26"/>
    <w:rsid w:val="33844E91"/>
    <w:rsid w:val="34291213"/>
    <w:rsid w:val="34E14C12"/>
    <w:rsid w:val="36835E6A"/>
    <w:rsid w:val="36B11C0D"/>
    <w:rsid w:val="381C6F99"/>
    <w:rsid w:val="398B09DE"/>
    <w:rsid w:val="3A992100"/>
    <w:rsid w:val="3DF8484A"/>
    <w:rsid w:val="429E219E"/>
    <w:rsid w:val="44CE1046"/>
    <w:rsid w:val="457F1EF2"/>
    <w:rsid w:val="45BC6CA2"/>
    <w:rsid w:val="466B0DF4"/>
    <w:rsid w:val="46C87FF5"/>
    <w:rsid w:val="499E328F"/>
    <w:rsid w:val="4A532EC7"/>
    <w:rsid w:val="4A740DB2"/>
    <w:rsid w:val="4BCA0E7C"/>
    <w:rsid w:val="4C5377F9"/>
    <w:rsid w:val="4E3A3C67"/>
    <w:rsid w:val="4E6600F3"/>
    <w:rsid w:val="4EE71234"/>
    <w:rsid w:val="4F7725B8"/>
    <w:rsid w:val="52F61A46"/>
    <w:rsid w:val="530028C4"/>
    <w:rsid w:val="55C67DF5"/>
    <w:rsid w:val="579C368F"/>
    <w:rsid w:val="5AF70A51"/>
    <w:rsid w:val="5CD76EC2"/>
    <w:rsid w:val="5D6A3A99"/>
    <w:rsid w:val="5D860410"/>
    <w:rsid w:val="603C7B08"/>
    <w:rsid w:val="606E3563"/>
    <w:rsid w:val="60CF0C73"/>
    <w:rsid w:val="640D464E"/>
    <w:rsid w:val="657D0890"/>
    <w:rsid w:val="65A74E21"/>
    <w:rsid w:val="664D2484"/>
    <w:rsid w:val="66880309"/>
    <w:rsid w:val="6729772A"/>
    <w:rsid w:val="683731BA"/>
    <w:rsid w:val="6B2241CD"/>
    <w:rsid w:val="6BC17685"/>
    <w:rsid w:val="6C9D2ADA"/>
    <w:rsid w:val="72F14310"/>
    <w:rsid w:val="739553D7"/>
    <w:rsid w:val="750B2EC6"/>
    <w:rsid w:val="76C361D8"/>
    <w:rsid w:val="779456F6"/>
    <w:rsid w:val="783E1615"/>
    <w:rsid w:val="7919724E"/>
    <w:rsid w:val="7CAB638C"/>
    <w:rsid w:val="7D3B6123"/>
    <w:rsid w:val="7DB94A1A"/>
    <w:rsid w:val="7E1D462B"/>
    <w:rsid w:val="7FBD3C8F"/>
    <w:rsid w:val="7FBF128D"/>
    <w:rsid w:val="BFEFA8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pPr>
    <w:rPr>
      <w:rFonts w:ascii="宋体" w:hAnsi="宋体" w:eastAsia="宋体" w:cs="宋体"/>
      <w:sz w:val="22"/>
      <w:szCs w:val="22"/>
      <w:lang w:val="en-US" w:eastAsia="en-US"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qFormat/>
    <w:uiPriority w:val="0"/>
    <w:pPr>
      <w:ind w:firstLine="420" w:firstLineChars="200"/>
    </w:pPr>
  </w:style>
  <w:style w:type="paragraph" w:styleId="3">
    <w:name w:val="Body Text Indent"/>
    <w:basedOn w:val="1"/>
    <w:qFormat/>
    <w:uiPriority w:val="0"/>
    <w:pPr>
      <w:spacing w:after="120"/>
      <w:ind w:left="420" w:leftChars="200"/>
    </w:pPr>
  </w:style>
  <w:style w:type="paragraph" w:styleId="4">
    <w:name w:val="Body Text"/>
    <w:basedOn w:val="1"/>
    <w:qFormat/>
    <w:uiPriority w:val="1"/>
    <w:rPr>
      <w:sz w:val="29"/>
      <w:szCs w:val="29"/>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0">
    <w:name w:val="样式 样式 左侧:  2 字符 + 左侧:  0.85 厘米 首行缩进:  2 字符1"/>
    <w:basedOn w:val="1"/>
    <w:qFormat/>
    <w:uiPriority w:val="0"/>
    <w:pPr>
      <w:ind w:left="482" w:firstLine="200" w:firstLineChars="200"/>
    </w:pPr>
    <w:rPr>
      <w:rFonts w:cs="宋体"/>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8</Pages>
  <Words>3683</Words>
  <Characters>3731</Characters>
  <Lines>26</Lines>
  <Paragraphs>7</Paragraphs>
  <TotalTime>49</TotalTime>
  <ScaleCrop>false</ScaleCrop>
  <LinksUpToDate>false</LinksUpToDate>
  <CharactersWithSpaces>3824</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2023-01-20T08:43:00Z</dcterms:created>
  <dc:creator>PC-202106140849</dc:creator>
  <cp:lastModifiedBy>user</cp:lastModifiedBy>
  <cp:lastPrinted>2023-02-23T09:16:00Z</cp:lastPrinted>
  <dcterms:modified xsi:type="dcterms:W3CDTF">2023-03-02T09:12:41Z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67978553E14B4878BA0E8EEACBB3D638</vt:lpwstr>
  </property>
</Properties>
</file>