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center"/>
        <w:textAlignment w:val="auto"/>
        <w:outlineLvl w:val="9"/>
        <w:rPr>
          <w:rFonts w:hint="default" w:ascii="方正小标宋简体" w:eastAsia="方正小标宋简体" w:cs="MicrosoftYaHei"/>
          <w:color w:val="auto"/>
          <w:kern w:val="0"/>
          <w:sz w:val="44"/>
          <w:szCs w:val="44"/>
          <w:lang w:val="en-US" w:eastAsia="zh-CN"/>
        </w:rPr>
      </w:pPr>
      <w:r>
        <w:rPr>
          <w:rFonts w:hint="eastAsia" w:ascii="方正小标宋简体" w:eastAsia="方正小标宋简体" w:cs="MicrosoftYaHei"/>
          <w:color w:val="auto"/>
          <w:kern w:val="0"/>
          <w:sz w:val="44"/>
          <w:szCs w:val="4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center"/>
        <w:textAlignment w:val="auto"/>
        <w:outlineLvl w:val="9"/>
        <w:rPr>
          <w:rFonts w:hint="eastAsia" w:ascii="方正小标宋简体" w:eastAsia="方正小标宋简体" w:cs="MicrosoftYaHei"/>
          <w:color w:val="auto"/>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center"/>
        <w:textAlignment w:val="auto"/>
        <w:outlineLvl w:val="9"/>
        <w:rPr>
          <w:rFonts w:ascii="方正小标宋简体" w:eastAsia="方正小标宋简体" w:cs="MicrosoftYaHei"/>
          <w:color w:val="auto"/>
          <w:kern w:val="0"/>
          <w:sz w:val="44"/>
          <w:szCs w:val="44"/>
        </w:rPr>
      </w:pPr>
      <w:r>
        <w:rPr>
          <w:rFonts w:hint="eastAsia" w:ascii="方正小标宋简体" w:eastAsia="方正小标宋简体" w:cs="MicrosoftYaHei"/>
          <w:color w:val="auto"/>
          <w:kern w:val="0"/>
          <w:sz w:val="44"/>
          <w:szCs w:val="44"/>
          <w:lang w:eastAsia="zh-CN"/>
        </w:rPr>
        <w:t>博山区“</w:t>
      </w:r>
      <w:r>
        <w:rPr>
          <w:rFonts w:hint="eastAsia" w:ascii="方正小标宋简体" w:eastAsia="方正小标宋简体" w:cs="MicrosoftYaHei"/>
          <w:color w:val="auto"/>
          <w:kern w:val="0"/>
          <w:sz w:val="44"/>
          <w:szCs w:val="44"/>
        </w:rPr>
        <w:t>十</w:t>
      </w:r>
      <w:r>
        <w:rPr>
          <w:rFonts w:hint="eastAsia" w:ascii="方正小标宋简体" w:eastAsia="方正小标宋简体" w:cs="MicrosoftYaHei"/>
          <w:color w:val="auto"/>
          <w:kern w:val="0"/>
          <w:sz w:val="44"/>
          <w:szCs w:val="44"/>
          <w:lang w:eastAsia="zh-CN"/>
        </w:rPr>
        <w:t>四</w:t>
      </w:r>
      <w:r>
        <w:rPr>
          <w:rFonts w:hint="eastAsia" w:ascii="方正小标宋简体" w:eastAsia="方正小标宋简体" w:cs="MicrosoftYaHei"/>
          <w:color w:val="auto"/>
          <w:kern w:val="0"/>
          <w:sz w:val="44"/>
          <w:szCs w:val="44"/>
        </w:rPr>
        <w:t>五</w:t>
      </w:r>
      <w:r>
        <w:rPr>
          <w:rFonts w:hint="eastAsia" w:ascii="方正小标宋简体" w:eastAsia="方正小标宋简体" w:cs="MicrosoftYaHei"/>
          <w:color w:val="auto"/>
          <w:kern w:val="0"/>
          <w:sz w:val="44"/>
          <w:szCs w:val="44"/>
          <w:lang w:eastAsia="zh-CN"/>
        </w:rPr>
        <w:t>”儿童</w:t>
      </w:r>
      <w:r>
        <w:rPr>
          <w:rFonts w:hint="eastAsia" w:ascii="方正小标宋简体" w:eastAsia="方正小标宋简体" w:cs="MicrosoftYaHei"/>
          <w:color w:val="auto"/>
          <w:kern w:val="0"/>
          <w:sz w:val="44"/>
          <w:szCs w:val="44"/>
        </w:rPr>
        <w:t>发展规划</w:t>
      </w:r>
    </w:p>
    <w:p>
      <w:pPr>
        <w:pageBreakBefore w:val="0"/>
        <w:widowControl w:val="0"/>
        <w:kinsoku/>
        <w:wordWrap/>
        <w:overflowPunct/>
        <w:topLinePunct w:val="0"/>
        <w:bidi w:val="0"/>
        <w:snapToGrid/>
        <w:spacing w:line="576" w:lineRule="exact"/>
        <w:jc w:val="center"/>
        <w:textAlignment w:val="auto"/>
        <w:rPr>
          <w:rFonts w:hint="eastAsia" w:ascii="楷体_GB2312" w:eastAsia="楷体_GB2312" w:cs="楷体"/>
          <w:color w:val="auto"/>
          <w:kern w:val="0"/>
          <w:sz w:val="36"/>
          <w:szCs w:val="36"/>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w:t>
      </w:r>
      <w:r>
        <w:rPr>
          <w:rFonts w:hint="eastAsia"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val="en-US" w:eastAsia="zh-CN"/>
        </w:rPr>
        <w:t>年</w:t>
      </w:r>
      <w:r>
        <w:rPr>
          <w:rFonts w:hint="eastAsia"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lang w:val="en-US" w:eastAsia="zh-CN"/>
        </w:rPr>
        <w:t>月</w:t>
      </w:r>
    </w:p>
    <w:p>
      <w:pPr>
        <w:pStyle w:val="13"/>
        <w:pageBreakBefore w:val="0"/>
        <w:kinsoku/>
        <w:wordWrap/>
        <w:overflowPunct/>
        <w:topLinePunct w:val="0"/>
        <w:bidi w:val="0"/>
        <w:spacing w:line="576" w:lineRule="exact"/>
        <w:rPr>
          <w:rFonts w:hint="eastAsia"/>
          <w:lang w:eastAsia="zh-CN"/>
        </w:rPr>
        <w:sectPr>
          <w:pgSz w:w="11907" w:h="16840"/>
          <w:pgMar w:top="1701" w:right="1588" w:bottom="1418" w:left="1588" w:header="851" w:footer="1191" w:gutter="0"/>
          <w:pgNumType w:fmt="decimal" w:start="1"/>
          <w:cols w:space="720" w:num="1"/>
          <w:docGrid w:linePitch="360" w:charSpace="0"/>
        </w:sectPr>
      </w:pPr>
    </w:p>
    <w:p>
      <w:pPr>
        <w:pageBreakBefore w:val="0"/>
        <w:kinsoku/>
        <w:wordWrap/>
        <w:overflowPunct/>
        <w:topLinePunct w:val="0"/>
        <w:bidi w:val="0"/>
        <w:spacing w:line="576" w:lineRule="exact"/>
        <w:rPr>
          <w:rFonts w:hint="eastAsia"/>
          <w:lang w:eastAsia="zh-CN"/>
        </w:rPr>
        <w:sectPr>
          <w:pgSz w:w="11907" w:h="16840"/>
          <w:pgMar w:top="1701" w:right="1588" w:bottom="1418" w:left="1588" w:header="851" w:footer="1191" w:gutter="0"/>
          <w:pgNumType w:fmt="decimal" w:start="1"/>
          <w:cols w:space="720" w:num="1"/>
          <w:docGrid w:linePitch="360" w:charSpace="0"/>
        </w:sect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录</w:t>
      </w:r>
    </w:p>
    <w:p>
      <w:pPr>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color w:val="auto"/>
          <w:sz w:val="32"/>
          <w:szCs w:val="32"/>
          <w:lang w:eastAsia="zh-CN"/>
        </w:rPr>
      </w:pPr>
    </w:p>
    <w:p>
      <w:pPr>
        <w:pStyle w:val="9"/>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Times New Roman" w:hAnsi="Times New Roman" w:eastAsia="楷体_GB2312" w:cs="Times New Roman"/>
          <w:b w:val="0"/>
          <w:bCs w:val="0"/>
          <w:color w:val="auto"/>
          <w:sz w:val="32"/>
          <w:szCs w:val="32"/>
        </w:rPr>
      </w:pPr>
      <w:r>
        <w:rPr>
          <w:rFonts w:hint="eastAsia" w:ascii="仿宋_GB2312" w:hAnsi="仿宋_GB2312" w:eastAsia="仿宋_GB2312" w:cs="仿宋_GB2312"/>
          <w:b w:val="0"/>
          <w:bCs w:val="0"/>
          <w:color w:val="auto"/>
          <w:sz w:val="32"/>
          <w:szCs w:val="32"/>
          <w:lang w:eastAsia="zh-CN"/>
        </w:rPr>
        <w:fldChar w:fldCharType="begin"/>
      </w:r>
      <w:r>
        <w:rPr>
          <w:rFonts w:hint="eastAsia" w:ascii="仿宋_GB2312" w:hAnsi="仿宋_GB2312" w:eastAsia="仿宋_GB2312" w:cs="仿宋_GB2312"/>
          <w:b w:val="0"/>
          <w:bCs w:val="0"/>
          <w:color w:val="auto"/>
          <w:sz w:val="32"/>
          <w:szCs w:val="32"/>
          <w:lang w:eastAsia="zh-CN"/>
        </w:rPr>
        <w:instrText xml:space="preserve">TOC \o "1-2" \h \u </w:instrText>
      </w:r>
      <w:r>
        <w:rPr>
          <w:rFonts w:hint="eastAsia" w:ascii="仿宋_GB2312" w:hAnsi="仿宋_GB2312" w:eastAsia="仿宋_GB2312" w:cs="仿宋_GB2312"/>
          <w:b w:val="0"/>
          <w:bCs w:val="0"/>
          <w:color w:val="auto"/>
          <w:sz w:val="32"/>
          <w:szCs w:val="32"/>
          <w:lang w:eastAsia="zh-CN"/>
        </w:rPr>
        <w:fldChar w:fldCharType="separate"/>
      </w:r>
      <w:r>
        <w:rPr>
          <w:rFonts w:hint="eastAsia" w:ascii="Times New Roman" w:hAnsi="Times New Roman" w:eastAsia="楷体_GB2312" w:cs="Times New Roman"/>
          <w:b w:val="0"/>
          <w:bCs w:val="0"/>
          <w:color w:val="auto"/>
          <w:sz w:val="32"/>
          <w:szCs w:val="32"/>
          <w:lang w:eastAsia="zh-CN"/>
        </w:rPr>
        <w:fldChar w:fldCharType="begin"/>
      </w:r>
      <w:r>
        <w:rPr>
          <w:rFonts w:hint="eastAsia" w:ascii="Times New Roman" w:hAnsi="Times New Roman" w:eastAsia="楷体_GB2312" w:cs="Times New Roman"/>
          <w:b w:val="0"/>
          <w:bCs w:val="0"/>
          <w:color w:val="auto"/>
          <w:sz w:val="32"/>
          <w:szCs w:val="32"/>
          <w:lang w:eastAsia="zh-CN"/>
        </w:rPr>
        <w:instrText xml:space="preserve"> HYPERLINK \l _Toc5328 </w:instrText>
      </w:r>
      <w:r>
        <w:rPr>
          <w:rFonts w:hint="eastAsia" w:ascii="Times New Roman" w:hAnsi="Times New Roman" w:eastAsia="楷体_GB2312" w:cs="Times New Roman"/>
          <w:b w:val="0"/>
          <w:bCs w:val="0"/>
          <w:color w:val="auto"/>
          <w:sz w:val="32"/>
          <w:szCs w:val="32"/>
          <w:lang w:eastAsia="zh-CN"/>
        </w:rPr>
        <w:fldChar w:fldCharType="separate"/>
      </w:r>
      <w:r>
        <w:rPr>
          <w:rFonts w:hint="eastAsia" w:ascii="Times New Roman" w:hAnsi="Times New Roman" w:eastAsia="楷体_GB2312" w:cs="Times New Roman"/>
          <w:b w:val="0"/>
          <w:bCs w:val="0"/>
          <w:color w:val="auto"/>
          <w:sz w:val="32"/>
          <w:szCs w:val="32"/>
          <w:lang w:eastAsia="zh-CN"/>
        </w:rPr>
        <w:t>前  言</w:t>
      </w:r>
      <w:r>
        <w:rPr>
          <w:rFonts w:hint="eastAsia" w:eastAsia="楷体_GB2312" w:cs="Times New Roman"/>
          <w:b w:val="0"/>
          <w:bCs w:val="0"/>
          <w:color w:val="auto"/>
          <w:sz w:val="32"/>
          <w:szCs w:val="32"/>
          <w:lang w:val="en-US" w:eastAsia="zh-CN"/>
        </w:rPr>
        <w:t xml:space="preserve"> ．．．．．．．．．．．．．．．．．．．．．．．．．．．．．．．．．．．．．</w:t>
      </w:r>
      <w:r>
        <w:rPr>
          <w:rFonts w:hint="eastAsia" w:ascii="Times New Roman" w:hAnsi="Times New Roman" w:eastAsia="楷体_GB2312" w:cs="Times New Roman"/>
          <w:b w:val="0"/>
          <w:bCs w:val="0"/>
          <w:color w:val="auto"/>
          <w:sz w:val="32"/>
          <w:szCs w:val="32"/>
          <w:lang w:eastAsia="zh-CN"/>
        </w:rPr>
        <w:fldChar w:fldCharType="begin"/>
      </w:r>
      <w:r>
        <w:rPr>
          <w:rFonts w:hint="eastAsia" w:ascii="Times New Roman" w:hAnsi="Times New Roman" w:eastAsia="楷体_GB2312" w:cs="Times New Roman"/>
          <w:b w:val="0"/>
          <w:bCs w:val="0"/>
          <w:color w:val="auto"/>
          <w:sz w:val="32"/>
          <w:szCs w:val="32"/>
          <w:lang w:eastAsia="zh-CN"/>
        </w:rPr>
        <w:instrText xml:space="preserve"> PAGEREF _Toc5328 </w:instrText>
      </w:r>
      <w:r>
        <w:rPr>
          <w:rFonts w:hint="eastAsia" w:ascii="Times New Roman" w:hAnsi="Times New Roman" w:eastAsia="楷体_GB2312" w:cs="Times New Roman"/>
          <w:b w:val="0"/>
          <w:bCs w:val="0"/>
          <w:color w:val="auto"/>
          <w:sz w:val="32"/>
          <w:szCs w:val="32"/>
          <w:lang w:eastAsia="zh-CN"/>
        </w:rPr>
        <w:fldChar w:fldCharType="separate"/>
      </w:r>
      <w:r>
        <w:rPr>
          <w:rFonts w:hint="eastAsia" w:ascii="Times New Roman" w:hAnsi="Times New Roman" w:eastAsia="楷体_GB2312" w:cs="Times New Roman"/>
          <w:b w:val="0"/>
          <w:bCs w:val="0"/>
          <w:color w:val="auto"/>
          <w:sz w:val="32"/>
          <w:szCs w:val="32"/>
          <w:lang w:eastAsia="zh-CN"/>
        </w:rPr>
        <w:t>1</w:t>
      </w:r>
      <w:r>
        <w:rPr>
          <w:rFonts w:hint="eastAsia" w:ascii="Times New Roman" w:hAnsi="Times New Roman" w:eastAsia="楷体_GB2312" w:cs="Times New Roman"/>
          <w:b w:val="0"/>
          <w:bCs w:val="0"/>
          <w:color w:val="auto"/>
          <w:sz w:val="32"/>
          <w:szCs w:val="32"/>
          <w:lang w:eastAsia="zh-CN"/>
        </w:rPr>
        <w:fldChar w:fldCharType="end"/>
      </w:r>
      <w:r>
        <w:rPr>
          <w:rFonts w:hint="eastAsia" w:ascii="Times New Roman" w:hAnsi="Times New Roman" w:eastAsia="楷体_GB2312" w:cs="Times New Roman"/>
          <w:b w:val="0"/>
          <w:bCs w:val="0"/>
          <w:color w:val="auto"/>
          <w:sz w:val="32"/>
          <w:szCs w:val="32"/>
          <w:lang w:eastAsia="zh-CN"/>
        </w:rPr>
        <w:fldChar w:fldCharType="end"/>
      </w:r>
    </w:p>
    <w:p>
      <w:pPr>
        <w:pStyle w:val="9"/>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color w:val="auto"/>
        </w:rPr>
      </w:pPr>
      <w:r>
        <w:rPr>
          <w:rFonts w:hint="eastAsia" w:ascii="仿宋_GB2312" w:hAnsi="仿宋_GB2312" w:eastAsia="仿宋_GB2312" w:cs="仿宋_GB2312"/>
          <w:bCs w:val="0"/>
          <w:color w:val="auto"/>
          <w:szCs w:val="32"/>
          <w:lang w:eastAsia="zh-CN"/>
        </w:rPr>
        <w:fldChar w:fldCharType="begin"/>
      </w:r>
      <w:r>
        <w:rPr>
          <w:rFonts w:hint="eastAsia" w:ascii="仿宋_GB2312" w:hAnsi="仿宋_GB2312" w:eastAsia="仿宋_GB2312" w:cs="仿宋_GB2312"/>
          <w:bCs w:val="0"/>
          <w:color w:val="auto"/>
          <w:szCs w:val="32"/>
          <w:lang w:eastAsia="zh-CN"/>
        </w:rPr>
        <w:instrText xml:space="preserve"> HYPERLINK \l _Toc11461 </w:instrText>
      </w:r>
      <w:r>
        <w:rPr>
          <w:rFonts w:hint="eastAsia" w:ascii="仿宋_GB2312" w:hAnsi="仿宋_GB2312" w:eastAsia="仿宋_GB2312" w:cs="仿宋_GB2312"/>
          <w:bCs w:val="0"/>
          <w:color w:val="auto"/>
          <w:szCs w:val="32"/>
          <w:lang w:eastAsia="zh-CN"/>
        </w:rPr>
        <w:fldChar w:fldCharType="separate"/>
      </w:r>
      <w:r>
        <w:rPr>
          <w:rFonts w:hint="eastAsia" w:ascii="黑体" w:hAnsi="黑体" w:eastAsia="黑体" w:cs="黑体"/>
          <w:b w:val="0"/>
          <w:bCs w:val="0"/>
          <w:color w:val="auto"/>
          <w:sz w:val="32"/>
          <w:szCs w:val="32"/>
          <w:lang w:eastAsia="zh-CN"/>
        </w:rPr>
        <w:t>一、指导思想和基本原则</w:t>
      </w:r>
      <w:r>
        <w:rPr>
          <w:rFonts w:hint="eastAsia" w:ascii="黑体" w:hAnsi="黑体" w:eastAsia="黑体" w:cs="黑体"/>
          <w:b w:val="0"/>
          <w:bCs w:val="0"/>
          <w:color w:val="auto"/>
          <w:sz w:val="32"/>
          <w:szCs w:val="32"/>
          <w:lang w:val="en-US" w:eastAsia="zh-CN"/>
        </w:rPr>
        <w:t xml:space="preserve">............................... </w:t>
      </w:r>
      <w:r>
        <w:rPr>
          <w:rFonts w:hint="eastAsia" w:ascii="Times New Roman" w:hAnsi="Times New Roman" w:eastAsia="楷体_GB2312" w:cs="Times New Roman"/>
          <w:b w:val="0"/>
          <w:bCs w:val="0"/>
          <w:color w:val="auto"/>
          <w:sz w:val="32"/>
          <w:szCs w:val="32"/>
        </w:rPr>
        <w:fldChar w:fldCharType="begin"/>
      </w:r>
      <w:r>
        <w:rPr>
          <w:rFonts w:hint="eastAsia" w:ascii="Times New Roman" w:hAnsi="Times New Roman" w:eastAsia="楷体_GB2312" w:cs="Times New Roman"/>
          <w:b w:val="0"/>
          <w:bCs w:val="0"/>
          <w:color w:val="auto"/>
          <w:sz w:val="32"/>
          <w:szCs w:val="32"/>
        </w:rPr>
        <w:instrText xml:space="preserve"> PAGEREF _Toc11461 </w:instrText>
      </w:r>
      <w:r>
        <w:rPr>
          <w:rFonts w:hint="eastAsia" w:ascii="Times New Roman" w:hAnsi="Times New Roman" w:eastAsia="楷体_GB2312" w:cs="Times New Roman"/>
          <w:b w:val="0"/>
          <w:bCs w:val="0"/>
          <w:color w:val="auto"/>
          <w:sz w:val="32"/>
          <w:szCs w:val="32"/>
        </w:rPr>
        <w:fldChar w:fldCharType="separate"/>
      </w:r>
      <w:r>
        <w:rPr>
          <w:rFonts w:hint="eastAsia" w:ascii="Times New Roman" w:hAnsi="Times New Roman" w:eastAsia="楷体_GB2312" w:cs="Times New Roman"/>
          <w:b w:val="0"/>
          <w:bCs w:val="0"/>
          <w:color w:val="auto"/>
          <w:sz w:val="32"/>
          <w:szCs w:val="32"/>
        </w:rPr>
        <w:t>3</w:t>
      </w:r>
      <w:r>
        <w:rPr>
          <w:rFonts w:hint="eastAsia" w:ascii="Times New Roman" w:hAnsi="Times New Roman" w:eastAsia="楷体_GB2312" w:cs="Times New Roman"/>
          <w:b w:val="0"/>
          <w:bCs w:val="0"/>
          <w:color w:val="auto"/>
          <w:sz w:val="32"/>
          <w:szCs w:val="32"/>
        </w:rPr>
        <w:fldChar w:fldCharType="end"/>
      </w:r>
      <w:r>
        <w:rPr>
          <w:rFonts w:hint="eastAsia" w:ascii="仿宋_GB2312" w:hAnsi="仿宋_GB2312" w:eastAsia="仿宋_GB2312" w:cs="仿宋_GB2312"/>
          <w:bCs w:val="0"/>
          <w:color w:val="auto"/>
          <w:szCs w:val="32"/>
          <w:lang w:eastAsia="zh-CN"/>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_Toc20646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（一）指导思想</w:t>
      </w:r>
      <w:r>
        <w:rPr>
          <w:rFonts w:hint="eastAsia" w:ascii="楷体_GB2312" w:hAnsi="楷体_GB2312" w:eastAsia="楷体_GB2312" w:cs="楷体_GB2312"/>
          <w:b w:val="0"/>
          <w:bCs w:val="0"/>
          <w:color w:val="auto"/>
          <w:sz w:val="32"/>
          <w:szCs w:val="32"/>
          <w:lang w:val="en-US" w:eastAsia="zh-CN" w:bidi="ar-SA"/>
        </w:rPr>
        <w:tab/>
      </w:r>
      <w:r>
        <w:rPr>
          <w:rFonts w:hint="eastAsia" w:ascii="Times New Roman" w:hAnsi="Times New Roman" w:eastAsia="楷体_GB2312" w:cs="Times New Roman"/>
          <w:b w:val="0"/>
          <w:bCs w:val="0"/>
          <w:color w:val="auto"/>
          <w:sz w:val="32"/>
          <w:szCs w:val="32"/>
          <w:lang w:val="en-US" w:eastAsia="zh-CN"/>
        </w:rPr>
        <w:fldChar w:fldCharType="begin"/>
      </w:r>
      <w:r>
        <w:rPr>
          <w:rFonts w:hint="eastAsia" w:ascii="Times New Roman" w:hAnsi="Times New Roman" w:eastAsia="楷体_GB2312" w:cs="Times New Roman"/>
          <w:b w:val="0"/>
          <w:bCs w:val="0"/>
          <w:color w:val="auto"/>
          <w:sz w:val="32"/>
          <w:szCs w:val="32"/>
          <w:lang w:val="en-US" w:eastAsia="zh-CN"/>
        </w:rPr>
        <w:instrText xml:space="preserve"> PAGEREF _Toc20646 </w:instrText>
      </w:r>
      <w:r>
        <w:rPr>
          <w:rFonts w:hint="eastAsia" w:ascii="Times New Roman" w:hAnsi="Times New Roman" w:eastAsia="楷体_GB2312" w:cs="Times New Roman"/>
          <w:b w:val="0"/>
          <w:bCs w:val="0"/>
          <w:color w:val="auto"/>
          <w:sz w:val="32"/>
          <w:szCs w:val="32"/>
          <w:lang w:val="en-US" w:eastAsia="zh-CN"/>
        </w:rPr>
        <w:fldChar w:fldCharType="separate"/>
      </w:r>
      <w:r>
        <w:rPr>
          <w:rFonts w:hint="eastAsia" w:ascii="Times New Roman" w:hAnsi="Times New Roman" w:eastAsia="楷体_GB2312" w:cs="Times New Roman"/>
          <w:b w:val="0"/>
          <w:bCs w:val="0"/>
          <w:color w:val="auto"/>
          <w:sz w:val="32"/>
          <w:szCs w:val="32"/>
          <w:lang w:val="en-US" w:eastAsia="zh-CN"/>
        </w:rPr>
        <w:t>3</w:t>
      </w:r>
      <w:r>
        <w:rPr>
          <w:rFonts w:hint="eastAsia" w:ascii="Times New Roman" w:hAnsi="Times New Roman" w:eastAsia="楷体_GB2312" w:cs="Times New Roman"/>
          <w:b w:val="0"/>
          <w:bCs w:val="0"/>
          <w:color w:val="auto"/>
          <w:sz w:val="32"/>
          <w:szCs w:val="32"/>
          <w:lang w:val="en-US" w:eastAsia="zh-CN"/>
        </w:rPr>
        <w:fldChar w:fldCharType="end"/>
      </w:r>
      <w:r>
        <w:rPr>
          <w:rFonts w:hint="eastAsia" w:ascii="楷体_GB2312" w:hAnsi="楷体_GB2312" w:eastAsia="楷体_GB2312" w:cs="楷体_GB2312"/>
          <w:b w:val="0"/>
          <w:bCs w:val="0"/>
          <w:color w:val="auto"/>
          <w:sz w:val="32"/>
          <w:szCs w:val="32"/>
          <w:lang w:val="en-US" w:eastAsia="zh-CN" w:bidi="ar-SA"/>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color w:val="auto"/>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_Toc26035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（二）基本原则</w:t>
      </w:r>
      <w:r>
        <w:rPr>
          <w:rFonts w:hint="eastAsia" w:ascii="楷体_GB2312" w:hAnsi="楷体_GB2312" w:eastAsia="楷体_GB2312" w:cs="楷体_GB2312"/>
          <w:b w:val="0"/>
          <w:bCs w:val="0"/>
          <w:color w:val="auto"/>
          <w:sz w:val="32"/>
          <w:szCs w:val="32"/>
          <w:lang w:val="en-US" w:eastAsia="zh-CN" w:bidi="ar-SA"/>
        </w:rPr>
        <w:tab/>
      </w:r>
      <w:r>
        <w:rPr>
          <w:rFonts w:hint="eastAsia" w:ascii="Times New Roman" w:hAnsi="Times New Roman" w:eastAsia="楷体_GB2312" w:cs="Times New Roman"/>
          <w:b w:val="0"/>
          <w:bCs w:val="0"/>
          <w:color w:val="auto"/>
          <w:sz w:val="32"/>
          <w:szCs w:val="32"/>
          <w:lang w:val="en-US" w:eastAsia="zh-CN"/>
        </w:rPr>
        <w:fldChar w:fldCharType="begin"/>
      </w:r>
      <w:r>
        <w:rPr>
          <w:rFonts w:hint="eastAsia" w:ascii="Times New Roman" w:hAnsi="Times New Roman" w:eastAsia="楷体_GB2312" w:cs="Times New Roman"/>
          <w:b w:val="0"/>
          <w:bCs w:val="0"/>
          <w:color w:val="auto"/>
          <w:sz w:val="32"/>
          <w:szCs w:val="32"/>
          <w:lang w:val="en-US" w:eastAsia="zh-CN"/>
        </w:rPr>
        <w:instrText xml:space="preserve"> PAGEREF _Toc26035 </w:instrText>
      </w:r>
      <w:r>
        <w:rPr>
          <w:rFonts w:hint="eastAsia" w:ascii="Times New Roman" w:hAnsi="Times New Roman" w:eastAsia="楷体_GB2312" w:cs="Times New Roman"/>
          <w:b w:val="0"/>
          <w:bCs w:val="0"/>
          <w:color w:val="auto"/>
          <w:sz w:val="32"/>
          <w:szCs w:val="32"/>
          <w:lang w:val="en-US" w:eastAsia="zh-CN"/>
        </w:rPr>
        <w:fldChar w:fldCharType="separate"/>
      </w:r>
      <w:r>
        <w:rPr>
          <w:rFonts w:hint="eastAsia" w:ascii="Times New Roman" w:hAnsi="Times New Roman" w:eastAsia="楷体_GB2312" w:cs="Times New Roman"/>
          <w:b w:val="0"/>
          <w:bCs w:val="0"/>
          <w:color w:val="auto"/>
          <w:sz w:val="32"/>
          <w:szCs w:val="32"/>
          <w:lang w:val="en-US" w:eastAsia="zh-CN"/>
        </w:rPr>
        <w:t>3</w:t>
      </w:r>
      <w:r>
        <w:rPr>
          <w:rFonts w:hint="eastAsia" w:ascii="Times New Roman" w:hAnsi="Times New Roman" w:eastAsia="楷体_GB2312" w:cs="Times New Roman"/>
          <w:b w:val="0"/>
          <w:bCs w:val="0"/>
          <w:color w:val="auto"/>
          <w:sz w:val="32"/>
          <w:szCs w:val="32"/>
          <w:lang w:val="en-US" w:eastAsia="zh-CN"/>
        </w:rPr>
        <w:fldChar w:fldCharType="end"/>
      </w:r>
      <w:r>
        <w:rPr>
          <w:rFonts w:hint="eastAsia" w:ascii="楷体_GB2312" w:hAnsi="楷体_GB2312" w:eastAsia="楷体_GB2312" w:cs="楷体_GB2312"/>
          <w:b w:val="0"/>
          <w:bCs w:val="0"/>
          <w:color w:val="auto"/>
          <w:sz w:val="32"/>
          <w:szCs w:val="32"/>
          <w:lang w:val="en-US" w:eastAsia="zh-CN" w:bidi="ar-SA"/>
        </w:rPr>
        <w:fldChar w:fldCharType="end"/>
      </w:r>
    </w:p>
    <w:p>
      <w:pPr>
        <w:pStyle w:val="9"/>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fldChar w:fldCharType="begin"/>
      </w:r>
      <w:r>
        <w:rPr>
          <w:rFonts w:hint="eastAsia" w:ascii="黑体" w:hAnsi="黑体" w:eastAsia="黑体" w:cs="黑体"/>
          <w:b w:val="0"/>
          <w:bCs w:val="0"/>
          <w:color w:val="auto"/>
          <w:sz w:val="32"/>
          <w:szCs w:val="32"/>
          <w:lang w:eastAsia="zh-CN"/>
        </w:rPr>
        <w:instrText xml:space="preserve"> HYPERLINK \l _Toc6319 </w:instrText>
      </w:r>
      <w:r>
        <w:rPr>
          <w:rFonts w:hint="eastAsia" w:ascii="黑体" w:hAnsi="黑体" w:eastAsia="黑体" w:cs="黑体"/>
          <w:b w:val="0"/>
          <w:bCs w:val="0"/>
          <w:color w:val="auto"/>
          <w:sz w:val="32"/>
          <w:szCs w:val="32"/>
          <w:lang w:eastAsia="zh-CN"/>
        </w:rPr>
        <w:fldChar w:fldCharType="separate"/>
      </w:r>
      <w:r>
        <w:rPr>
          <w:rFonts w:hint="eastAsia" w:ascii="黑体" w:hAnsi="黑体" w:eastAsia="黑体" w:cs="黑体"/>
          <w:b w:val="0"/>
          <w:bCs w:val="0"/>
          <w:color w:val="auto"/>
          <w:sz w:val="32"/>
          <w:szCs w:val="32"/>
          <w:lang w:eastAsia="zh-CN"/>
        </w:rPr>
        <w:t>二、总体目标</w:t>
      </w:r>
      <w:r>
        <w:rPr>
          <w:rFonts w:hint="eastAsia" w:ascii="黑体" w:hAnsi="黑体" w:eastAsia="黑体" w:cs="黑体"/>
          <w:b w:val="0"/>
          <w:bCs w:val="0"/>
          <w:color w:val="auto"/>
          <w:sz w:val="32"/>
          <w:szCs w:val="32"/>
          <w:lang w:eastAsia="zh-CN"/>
        </w:rPr>
        <w:tab/>
      </w:r>
      <w:r>
        <w:rPr>
          <w:rFonts w:hint="eastAsia" w:ascii="Times New Roman" w:hAnsi="Times New Roman" w:eastAsia="楷体_GB2312" w:cs="Times New Roman"/>
          <w:b w:val="0"/>
          <w:bCs w:val="0"/>
          <w:color w:val="auto"/>
          <w:sz w:val="32"/>
          <w:szCs w:val="32"/>
          <w:lang w:eastAsia="zh-CN"/>
        </w:rPr>
        <w:fldChar w:fldCharType="begin"/>
      </w:r>
      <w:r>
        <w:rPr>
          <w:rFonts w:hint="eastAsia" w:ascii="Times New Roman" w:hAnsi="Times New Roman" w:eastAsia="楷体_GB2312" w:cs="Times New Roman"/>
          <w:b w:val="0"/>
          <w:bCs w:val="0"/>
          <w:color w:val="auto"/>
          <w:sz w:val="32"/>
          <w:szCs w:val="32"/>
          <w:lang w:eastAsia="zh-CN"/>
        </w:rPr>
        <w:instrText xml:space="preserve"> PAGEREF _Toc6319 </w:instrText>
      </w:r>
      <w:r>
        <w:rPr>
          <w:rFonts w:hint="eastAsia" w:ascii="Times New Roman" w:hAnsi="Times New Roman" w:eastAsia="楷体_GB2312" w:cs="Times New Roman"/>
          <w:b w:val="0"/>
          <w:bCs w:val="0"/>
          <w:color w:val="auto"/>
          <w:sz w:val="32"/>
          <w:szCs w:val="32"/>
          <w:lang w:eastAsia="zh-CN"/>
        </w:rPr>
        <w:fldChar w:fldCharType="separate"/>
      </w:r>
      <w:r>
        <w:rPr>
          <w:rFonts w:hint="eastAsia" w:ascii="Times New Roman" w:hAnsi="Times New Roman" w:eastAsia="楷体_GB2312" w:cs="Times New Roman"/>
          <w:b w:val="0"/>
          <w:bCs w:val="0"/>
          <w:color w:val="auto"/>
          <w:sz w:val="32"/>
          <w:szCs w:val="32"/>
          <w:lang w:eastAsia="zh-CN"/>
        </w:rPr>
        <w:t>4</w:t>
      </w:r>
      <w:r>
        <w:rPr>
          <w:rFonts w:hint="eastAsia" w:ascii="Times New Roman" w:hAnsi="Times New Roman" w:eastAsia="楷体_GB2312" w:cs="Times New Roman"/>
          <w:b w:val="0"/>
          <w:bCs w:val="0"/>
          <w:color w:val="auto"/>
          <w:sz w:val="32"/>
          <w:szCs w:val="32"/>
          <w:lang w:eastAsia="zh-CN"/>
        </w:rPr>
        <w:fldChar w:fldCharType="end"/>
      </w:r>
      <w:r>
        <w:rPr>
          <w:rFonts w:hint="eastAsia" w:ascii="黑体" w:hAnsi="黑体" w:eastAsia="黑体" w:cs="黑体"/>
          <w:b w:val="0"/>
          <w:bCs w:val="0"/>
          <w:color w:val="auto"/>
          <w:sz w:val="32"/>
          <w:szCs w:val="32"/>
          <w:lang w:eastAsia="zh-CN"/>
        </w:rPr>
        <w:fldChar w:fldCharType="end"/>
      </w:r>
    </w:p>
    <w:p>
      <w:pPr>
        <w:pStyle w:val="9"/>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color w:val="auto"/>
        </w:rPr>
      </w:pPr>
      <w:r>
        <w:rPr>
          <w:rFonts w:hint="eastAsia" w:ascii="黑体" w:hAnsi="黑体" w:eastAsia="黑体" w:cs="黑体"/>
          <w:b w:val="0"/>
          <w:bCs w:val="0"/>
          <w:color w:val="auto"/>
          <w:sz w:val="32"/>
          <w:szCs w:val="32"/>
          <w:lang w:eastAsia="zh-CN"/>
        </w:rPr>
        <w:fldChar w:fldCharType="begin"/>
      </w:r>
      <w:r>
        <w:rPr>
          <w:rFonts w:hint="eastAsia" w:ascii="黑体" w:hAnsi="黑体" w:eastAsia="黑体" w:cs="黑体"/>
          <w:b w:val="0"/>
          <w:bCs w:val="0"/>
          <w:color w:val="auto"/>
          <w:sz w:val="32"/>
          <w:szCs w:val="32"/>
          <w:lang w:eastAsia="zh-CN"/>
        </w:rPr>
        <w:instrText xml:space="preserve"> HYPERLINK \l _Toc3267 </w:instrText>
      </w:r>
      <w:r>
        <w:rPr>
          <w:rFonts w:hint="eastAsia" w:ascii="黑体" w:hAnsi="黑体" w:eastAsia="黑体" w:cs="黑体"/>
          <w:b w:val="0"/>
          <w:bCs w:val="0"/>
          <w:color w:val="auto"/>
          <w:sz w:val="32"/>
          <w:szCs w:val="32"/>
          <w:lang w:eastAsia="zh-CN"/>
        </w:rPr>
        <w:fldChar w:fldCharType="separate"/>
      </w:r>
      <w:r>
        <w:rPr>
          <w:rFonts w:hint="eastAsia" w:ascii="黑体" w:hAnsi="黑体" w:eastAsia="黑体" w:cs="黑体"/>
          <w:b w:val="0"/>
          <w:bCs w:val="0"/>
          <w:color w:val="auto"/>
          <w:sz w:val="32"/>
          <w:szCs w:val="32"/>
          <w:lang w:eastAsia="zh-CN"/>
        </w:rPr>
        <w:t>三、发展领域、主要目标和策略措施</w:t>
      </w:r>
      <w:r>
        <w:rPr>
          <w:rFonts w:hint="eastAsia" w:ascii="黑体" w:hAnsi="黑体" w:eastAsia="黑体" w:cs="黑体"/>
          <w:b w:val="0"/>
          <w:bCs w:val="0"/>
          <w:color w:val="auto"/>
          <w:sz w:val="32"/>
          <w:szCs w:val="32"/>
          <w:lang w:eastAsia="zh-CN"/>
        </w:rPr>
        <w:tab/>
      </w:r>
      <w:r>
        <w:rPr>
          <w:rFonts w:hint="eastAsia" w:ascii="Times New Roman" w:hAnsi="Times New Roman" w:eastAsia="楷体_GB2312" w:cs="Times New Roman"/>
          <w:b w:val="0"/>
          <w:bCs w:val="0"/>
          <w:color w:val="auto"/>
          <w:sz w:val="32"/>
          <w:szCs w:val="32"/>
          <w:lang w:eastAsia="zh-CN"/>
        </w:rPr>
        <w:fldChar w:fldCharType="begin"/>
      </w:r>
      <w:r>
        <w:rPr>
          <w:rFonts w:hint="eastAsia" w:ascii="Times New Roman" w:hAnsi="Times New Roman" w:eastAsia="楷体_GB2312" w:cs="Times New Roman"/>
          <w:b w:val="0"/>
          <w:bCs w:val="0"/>
          <w:color w:val="auto"/>
          <w:sz w:val="32"/>
          <w:szCs w:val="32"/>
          <w:lang w:eastAsia="zh-CN"/>
        </w:rPr>
        <w:instrText xml:space="preserve"> PAGEREF _Toc3267 </w:instrText>
      </w:r>
      <w:r>
        <w:rPr>
          <w:rFonts w:hint="eastAsia" w:ascii="Times New Roman" w:hAnsi="Times New Roman" w:eastAsia="楷体_GB2312" w:cs="Times New Roman"/>
          <w:b w:val="0"/>
          <w:bCs w:val="0"/>
          <w:color w:val="auto"/>
          <w:sz w:val="32"/>
          <w:szCs w:val="32"/>
          <w:lang w:eastAsia="zh-CN"/>
        </w:rPr>
        <w:fldChar w:fldCharType="separate"/>
      </w:r>
      <w:r>
        <w:rPr>
          <w:rFonts w:hint="eastAsia" w:ascii="Times New Roman" w:hAnsi="Times New Roman" w:eastAsia="楷体_GB2312" w:cs="Times New Roman"/>
          <w:b w:val="0"/>
          <w:bCs w:val="0"/>
          <w:color w:val="auto"/>
          <w:sz w:val="32"/>
          <w:szCs w:val="32"/>
          <w:lang w:eastAsia="zh-CN"/>
        </w:rPr>
        <w:t>4</w:t>
      </w:r>
      <w:r>
        <w:rPr>
          <w:rFonts w:hint="eastAsia" w:ascii="Times New Roman" w:hAnsi="Times New Roman" w:eastAsia="楷体_GB2312" w:cs="Times New Roman"/>
          <w:b w:val="0"/>
          <w:bCs w:val="0"/>
          <w:color w:val="auto"/>
          <w:sz w:val="32"/>
          <w:szCs w:val="32"/>
          <w:lang w:eastAsia="zh-CN"/>
        </w:rPr>
        <w:fldChar w:fldCharType="end"/>
      </w:r>
      <w:r>
        <w:rPr>
          <w:rFonts w:hint="eastAsia" w:ascii="黑体" w:hAnsi="黑体" w:eastAsia="黑体" w:cs="黑体"/>
          <w:b w:val="0"/>
          <w:bCs w:val="0"/>
          <w:color w:val="auto"/>
          <w:sz w:val="32"/>
          <w:szCs w:val="32"/>
          <w:lang w:eastAsia="zh-CN"/>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_Toc7962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（一）儿童与健康</w:t>
      </w:r>
      <w:r>
        <w:rPr>
          <w:rFonts w:hint="eastAsia" w:ascii="楷体_GB2312" w:hAnsi="楷体_GB2312" w:eastAsia="楷体_GB2312" w:cs="楷体_GB2312"/>
          <w:b w:val="0"/>
          <w:bCs w:val="0"/>
          <w:color w:val="auto"/>
          <w:sz w:val="32"/>
          <w:szCs w:val="32"/>
          <w:lang w:val="en-US" w:eastAsia="zh-CN" w:bidi="ar-SA"/>
        </w:rPr>
        <w:tab/>
      </w:r>
      <w:r>
        <w:rPr>
          <w:rFonts w:hint="eastAsia" w:ascii="Times New Roman" w:hAnsi="Times New Roman" w:eastAsia="楷体_GB2312" w:cs="Times New Roman"/>
          <w:b w:val="0"/>
          <w:bCs w:val="0"/>
          <w:color w:val="auto"/>
          <w:sz w:val="32"/>
          <w:szCs w:val="32"/>
          <w:lang w:val="en-US" w:eastAsia="zh-CN" w:bidi="ar-SA"/>
        </w:rPr>
        <w:fldChar w:fldCharType="begin"/>
      </w:r>
      <w:r>
        <w:rPr>
          <w:rFonts w:hint="eastAsia" w:ascii="Times New Roman" w:hAnsi="Times New Roman" w:eastAsia="楷体_GB2312" w:cs="Times New Roman"/>
          <w:b w:val="0"/>
          <w:bCs w:val="0"/>
          <w:color w:val="auto"/>
          <w:sz w:val="32"/>
          <w:szCs w:val="32"/>
          <w:lang w:val="en-US" w:eastAsia="zh-CN" w:bidi="ar-SA"/>
        </w:rPr>
        <w:instrText xml:space="preserve"> PAGEREF _Toc7962 </w:instrText>
      </w:r>
      <w:r>
        <w:rPr>
          <w:rFonts w:hint="eastAsia" w:ascii="Times New Roman" w:hAnsi="Times New Roman" w:eastAsia="楷体_GB2312" w:cs="Times New Roman"/>
          <w:b w:val="0"/>
          <w:bCs w:val="0"/>
          <w:color w:val="auto"/>
          <w:sz w:val="32"/>
          <w:szCs w:val="32"/>
          <w:lang w:val="en-US" w:eastAsia="zh-CN" w:bidi="ar-SA"/>
        </w:rPr>
        <w:fldChar w:fldCharType="separate"/>
      </w:r>
      <w:r>
        <w:rPr>
          <w:rFonts w:hint="eastAsia" w:ascii="Times New Roman" w:hAnsi="Times New Roman" w:eastAsia="楷体_GB2312" w:cs="Times New Roman"/>
          <w:b w:val="0"/>
          <w:bCs w:val="0"/>
          <w:color w:val="auto"/>
          <w:sz w:val="32"/>
          <w:szCs w:val="32"/>
          <w:lang w:val="en-US" w:eastAsia="zh-CN" w:bidi="ar-SA"/>
        </w:rPr>
        <w:t>4</w:t>
      </w:r>
      <w:r>
        <w:rPr>
          <w:rFonts w:hint="eastAsia" w:ascii="Times New Roman" w:hAnsi="Times New Roman" w:eastAsia="楷体_GB2312" w:cs="Times New Roman"/>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default"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_Toc6990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（二）儿童与安全</w:t>
      </w:r>
      <w:r>
        <w:rPr>
          <w:rFonts w:hint="eastAsia" w:ascii="楷体_GB2312" w:hAnsi="楷体_GB2312" w:eastAsia="楷体_GB2312" w:cs="楷体_GB2312"/>
          <w:b w:val="0"/>
          <w:bCs w:val="0"/>
          <w:color w:val="auto"/>
          <w:sz w:val="32"/>
          <w:szCs w:val="32"/>
          <w:lang w:val="en-US" w:eastAsia="zh-CN" w:bidi="ar-SA"/>
        </w:rPr>
        <w:tab/>
      </w:r>
      <w:r>
        <w:rPr>
          <w:rFonts w:hint="eastAsia" w:eastAsia="楷体_GB2312" w:cs="Times New Roman"/>
          <w:b w:val="0"/>
          <w:bCs w:val="0"/>
          <w:color w:val="auto"/>
          <w:sz w:val="32"/>
          <w:szCs w:val="32"/>
          <w:lang w:val="en-US" w:eastAsia="zh-CN" w:bidi="ar-SA"/>
        </w:rPr>
        <w:t>1</w:t>
      </w:r>
      <w:r>
        <w:rPr>
          <w:rFonts w:hint="eastAsia" w:ascii="楷体_GB2312" w:hAnsi="楷体_GB2312" w:eastAsia="楷体_GB2312" w:cs="楷体_GB2312"/>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t>1</w:t>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_Toc20541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（三）儿童与教育</w:t>
      </w:r>
      <w:r>
        <w:rPr>
          <w:rFonts w:hint="eastAsia" w:ascii="楷体_GB2312" w:hAnsi="楷体_GB2312" w:eastAsia="楷体_GB2312" w:cs="楷体_GB2312"/>
          <w:b w:val="0"/>
          <w:bCs w:val="0"/>
          <w:color w:val="auto"/>
          <w:sz w:val="32"/>
          <w:szCs w:val="32"/>
          <w:lang w:val="en-US" w:eastAsia="zh-CN" w:bidi="ar-SA"/>
        </w:rPr>
        <w:tab/>
      </w:r>
      <w:r>
        <w:rPr>
          <w:rFonts w:hint="eastAsia" w:ascii="Times New Roman" w:hAnsi="Times New Roman" w:eastAsia="楷体_GB2312" w:cs="Times New Roman"/>
          <w:b w:val="0"/>
          <w:bCs w:val="0"/>
          <w:color w:val="auto"/>
          <w:sz w:val="32"/>
          <w:szCs w:val="32"/>
          <w:lang w:val="en-US" w:eastAsia="zh-CN" w:bidi="ar-SA"/>
        </w:rPr>
        <w:fldChar w:fldCharType="begin"/>
      </w:r>
      <w:r>
        <w:rPr>
          <w:rFonts w:hint="eastAsia" w:ascii="Times New Roman" w:hAnsi="Times New Roman" w:eastAsia="楷体_GB2312" w:cs="Times New Roman"/>
          <w:b w:val="0"/>
          <w:bCs w:val="0"/>
          <w:color w:val="auto"/>
          <w:sz w:val="32"/>
          <w:szCs w:val="32"/>
          <w:lang w:val="en-US" w:eastAsia="zh-CN" w:bidi="ar-SA"/>
        </w:rPr>
        <w:instrText xml:space="preserve"> PAGEREF _Toc20541 </w:instrText>
      </w:r>
      <w:r>
        <w:rPr>
          <w:rFonts w:hint="eastAsia" w:ascii="Times New Roman" w:hAnsi="Times New Roman" w:eastAsia="楷体_GB2312" w:cs="Times New Roman"/>
          <w:b w:val="0"/>
          <w:bCs w:val="0"/>
          <w:color w:val="auto"/>
          <w:sz w:val="32"/>
          <w:szCs w:val="32"/>
          <w:lang w:val="en-US" w:eastAsia="zh-CN" w:bidi="ar-SA"/>
        </w:rPr>
        <w:fldChar w:fldCharType="separate"/>
      </w:r>
      <w:r>
        <w:rPr>
          <w:rFonts w:hint="eastAsia" w:ascii="Times New Roman" w:hAnsi="Times New Roman" w:eastAsia="楷体_GB2312" w:cs="Times New Roman"/>
          <w:b w:val="0"/>
          <w:bCs w:val="0"/>
          <w:color w:val="auto"/>
          <w:sz w:val="32"/>
          <w:szCs w:val="32"/>
          <w:lang w:val="en-US" w:eastAsia="zh-CN" w:bidi="ar-SA"/>
        </w:rPr>
        <w:t>17</w:t>
      </w:r>
      <w:r>
        <w:rPr>
          <w:rFonts w:hint="eastAsia" w:ascii="Times New Roman" w:hAnsi="Times New Roman" w:eastAsia="楷体_GB2312" w:cs="Times New Roman"/>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_Toc11070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（四）儿童与福利</w:t>
      </w:r>
      <w:r>
        <w:rPr>
          <w:rFonts w:hint="eastAsia" w:ascii="楷体_GB2312" w:hAnsi="楷体_GB2312" w:eastAsia="楷体_GB2312" w:cs="楷体_GB2312"/>
          <w:b w:val="0"/>
          <w:bCs w:val="0"/>
          <w:color w:val="auto"/>
          <w:sz w:val="32"/>
          <w:szCs w:val="32"/>
          <w:lang w:val="en-US" w:eastAsia="zh-CN" w:bidi="ar-SA"/>
        </w:rPr>
        <w:tab/>
      </w:r>
      <w:r>
        <w:rPr>
          <w:rFonts w:hint="eastAsia" w:ascii="Times New Roman" w:hAnsi="Times New Roman" w:eastAsia="楷体_GB2312" w:cs="Times New Roman"/>
          <w:b w:val="0"/>
          <w:bCs w:val="0"/>
          <w:color w:val="auto"/>
          <w:sz w:val="32"/>
          <w:szCs w:val="32"/>
          <w:lang w:val="en-US" w:eastAsia="zh-CN" w:bidi="ar-SA"/>
        </w:rPr>
        <w:fldChar w:fldCharType="begin"/>
      </w:r>
      <w:r>
        <w:rPr>
          <w:rFonts w:hint="eastAsia" w:ascii="Times New Roman" w:hAnsi="Times New Roman" w:eastAsia="楷体_GB2312" w:cs="Times New Roman"/>
          <w:b w:val="0"/>
          <w:bCs w:val="0"/>
          <w:color w:val="auto"/>
          <w:sz w:val="32"/>
          <w:szCs w:val="32"/>
          <w:lang w:val="en-US" w:eastAsia="zh-CN" w:bidi="ar-SA"/>
        </w:rPr>
        <w:instrText xml:space="preserve"> PAGEREF _Toc11070 </w:instrText>
      </w:r>
      <w:r>
        <w:rPr>
          <w:rFonts w:hint="eastAsia" w:ascii="Times New Roman" w:hAnsi="Times New Roman" w:eastAsia="楷体_GB2312" w:cs="Times New Roman"/>
          <w:b w:val="0"/>
          <w:bCs w:val="0"/>
          <w:color w:val="auto"/>
          <w:sz w:val="32"/>
          <w:szCs w:val="32"/>
          <w:lang w:val="en-US" w:eastAsia="zh-CN" w:bidi="ar-SA"/>
        </w:rPr>
        <w:fldChar w:fldCharType="separate"/>
      </w:r>
      <w:r>
        <w:rPr>
          <w:rFonts w:hint="eastAsia" w:ascii="Times New Roman" w:hAnsi="Times New Roman" w:eastAsia="楷体_GB2312" w:cs="Times New Roman"/>
          <w:b w:val="0"/>
          <w:bCs w:val="0"/>
          <w:color w:val="auto"/>
          <w:sz w:val="32"/>
          <w:szCs w:val="32"/>
          <w:lang w:val="en-US" w:eastAsia="zh-CN" w:bidi="ar-SA"/>
        </w:rPr>
        <w:t>23</w:t>
      </w:r>
      <w:r>
        <w:rPr>
          <w:rFonts w:hint="eastAsia" w:ascii="Times New Roman" w:hAnsi="Times New Roman" w:eastAsia="楷体_GB2312" w:cs="Times New Roman"/>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fldChar w:fldCharType="end"/>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default"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_Toc2429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 xml:space="preserve">（五）儿童与法律保护............................. </w:t>
      </w:r>
      <w:r>
        <w:rPr>
          <w:rFonts w:hint="eastAsia" w:eastAsia="楷体_GB2312" w:cs="Times New Roman"/>
          <w:b w:val="0"/>
          <w:bCs w:val="0"/>
          <w:color w:val="auto"/>
          <w:sz w:val="32"/>
          <w:szCs w:val="32"/>
          <w:lang w:val="en-US" w:eastAsia="zh-CN" w:bidi="ar-SA"/>
        </w:rPr>
        <w:t>2</w:t>
      </w:r>
      <w:r>
        <w:rPr>
          <w:rFonts w:hint="eastAsia" w:ascii="楷体_GB2312" w:hAnsi="楷体_GB2312" w:eastAsia="楷体_GB2312" w:cs="楷体_GB2312"/>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t>9</w:t>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default"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_Toc19180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（六）儿童与家庭</w:t>
      </w:r>
      <w:r>
        <w:rPr>
          <w:rFonts w:hint="eastAsia" w:ascii="楷体_GB2312" w:hAnsi="楷体_GB2312" w:eastAsia="楷体_GB2312" w:cs="楷体_GB2312"/>
          <w:b w:val="0"/>
          <w:bCs w:val="0"/>
          <w:color w:val="auto"/>
          <w:sz w:val="32"/>
          <w:szCs w:val="32"/>
          <w:lang w:val="en-US" w:eastAsia="zh-CN" w:bidi="ar-SA"/>
        </w:rPr>
        <w:tab/>
      </w:r>
      <w:r>
        <w:rPr>
          <w:rFonts w:hint="eastAsia" w:eastAsia="楷体_GB2312" w:cs="Times New Roman"/>
          <w:b w:val="0"/>
          <w:bCs w:val="0"/>
          <w:color w:val="auto"/>
          <w:sz w:val="32"/>
          <w:szCs w:val="32"/>
          <w:lang w:val="en-US" w:eastAsia="zh-CN" w:bidi="ar-SA"/>
        </w:rPr>
        <w:t>3</w:t>
      </w:r>
      <w:r>
        <w:rPr>
          <w:rFonts w:hint="eastAsia" w:ascii="楷体_GB2312" w:hAnsi="楷体_GB2312" w:eastAsia="楷体_GB2312" w:cs="楷体_GB2312"/>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t>6</w:t>
      </w:r>
    </w:p>
    <w:p>
      <w:pPr>
        <w:pStyle w:val="10"/>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default"/>
          <w:color w:val="auto"/>
          <w:lang w:val="en-US"/>
        </w:rPr>
      </w:pPr>
      <w:r>
        <w:rPr>
          <w:rFonts w:hint="eastAsia" w:ascii="楷体_GB2312" w:hAnsi="楷体_GB2312" w:eastAsia="楷体_GB2312" w:cs="楷体_GB2312"/>
          <w:b w:val="0"/>
          <w:bCs w:val="0"/>
          <w:color w:val="auto"/>
          <w:sz w:val="32"/>
          <w:szCs w:val="32"/>
          <w:lang w:val="en-US" w:eastAsia="zh-CN" w:bidi="ar-SA"/>
        </w:rPr>
        <w:fldChar w:fldCharType="begin"/>
      </w:r>
      <w:r>
        <w:rPr>
          <w:rFonts w:hint="eastAsia" w:ascii="楷体_GB2312" w:hAnsi="楷体_GB2312" w:eastAsia="楷体_GB2312" w:cs="楷体_GB2312"/>
          <w:b w:val="0"/>
          <w:bCs w:val="0"/>
          <w:color w:val="auto"/>
          <w:sz w:val="32"/>
          <w:szCs w:val="32"/>
          <w:lang w:val="en-US" w:eastAsia="zh-CN" w:bidi="ar-SA"/>
        </w:rPr>
        <w:instrText xml:space="preserve"> HYPERLINK \l _Toc13390 </w:instrText>
      </w:r>
      <w:r>
        <w:rPr>
          <w:rFonts w:hint="eastAsia" w:ascii="楷体_GB2312" w:hAnsi="楷体_GB2312" w:eastAsia="楷体_GB2312" w:cs="楷体_GB2312"/>
          <w:b w:val="0"/>
          <w:bCs w:val="0"/>
          <w:color w:val="auto"/>
          <w:sz w:val="32"/>
          <w:szCs w:val="32"/>
          <w:lang w:val="en-US" w:eastAsia="zh-CN" w:bidi="ar-SA"/>
        </w:rPr>
        <w:fldChar w:fldCharType="separate"/>
      </w:r>
      <w:r>
        <w:rPr>
          <w:rFonts w:hint="eastAsia" w:ascii="楷体_GB2312" w:hAnsi="楷体_GB2312" w:eastAsia="楷体_GB2312" w:cs="楷体_GB2312"/>
          <w:b w:val="0"/>
          <w:bCs w:val="0"/>
          <w:color w:val="auto"/>
          <w:sz w:val="32"/>
          <w:szCs w:val="32"/>
          <w:lang w:val="en-US" w:eastAsia="zh-CN" w:bidi="ar-SA"/>
        </w:rPr>
        <w:t>（七）儿童与环境</w:t>
      </w:r>
      <w:r>
        <w:rPr>
          <w:rFonts w:hint="eastAsia" w:ascii="楷体_GB2312" w:hAnsi="楷体_GB2312" w:eastAsia="楷体_GB2312" w:cs="楷体_GB2312"/>
          <w:b w:val="0"/>
          <w:bCs w:val="0"/>
          <w:color w:val="auto"/>
          <w:sz w:val="32"/>
          <w:szCs w:val="32"/>
          <w:lang w:val="en-US" w:eastAsia="zh-CN" w:bidi="ar-SA"/>
        </w:rPr>
        <w:tab/>
      </w:r>
      <w:r>
        <w:rPr>
          <w:rFonts w:hint="eastAsia" w:eastAsia="楷体_GB2312" w:cs="Times New Roman"/>
          <w:b w:val="0"/>
          <w:bCs w:val="0"/>
          <w:color w:val="auto"/>
          <w:sz w:val="32"/>
          <w:szCs w:val="32"/>
          <w:lang w:val="en-US" w:eastAsia="zh-CN" w:bidi="ar-SA"/>
        </w:rPr>
        <w:t>4</w:t>
      </w:r>
      <w:r>
        <w:rPr>
          <w:rFonts w:hint="eastAsia" w:ascii="楷体_GB2312" w:hAnsi="楷体_GB2312" w:eastAsia="楷体_GB2312" w:cs="楷体_GB2312"/>
          <w:b w:val="0"/>
          <w:bCs w:val="0"/>
          <w:color w:val="auto"/>
          <w:sz w:val="32"/>
          <w:szCs w:val="32"/>
          <w:lang w:val="en-US" w:eastAsia="zh-CN" w:bidi="ar-SA"/>
        </w:rPr>
        <w:fldChar w:fldCharType="end"/>
      </w:r>
      <w:r>
        <w:rPr>
          <w:rFonts w:hint="eastAsia" w:ascii="楷体_GB2312" w:hAnsi="楷体_GB2312" w:eastAsia="楷体_GB2312" w:cs="楷体_GB2312"/>
          <w:b w:val="0"/>
          <w:bCs w:val="0"/>
          <w:color w:val="auto"/>
          <w:sz w:val="32"/>
          <w:szCs w:val="32"/>
          <w:lang w:val="en-US" w:eastAsia="zh-CN" w:bidi="ar-SA"/>
        </w:rPr>
        <w:t>1</w:t>
      </w:r>
    </w:p>
    <w:p>
      <w:pPr>
        <w:pStyle w:val="9"/>
        <w:keepNext w:val="0"/>
        <w:keepLines w:val="0"/>
        <w:pageBreakBefore w:val="0"/>
        <w:widowControl/>
        <w:tabs>
          <w:tab w:val="right" w:leader="dot" w:pos="8731"/>
        </w:tabs>
        <w:kinsoku/>
        <w:wordWrap/>
        <w:overflowPunct/>
        <w:topLinePunct w:val="0"/>
        <w:autoSpaceDE/>
        <w:autoSpaceDN/>
        <w:bidi w:val="0"/>
        <w:adjustRightInd/>
        <w:snapToGrid/>
        <w:spacing w:line="576" w:lineRule="exact"/>
        <w:textAlignment w:val="auto"/>
        <w:rPr>
          <w:rFonts w:hint="default"/>
          <w:lang w:val="en-US" w:eastAsia="zh-CN"/>
        </w:rPr>
        <w:sectPr>
          <w:footerReference r:id="rId3" w:type="default"/>
          <w:pgSz w:w="11907" w:h="16840"/>
          <w:pgMar w:top="1701" w:right="1588" w:bottom="1418" w:left="1588" w:header="851" w:footer="1191" w:gutter="0"/>
          <w:pgNumType w:fmt="decimal" w:start="1"/>
          <w:cols w:space="720" w:num="1"/>
          <w:docGrid w:linePitch="360" w:charSpace="0"/>
        </w:sectPr>
      </w:pPr>
      <w:r>
        <w:rPr>
          <w:rFonts w:hint="eastAsia" w:ascii="Times New Roman" w:hAnsi="Times New Roman" w:eastAsia="楷体_GB2312" w:cs="Times New Roman"/>
          <w:b w:val="0"/>
          <w:bCs w:val="0"/>
          <w:color w:val="auto"/>
          <w:sz w:val="32"/>
          <w:szCs w:val="32"/>
          <w:lang w:eastAsia="zh-CN"/>
        </w:rPr>
        <w:fldChar w:fldCharType="begin"/>
      </w:r>
      <w:r>
        <w:rPr>
          <w:rFonts w:hint="eastAsia" w:ascii="Times New Roman" w:hAnsi="Times New Roman" w:eastAsia="楷体_GB2312" w:cs="Times New Roman"/>
          <w:b w:val="0"/>
          <w:bCs w:val="0"/>
          <w:color w:val="auto"/>
          <w:sz w:val="32"/>
          <w:szCs w:val="32"/>
          <w:lang w:eastAsia="zh-CN"/>
        </w:rPr>
        <w:instrText xml:space="preserve"> HYPERLINK \l _Toc26760 </w:instrText>
      </w:r>
      <w:r>
        <w:rPr>
          <w:rFonts w:hint="eastAsia" w:ascii="Times New Roman" w:hAnsi="Times New Roman" w:eastAsia="楷体_GB2312" w:cs="Times New Roman"/>
          <w:b w:val="0"/>
          <w:bCs w:val="0"/>
          <w:color w:val="auto"/>
          <w:sz w:val="32"/>
          <w:szCs w:val="32"/>
          <w:lang w:eastAsia="zh-CN"/>
        </w:rPr>
        <w:fldChar w:fldCharType="separate"/>
      </w:r>
      <w:r>
        <w:rPr>
          <w:rFonts w:hint="eastAsia" w:ascii="黑体" w:hAnsi="黑体" w:eastAsia="黑体" w:cs="黑体"/>
          <w:b w:val="0"/>
          <w:bCs w:val="0"/>
          <w:color w:val="auto"/>
          <w:sz w:val="32"/>
          <w:szCs w:val="32"/>
          <w:lang w:eastAsia="zh-CN"/>
        </w:rPr>
        <w:t>四、组织实施</w:t>
      </w:r>
      <w:r>
        <w:rPr>
          <w:rFonts w:hint="eastAsia" w:ascii="黑体" w:hAnsi="黑体" w:eastAsia="黑体" w:cs="黑体"/>
          <w:b w:val="0"/>
          <w:bCs w:val="0"/>
          <w:color w:val="auto"/>
          <w:sz w:val="32"/>
          <w:szCs w:val="32"/>
          <w:lang w:val="en-US" w:eastAsia="zh-CN"/>
        </w:rPr>
        <w:t xml:space="preserve">........................................ </w:t>
      </w:r>
      <w:r>
        <w:rPr>
          <w:rFonts w:hint="eastAsia" w:eastAsia="楷体_GB2312" w:cs="Times New Roman"/>
          <w:b w:val="0"/>
          <w:bCs w:val="0"/>
          <w:color w:val="auto"/>
          <w:sz w:val="32"/>
          <w:szCs w:val="32"/>
          <w:lang w:val="en-US" w:eastAsia="zh-CN"/>
        </w:rPr>
        <w:t>4</w:t>
      </w:r>
      <w:r>
        <w:rPr>
          <w:rFonts w:hint="eastAsia" w:ascii="Times New Roman" w:hAnsi="Times New Roman" w:eastAsia="楷体_GB2312" w:cs="Times New Roman"/>
          <w:b w:val="0"/>
          <w:bCs w:val="0"/>
          <w:color w:val="auto"/>
          <w:sz w:val="32"/>
          <w:szCs w:val="32"/>
          <w:lang w:eastAsia="zh-CN"/>
        </w:rPr>
        <w:fldChar w:fldCharType="end"/>
      </w:r>
      <w:r>
        <w:rPr>
          <w:rFonts w:hint="eastAsia" w:eastAsia="楷体_GB2312" w:cs="Times New Roman"/>
          <w:b w:val="0"/>
          <w:bCs w:val="0"/>
          <w:color w:val="auto"/>
          <w:sz w:val="32"/>
          <w:szCs w:val="32"/>
          <w:lang w:val="en-US" w:eastAsia="zh-CN"/>
        </w:rPr>
        <w:t>6</w:t>
      </w:r>
    </w:p>
    <w:p>
      <w:pPr>
        <w:pStyle w:val="13"/>
        <w:pageBreakBefore w:val="0"/>
        <w:kinsoku/>
        <w:wordWrap/>
        <w:overflowPunct/>
        <w:topLinePunct w:val="0"/>
        <w:bidi w:val="0"/>
        <w:spacing w:line="576" w:lineRule="exact"/>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Cs w:val="0"/>
          <w:color w:val="auto"/>
          <w:szCs w:val="32"/>
          <w:lang w:eastAsia="zh-CN"/>
        </w:rPr>
        <w:fldChar w:fldCharType="end"/>
      </w:r>
    </w:p>
    <w:p>
      <w:pPr>
        <w:pStyle w:val="3"/>
        <w:pageBreakBefore w:val="0"/>
        <w:kinsoku/>
        <w:wordWrap/>
        <w:overflowPunct/>
        <w:topLinePunct w:val="0"/>
        <w:bidi w:val="0"/>
        <w:snapToGrid/>
        <w:spacing w:before="0" w:beforeLines="0" w:afterLines="0" w:line="576"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sectPr>
          <w:pgSz w:w="11907" w:h="16840"/>
          <w:pgMar w:top="1701" w:right="1588" w:bottom="1418" w:left="1588" w:header="851" w:footer="1191" w:gutter="0"/>
          <w:pgNumType w:fmt="decimal" w:start="1"/>
          <w:cols w:space="720" w:num="1"/>
          <w:docGrid w:linePitch="360" w:charSpace="0"/>
        </w:sectPr>
      </w:pPr>
    </w:p>
    <w:p>
      <w:pPr>
        <w:pStyle w:val="3"/>
        <w:pageBreakBefore w:val="0"/>
        <w:kinsoku/>
        <w:wordWrap/>
        <w:overflowPunct/>
        <w:topLinePunct w:val="0"/>
        <w:bidi w:val="0"/>
        <w:snapToGrid/>
        <w:spacing w:before="0" w:beforeLines="0" w:afterLines="0" w:line="576"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bookmarkStart w:id="0" w:name="_Toc5328"/>
      <w:r>
        <w:rPr>
          <w:rFonts w:hint="eastAsia" w:ascii="方正小标宋简体" w:hAnsi="方正小标宋简体" w:eastAsia="方正小标宋简体" w:cs="方正小标宋简体"/>
          <w:color w:val="auto"/>
          <w:sz w:val="44"/>
          <w:szCs w:val="44"/>
          <w:lang w:eastAsia="zh-CN"/>
        </w:rPr>
        <w:t>前  言</w:t>
      </w:r>
      <w:bookmarkEnd w:id="0"/>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少年儿童是祖国的未来，民族的希望。当代少年儿童既是实现第一个百年奋斗目标的经历者、见证者，更是实现第二个百年奋斗目标、全面建设社会主义现代化强国的生力军。促进儿童健康成长，能够为国家可持续发展提供宝贵资源和不竭动力，是建设社会主义现代化强国、实现中华民族伟大复兴中国梦的必然要求。</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党和国家始终高度重视儿童事业和儿童发展。党的十八大以来，以习近平同志为核心的党中央把培养好少年儿童作为一项战略性、基础性工作，坚持儿童优先原则，儿童发展和儿童事业取得了历史性新成就。我区已制定实施了五个周期儿童发展纲要、规划，为儿童生存、发展、受保护和参与权利的实现提供了重要保障。“十三五”期间，我区保障儿童权利的法规政策体系进一步完善，儿童健康核心指标达到发达国家水平，儿童教育普及程度进一步提高，儿童安全得到进一步保障，儿童福利保障水平进一步提升，农村留守儿童、困境儿童等弱势群体得到更多关爱和保护，儿童法律保护不断加强，儿童生存发展环境进一步优化，儿童工作的法制化和科学化水平显著提高。但受经济社会发展水平制约，我区儿童发展和权利保护仍面临一些问题和挑战，儿童事业发展仍然存在不平衡不充分问题，不能适应加快建设</w:t>
      </w:r>
      <w:r>
        <w:rPr>
          <w:rFonts w:hint="eastAsia" w:ascii="仿宋_GB2312" w:hAnsi="仿宋" w:eastAsia="仿宋_GB2312" w:cs="仿宋"/>
          <w:color w:val="auto"/>
          <w:sz w:val="32"/>
          <w:szCs w:val="32"/>
          <w:lang w:val="en-US" w:eastAsia="zh-CN"/>
        </w:rPr>
        <w:t>富强优美活力博山</w:t>
      </w:r>
      <w:r>
        <w:rPr>
          <w:rFonts w:hint="eastAsia" w:ascii="仿宋_GB2312" w:hAnsi="仿宋" w:eastAsia="仿宋_GB2312" w:cs="仿宋"/>
          <w:color w:val="auto"/>
          <w:sz w:val="32"/>
          <w:szCs w:val="32"/>
          <w:lang w:eastAsia="zh-CN"/>
        </w:rPr>
        <w:t>的新要求和儿童及其家庭的新期盼。贯彻儿童优先原则的力度需要进一步加大，儿童思想引领的时代性和实效性有待加强，保障儿童权利的法治建设需要持续推进，儿童发展的城乡、区域和群体差距依然存在，基层儿童保护服务网底尚待编密织牢，科技进步和生活方式变革给儿童发展带来新挑战，儿童事业发展使命艰巨、任重道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“十四五”时期，我区将锚定</w:t>
      </w:r>
      <w:r>
        <w:rPr>
          <w:rFonts w:hint="eastAsia" w:ascii="仿宋_GB2312" w:hAnsi="仿宋" w:eastAsia="仿宋_GB2312" w:cs="仿宋"/>
          <w:color w:val="auto"/>
          <w:sz w:val="32"/>
          <w:szCs w:val="32"/>
          <w:lang w:val="en-US" w:eastAsia="zh-CN"/>
        </w:rPr>
        <w:t>“产业振兴、环境优美、群众满意”三大目标</w:t>
      </w:r>
      <w:r>
        <w:rPr>
          <w:rFonts w:hint="eastAsia" w:ascii="仿宋_GB2312" w:hAnsi="仿宋" w:eastAsia="仿宋_GB2312" w:cs="仿宋"/>
          <w:color w:val="auto"/>
          <w:sz w:val="32"/>
          <w:szCs w:val="32"/>
          <w:lang w:eastAsia="zh-CN"/>
        </w:rPr>
        <w:t>，</w:t>
      </w:r>
      <w:r>
        <w:rPr>
          <w:rFonts w:hint="eastAsia" w:ascii="仿宋_GB2312" w:hAnsi="仿宋" w:eastAsia="仿宋_GB2312" w:cs="仿宋"/>
          <w:i w:val="0"/>
          <w:caps w:val="0"/>
          <w:color w:val="auto"/>
          <w:spacing w:val="0"/>
          <w:sz w:val="32"/>
          <w:szCs w:val="32"/>
          <w:shd w:val="clear" w:color="auto" w:fill="auto"/>
          <w:lang w:val="en-US" w:eastAsia="zh-CN"/>
        </w:rPr>
        <w:t>坚决打好“工业崛起、城市更新、乡村振兴、改革开放、绿色低碳、文旅融合、共同富裕”七大攻势，</w:t>
      </w:r>
      <w:r>
        <w:rPr>
          <w:rFonts w:hint="eastAsia" w:ascii="仿宋_GB2312" w:hAnsi="仿宋" w:eastAsia="仿宋_GB2312" w:cs="仿宋"/>
          <w:color w:val="auto"/>
          <w:sz w:val="32"/>
          <w:szCs w:val="32"/>
          <w:lang w:eastAsia="zh-CN"/>
        </w:rPr>
        <w:t>这为儿童全面发展和儿童事业发展提供了前所未有的重大战略机遇。坚持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依据《中华人民共和国宪法》《中华人民共和国民法典》《中华人民共和国未成年人保护法》等法律法规，按照《中国儿童发展纲要（2021-2030年）》《山东省“十四五”儿童发展规划》、《淄博市“十四五”儿童发展规划》《博山区国民经济和社会发展第十四个五年规划和2035年远景目标纲要》的总体要求，结合我区儿童发展实际，制定本规划。</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本规划所称儿童是指未满18周岁的自然人。</w:t>
      </w:r>
    </w:p>
    <w:p>
      <w:pPr>
        <w:pStyle w:val="3"/>
        <w:pageBreakBefore w:val="0"/>
        <w:kinsoku/>
        <w:wordWrap/>
        <w:overflowPunct/>
        <w:topLinePunct w:val="0"/>
        <w:bidi w:val="0"/>
        <w:snapToGrid/>
        <w:spacing w:before="0" w:beforeLines="0" w:afterLines="0" w:line="576" w:lineRule="exact"/>
        <w:jc w:val="left"/>
        <w:textAlignment w:val="auto"/>
        <w:rPr>
          <w:rFonts w:hint="eastAsia" w:cs="Times New Roman"/>
          <w:b w:val="0"/>
          <w:bCs/>
          <w:color w:val="auto"/>
          <w:lang w:eastAsia="zh-CN"/>
        </w:rPr>
      </w:pPr>
      <w:bookmarkStart w:id="1" w:name="_Toc11461"/>
      <w:r>
        <w:rPr>
          <w:rFonts w:hint="eastAsia" w:cs="Times New Roman"/>
          <w:b w:val="0"/>
          <w:bCs/>
          <w:color w:val="auto"/>
          <w:lang w:eastAsia="zh-CN"/>
        </w:rPr>
        <w:t>一、指导思想和基本原则</w:t>
      </w:r>
      <w:bookmarkEnd w:id="1"/>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2" w:name="_Toc20646"/>
      <w:r>
        <w:rPr>
          <w:rFonts w:hint="eastAsia" w:eastAsia="楷体_GB2312" w:cs="Times New Roman"/>
          <w:b w:val="0"/>
          <w:bCs/>
          <w:color w:val="auto"/>
          <w:lang w:eastAsia="zh-CN"/>
        </w:rPr>
        <w:t>（一）指导思想</w:t>
      </w:r>
      <w:bookmarkEnd w:id="2"/>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高举中国特色社会主义伟大旗帜，深入贯彻党的十九大和十九届历次全会精神，坚持以马克思列宁主义、毛泽东思想、邓小平理论、“三个代表”重要思想、科学发展观、习近平新时代中国特色社会主义思想为指导，坚持走中国特色社会主义儿童发展道路，坚持以人民为中心的发展思想，在把握新发展阶段，贯彻新发展理念，融入新发展格局中，认真贯彻落实习近平总书记对山东工作和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3" w:name="_Toc26035"/>
      <w:r>
        <w:rPr>
          <w:rFonts w:hint="eastAsia" w:eastAsia="楷体_GB2312" w:cs="Times New Roman"/>
          <w:b w:val="0"/>
          <w:bCs/>
          <w:color w:val="auto"/>
          <w:lang w:eastAsia="zh-CN"/>
        </w:rPr>
        <w:t>（二）基本原则</w:t>
      </w:r>
      <w:bookmarkEnd w:id="3"/>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1.坚持党的全面领导。把握儿童事业发展的政治方向，贯彻落实党中央关于儿童事业发展的重要决策部署和省市区委工作要求，切实把党的领导贯彻到儿童事业发展全过程和各方面。</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2.坚持对儿童发展的优先保障。在出台法规政策、编制规划、配置资源、部署工作时优先考虑儿童的最大利益和发展需求。</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3.坚持促进儿童全面发展。尊重儿童的人格尊严，遵循儿童身心发展特点和规律，保障儿童身心健康，促进儿童在德智体美劳各方面实现全面发展。</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4.坚持保障儿童平等发展。创造公平社会环境，消除对儿童一切形式的歧视，保障所有儿童平等享有发展权利和机会。</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5.坚持鼓励儿童参与。尊重儿童主体地位，鼓励和支持儿童参与家庭、社会和文化生活，创造有利于儿童参与的社会环境。</w:t>
      </w:r>
    </w:p>
    <w:p>
      <w:pPr>
        <w:pStyle w:val="3"/>
        <w:pageBreakBefore w:val="0"/>
        <w:kinsoku/>
        <w:wordWrap/>
        <w:overflowPunct/>
        <w:topLinePunct w:val="0"/>
        <w:bidi w:val="0"/>
        <w:snapToGrid/>
        <w:spacing w:before="0" w:beforeLines="0" w:afterLines="0" w:line="576" w:lineRule="exact"/>
        <w:jc w:val="left"/>
        <w:textAlignment w:val="auto"/>
        <w:rPr>
          <w:rFonts w:hint="eastAsia" w:cs="Times New Roman"/>
          <w:b w:val="0"/>
          <w:bCs/>
          <w:color w:val="auto"/>
          <w:lang w:eastAsia="zh-CN"/>
        </w:rPr>
      </w:pPr>
      <w:bookmarkStart w:id="4" w:name="_Toc6319"/>
      <w:r>
        <w:rPr>
          <w:rFonts w:hint="eastAsia" w:cs="Times New Roman"/>
          <w:b w:val="0"/>
          <w:bCs/>
          <w:color w:val="auto"/>
          <w:lang w:eastAsia="zh-CN"/>
        </w:rPr>
        <w:t>二、总体目标</w:t>
      </w:r>
      <w:bookmarkEnd w:id="4"/>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建设儿童友好城市，儿童友好理念深入人心，在公共服务、权利保障、成长空间、发展环境、社会政策等方面落实儿童友好要求。保障儿童权利的法规政策体系更加健全，促进儿童发展的工作机制更加完善，儿童优先的社会风尚普遍形成，城乡、区域、群体之间儿童发展差距显著缩小。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pStyle w:val="3"/>
        <w:pageBreakBefore w:val="0"/>
        <w:kinsoku/>
        <w:wordWrap/>
        <w:overflowPunct/>
        <w:topLinePunct w:val="0"/>
        <w:bidi w:val="0"/>
        <w:snapToGrid/>
        <w:spacing w:before="0" w:beforeLines="0" w:afterLines="0" w:line="576" w:lineRule="exact"/>
        <w:jc w:val="left"/>
        <w:textAlignment w:val="auto"/>
        <w:rPr>
          <w:rFonts w:hint="eastAsia" w:cs="Times New Roman"/>
          <w:b w:val="0"/>
          <w:bCs/>
          <w:color w:val="auto"/>
          <w:lang w:eastAsia="zh-CN"/>
        </w:rPr>
      </w:pPr>
      <w:bookmarkStart w:id="5" w:name="_Toc3267"/>
      <w:r>
        <w:rPr>
          <w:rFonts w:hint="eastAsia" w:cs="Times New Roman"/>
          <w:b w:val="0"/>
          <w:bCs/>
          <w:color w:val="auto"/>
          <w:lang w:eastAsia="zh-CN"/>
        </w:rPr>
        <w:t>三、发展领域、主要目标和策略措施</w:t>
      </w:r>
      <w:bookmarkEnd w:id="5"/>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6" w:name="_Toc7962"/>
      <w:r>
        <w:rPr>
          <w:rFonts w:hint="eastAsia" w:eastAsia="楷体_GB2312" w:cs="Times New Roman"/>
          <w:b w:val="0"/>
          <w:bCs/>
          <w:color w:val="auto"/>
          <w:lang w:eastAsia="zh-CN"/>
        </w:rPr>
        <w:t>（一）儿童与健康</w:t>
      </w:r>
      <w:bookmarkEnd w:id="6"/>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（1）覆盖城乡的儿童健康服务体系更加完善，儿童医疗保健服务能力显著增强，儿童健康水平不断提高。</w:t>
      </w:r>
      <w:r>
        <w:rPr>
          <w:rFonts w:hint="eastAsia" w:ascii="楷体_GB2312" w:hAnsi="楷体_GB2312" w:eastAsia="楷体_GB2312" w:cs="楷体_GB2312"/>
          <w:color w:val="auto"/>
          <w:sz w:val="32"/>
          <w:szCs w:val="32"/>
          <w:lang w:eastAsia="zh-CN"/>
        </w:rPr>
        <w:t>（牵头单位:区卫生健康局。责任单位:区发展和改革局、区医疗保障分局）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（2）普及儿童健康生活方式，提高儿童及其照护人健康素养。</w:t>
      </w:r>
      <w:r>
        <w:rPr>
          <w:rFonts w:hint="eastAsia" w:ascii="楷体_GB2312" w:hAnsi="楷体_GB2312" w:eastAsia="楷体_GB2312" w:cs="楷体_GB2312"/>
          <w:color w:val="auto"/>
          <w:sz w:val="32"/>
          <w:szCs w:val="32"/>
          <w:lang w:eastAsia="zh-CN"/>
        </w:rPr>
        <w:t>（牵头单位:区卫生健康局。责任单位:区委宣传部、区教育和体育局、区民政局、区妇联、区残联、区科协、团区委）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（3）新生儿、婴儿和5岁以下儿童死亡率分别控制在3‰、3.3‰和4‰以下，城乡差距逐步缩小。</w:t>
      </w:r>
      <w:r>
        <w:rPr>
          <w:rFonts w:hint="eastAsia" w:ascii="楷体_GB2312" w:hAnsi="楷体_GB2312" w:eastAsia="楷体_GB2312" w:cs="楷体_GB2312"/>
          <w:color w:val="auto"/>
          <w:sz w:val="32"/>
          <w:szCs w:val="32"/>
          <w:lang w:eastAsia="zh-CN"/>
        </w:rPr>
        <w:t>（牵头单位:区卫生健康局。责任单位:区发展和改革局）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（4）构建完善覆盖婚前、孕前、孕期、新生儿和儿童各阶段的出生缺陷防治体系，预防和控制出生缺陷。</w:t>
      </w:r>
      <w:r>
        <w:rPr>
          <w:rFonts w:hint="eastAsia" w:ascii="楷体_GB2312" w:hAnsi="楷体_GB2312" w:eastAsia="楷体_GB2312" w:cs="楷体_GB2312"/>
          <w:color w:val="auto"/>
          <w:sz w:val="32"/>
          <w:szCs w:val="32"/>
          <w:lang w:eastAsia="zh-CN"/>
        </w:rPr>
        <w:t>（牵头单位:区卫生健康局。责任单位:区民政局、区总工会、区科技局、区残联、区生态环境分局）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（5）儿童常见疾病和恶性肿瘤等严重危害儿童健康的疾病得到有效防治。</w:t>
      </w:r>
      <w:r>
        <w:rPr>
          <w:rFonts w:hint="eastAsia" w:ascii="楷体_GB2312" w:hAnsi="楷体_GB2312" w:eastAsia="楷体_GB2312" w:cs="楷体_GB2312"/>
          <w:color w:val="auto"/>
          <w:sz w:val="32"/>
          <w:szCs w:val="32"/>
          <w:lang w:eastAsia="zh-CN"/>
        </w:rPr>
        <w:t>（牵头单位:区卫生健康局。责任单位:区教育和体育局、区医疗保障分局、区生态环境分局）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（6）适龄儿童国家免疫规划疫苗接种率以镇（街道）为单位保持在90%以上。</w:t>
      </w:r>
      <w:r>
        <w:rPr>
          <w:rFonts w:hint="eastAsia" w:ascii="楷体_GB2312" w:hAnsi="楷体_GB2312" w:eastAsia="楷体_GB2312" w:cs="楷体_GB2312"/>
          <w:color w:val="auto"/>
          <w:sz w:val="32"/>
          <w:szCs w:val="32"/>
          <w:lang w:eastAsia="zh-CN"/>
        </w:rPr>
        <w:t>（牵头单位:区卫生健康局。责任单位:区市场监督管理局）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（7）5岁以下儿童贫血率和生长迟缓率分别控制在4%和1.8%以下，儿童超重、肥胖上升趋势得到有效控制。</w:t>
      </w:r>
      <w:r>
        <w:rPr>
          <w:rFonts w:hint="eastAsia" w:ascii="楷体_GB2312" w:hAnsi="楷体_GB2312" w:eastAsia="楷体_GB2312" w:cs="楷体_GB2312"/>
          <w:color w:val="auto"/>
          <w:sz w:val="32"/>
          <w:szCs w:val="32"/>
          <w:lang w:eastAsia="zh-CN"/>
        </w:rPr>
        <w:t>（牵头单位:区卫生健康局。责任单位:区教育和体育局、区关工委、区残联、区妇联）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（8）儿童新发近视率明显下降，儿童总体近视率平均每年降低</w:t>
      </w:r>
      <w:r>
        <w:rPr>
          <w:rFonts w:hint="eastAsia" w:ascii="仿宋_GB2312" w:hAnsi="仿宋" w:eastAsia="仿宋_GB2312" w:cs="仿宋"/>
          <w:color w:val="auto"/>
          <w:sz w:val="32"/>
          <w:szCs w:val="32"/>
          <w:lang w:val="en-US" w:eastAsia="zh-CN"/>
        </w:rPr>
        <w:t>1个百分点以上。</w:t>
      </w:r>
      <w:r>
        <w:rPr>
          <w:rFonts w:hint="eastAsia" w:ascii="仿宋_GB2312" w:hAnsi="仿宋" w:eastAsia="仿宋_GB2312" w:cs="仿宋"/>
          <w:color w:val="auto"/>
          <w:sz w:val="32"/>
          <w:szCs w:val="32"/>
          <w:lang w:eastAsia="zh-CN"/>
        </w:rPr>
        <w:t>0-6岁儿童眼保健和视力检查覆盖率达到98%以上。</w:t>
      </w:r>
      <w:r>
        <w:rPr>
          <w:rFonts w:hint="eastAsia" w:ascii="楷体_GB2312" w:hAnsi="楷体_GB2312" w:eastAsia="楷体_GB2312" w:cs="楷体_GB2312"/>
          <w:color w:val="auto"/>
          <w:sz w:val="32"/>
          <w:szCs w:val="32"/>
          <w:lang w:eastAsia="zh-CN"/>
        </w:rPr>
        <w:t>（牵头单位:区教育和体育局、区卫生健康局。责任单位:团区委、区关工委）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（9）12岁儿童龋患率控制在30%以内。</w:t>
      </w:r>
      <w:r>
        <w:rPr>
          <w:rFonts w:hint="eastAsia" w:ascii="楷体_GB2312" w:hAnsi="楷体_GB2312" w:eastAsia="楷体_GB2312" w:cs="楷体_GB2312"/>
          <w:color w:val="auto"/>
          <w:sz w:val="32"/>
          <w:szCs w:val="32"/>
          <w:lang w:eastAsia="zh-CN"/>
        </w:rPr>
        <w:t>（牵头单位:区卫生健康局。责任单位:区发展和改革局、区教育和体育局）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（10）增强儿童体质，中小学生《国家学生体质健康标准》达标优良率达到52%以上。</w:t>
      </w:r>
      <w:r>
        <w:rPr>
          <w:rFonts w:hint="eastAsia" w:ascii="楷体_GB2312" w:hAnsi="楷体_GB2312" w:eastAsia="楷体_GB2312" w:cs="楷体_GB2312"/>
          <w:color w:val="auto"/>
          <w:sz w:val="32"/>
          <w:szCs w:val="32"/>
          <w:lang w:eastAsia="zh-CN"/>
        </w:rPr>
        <w:t>（牵头单位:区教育和体育局。责任单位:团区委、区卫生健康局）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（11）增强儿童心理健康服务能力，提升儿童心理健康素养水平。</w:t>
      </w:r>
      <w:r>
        <w:rPr>
          <w:rFonts w:hint="eastAsia" w:ascii="楷体_GB2312" w:hAnsi="楷体_GB2312" w:eastAsia="楷体_GB2312" w:cs="楷体_GB2312"/>
          <w:color w:val="auto"/>
          <w:sz w:val="32"/>
          <w:szCs w:val="32"/>
          <w:lang w:eastAsia="zh-CN"/>
        </w:rPr>
        <w:t>（牵头单位:区卫生健康局、区教育和体育局。责任单位:区民政局、团区委、区关工委、区妇联、区残联、区委宣传部）</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（12）适龄儿童普遍接受性教育，儿童性健康服务可及性明显提高。</w:t>
      </w:r>
      <w:r>
        <w:rPr>
          <w:rFonts w:hint="eastAsia" w:ascii="楷体_GB2312" w:hAnsi="楷体_GB2312" w:eastAsia="楷体_GB2312" w:cs="楷体_GB2312"/>
          <w:color w:val="auto"/>
          <w:sz w:val="32"/>
          <w:szCs w:val="32"/>
          <w:lang w:eastAsia="zh-CN"/>
        </w:rPr>
        <w:t>（牵头单位:区教育和体育局。责任单位:区卫生健康局、区科协、区妇联、团区委）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完善儿童健康服务体系。健全涵盖儿童的基本医疗卫生制度。加大对儿童医疗卫生与健康事业的投入力度，区设1所政府举办、标准化妇幼保健机构。推进医联体、医共体建设，促进新生儿科、儿科与儿童保健科的优质资源共享，逐步实现妇幼健康服务均等化。完善儿童急救体系。建设一体化妇幼健康信息平台，加快建设全区妇幼健康管理信息系统，完善儿童健康统计制度，推进“互联网+妇幼健康”服务模式，完善妇幼健康大数据，加强信息互联共享，实现儿童健康全周期全过程管理和服务的信息化、智能化。加快儿童医学人才培养，提高全科医生的儿科和儿童保健专业技能与薪酬待遇，增强岗位吸引力。每千名儿童拥有儿科执业（助理）医生0.85名、床位增至2.2张，每所乡镇卫生院、社区卫生服务中心至少配备1名提供规范儿童基本医疗服务的全科医生和</w:t>
      </w:r>
      <w:r>
        <w:rPr>
          <w:rFonts w:hint="eastAsia" w:ascii="仿宋_GB2312" w:hAnsi="仿宋" w:eastAsia="仿宋_GB2312" w:cs="仿宋"/>
          <w:color w:val="auto"/>
          <w:sz w:val="32"/>
          <w:szCs w:val="32"/>
          <w:lang w:val="en-US" w:eastAsia="zh-CN"/>
        </w:rPr>
        <w:t>儿童保健的</w:t>
      </w:r>
      <w:r>
        <w:rPr>
          <w:rFonts w:hint="eastAsia" w:ascii="仿宋_GB2312" w:hAnsi="仿宋" w:eastAsia="仿宋_GB2312" w:cs="仿宋"/>
          <w:color w:val="auto"/>
          <w:sz w:val="32"/>
          <w:szCs w:val="32"/>
          <w:lang w:eastAsia="zh-CN"/>
        </w:rPr>
        <w:t>医生。</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（2）加强儿童保健服务和管理。加强儿童保健门诊标准化、规范化建设。扎实开展0-6岁儿童健康管理工作，3岁以下儿童系统管理率和7岁以下儿童健康管理率保持在90%以上。推动开展</w:t>
      </w:r>
      <w:r>
        <w:rPr>
          <w:rFonts w:hint="eastAsia" w:ascii="仿宋_GB2312" w:hAnsi="仿宋" w:eastAsia="仿宋_GB2312" w:cs="仿宋"/>
          <w:color w:val="auto"/>
          <w:sz w:val="32"/>
          <w:szCs w:val="32"/>
          <w:lang w:val="en-US" w:eastAsia="zh-CN"/>
        </w:rPr>
        <w:t>0-6岁</w:t>
      </w:r>
      <w:r>
        <w:rPr>
          <w:rFonts w:hint="eastAsia" w:ascii="仿宋_GB2312" w:hAnsi="仿宋" w:eastAsia="仿宋_GB2312" w:cs="仿宋"/>
          <w:color w:val="auto"/>
          <w:sz w:val="32"/>
          <w:szCs w:val="32"/>
          <w:lang w:eastAsia="zh-CN"/>
        </w:rPr>
        <w:t>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流动、留守以及困境儿童等重点群体的健康管理。</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提高救治水平。</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加强出生缺陷综合防治。建立多部门联动防治出生缺陷的工作机制，落实出生缺陷三级防治措施，推广婚前医学检查、婚姻登记、生育指导“一站式”服务。强化婚前孕前保健，加强产前筛查和诊断，强化规范服务与质量监管。扩大新生儿疾病筛查病种范围，建立筛查、阳性病例召回、诊断、治疗和随访一体化服务模式，促进早诊早治。按照国家、省相关医疗保障政策做好出生缺陷患儿基本医疗保障工作，降低重大出生缺陷疾病医疗费用负担。加强出生缺陷监测，促进出生缺陷防治领域科技创新和成果转化。加强儿童残疾早期干预工作，实现早诊早治。</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（7）加强儿童免疫规划疫苗管理和预防接种。及时跟进国家免疫规划疫苗种类动态调整，维持较高水平的国家免疫规划疫苗接种率。强化对疫苗流通和预防接种管理，完善预防接种异常反应补偿相关政策。</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（8）改善儿童营养状况。关注儿童生命早期1000天营养，开展孕前、孕产期营养与膳食评价指导。强化爱婴医院管理，倡导“0-6个月婴儿纯母乳喂养率达到</w:t>
      </w:r>
      <w:r>
        <w:rPr>
          <w:rFonts w:hint="eastAsia" w:ascii="仿宋_GB2312" w:hAnsi="仿宋" w:eastAsia="仿宋_GB2312" w:cs="仿宋"/>
          <w:color w:val="auto"/>
          <w:sz w:val="32"/>
          <w:szCs w:val="32"/>
          <w:lang w:val="en-US" w:eastAsia="zh-CN"/>
        </w:rPr>
        <w:t>50%以上”</w:t>
      </w:r>
      <w:r>
        <w:rPr>
          <w:rFonts w:hint="eastAsia" w:ascii="仿宋_GB2312" w:hAnsi="仿宋" w:eastAsia="仿宋_GB2312" w:cs="仿宋"/>
          <w:color w:val="auto"/>
          <w:sz w:val="32"/>
          <w:szCs w:val="32"/>
          <w:lang w:eastAsia="zh-CN"/>
        </w:rPr>
        <w:t>，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9）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1小时。提高眼健康服务能力，加强防治近视科研成果与技术的应用。建设儿童眼健康监测系统，开展儿童视力年度监测。加强0-6岁儿童眼保健和视力检查，推动建立儿童视力电子档案。减少新发近视率，减缓近视进展，降低重度近视率。</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儿童口腔疾病综合干预作为民生工程，实现适龄儿童全覆盖。</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11）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运动至少1小时，熟练掌握1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10小时、初中生9小时、高中生8小时睡眠时间。</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12）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（14）加强儿童健康领域的科研创新。围绕儿童早期发展和重大疾病的预防、诊断、治疗、康复和健康管理开展基础和应用研究。加强儿科科技创新基地平台建设。</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7" w:name="_Toc6990"/>
      <w:r>
        <w:rPr>
          <w:rFonts w:hint="eastAsia" w:eastAsia="楷体_GB2312" w:cs="Times New Roman"/>
          <w:b w:val="0"/>
          <w:bCs/>
          <w:color w:val="auto"/>
          <w:lang w:eastAsia="zh-CN"/>
        </w:rPr>
        <w:t>（二）儿童与安全</w:t>
      </w:r>
      <w:bookmarkEnd w:id="7"/>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（1）减少儿童伤害所致死亡和残疾。儿童意外伤害死亡率以2020年为基数下降20%。</w:t>
      </w:r>
      <w:r>
        <w:rPr>
          <w:rFonts w:hint="eastAsia" w:ascii="楷体_GB2312" w:hAnsi="楷体_GB2312" w:eastAsia="楷体_GB2312" w:cs="楷体_GB2312"/>
          <w:color w:val="auto"/>
          <w:sz w:val="32"/>
          <w:szCs w:val="32"/>
          <w:lang w:eastAsia="zh-CN"/>
        </w:rPr>
        <w:t>（牵头单位:区卫生健康局、区教育和体育局、团区委。责任单位:区市场监督管理局、区公安分局、区交通运输局、区妇联、区关工委、区融媒体中心）</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（2）减少溺水隐患，儿童溺水死亡率持续下降。</w:t>
      </w:r>
      <w:r>
        <w:rPr>
          <w:rFonts w:hint="eastAsia" w:ascii="楷体_GB2312" w:hAnsi="楷体_GB2312" w:eastAsia="楷体_GB2312" w:cs="楷体_GB2312"/>
          <w:color w:val="auto"/>
          <w:sz w:val="32"/>
          <w:szCs w:val="32"/>
          <w:lang w:eastAsia="zh-CN"/>
        </w:rPr>
        <w:t>（牵头单位:区教育和体育局。责任单位:区应急管理局、区自然资源局、区农业农村局、团区委、区关工委、区妇联、区公安分局、区水利局）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（3）推广使用儿童安全座椅、安全头盔，儿童道路交通伤害死亡率持续下降。</w:t>
      </w:r>
      <w:r>
        <w:rPr>
          <w:rFonts w:hint="eastAsia" w:ascii="楷体_GB2312" w:hAnsi="楷体_GB2312" w:eastAsia="楷体_GB2312" w:cs="楷体_GB2312"/>
          <w:color w:val="auto"/>
          <w:sz w:val="32"/>
          <w:szCs w:val="32"/>
          <w:lang w:eastAsia="zh-CN"/>
        </w:rPr>
        <w:t>（牵头单位:区交警大队。责任单位:区公安分局、区教育和体育局、区交通运输局、区市场监督管理局）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（4）儿童食品、日用品、玩具、大型游乐设施及用药安全得到有效保障。</w:t>
      </w:r>
      <w:r>
        <w:rPr>
          <w:rFonts w:hint="eastAsia" w:ascii="楷体_GB2312" w:hAnsi="楷体_GB2312" w:eastAsia="楷体_GB2312" w:cs="楷体_GB2312"/>
          <w:color w:val="auto"/>
          <w:sz w:val="32"/>
          <w:szCs w:val="32"/>
          <w:lang w:eastAsia="zh-CN"/>
        </w:rPr>
        <w:t>（牵头单位:区市场监督管理局。责任单位:区卫生健康局）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（5）学生欺凌事件显著减少。</w:t>
      </w:r>
      <w:r>
        <w:rPr>
          <w:rFonts w:hint="eastAsia" w:ascii="楷体_GB2312" w:hAnsi="楷体_GB2312" w:eastAsia="楷体_GB2312" w:cs="楷体_GB2312"/>
          <w:color w:val="auto"/>
          <w:sz w:val="32"/>
          <w:szCs w:val="32"/>
          <w:lang w:eastAsia="zh-CN"/>
        </w:rPr>
        <w:t>（牵头单位:区教育和体育局。责任单位:区委政法委、区法院、区检察院、区公安分局、区司法局、区民政局、团区委、区妇联、区残联等区妇儿工委有关成员单位、特邀单位）</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（6）儿童网络安全得到有效保护。</w:t>
      </w:r>
      <w:r>
        <w:rPr>
          <w:rFonts w:hint="eastAsia" w:ascii="楷体_GB2312" w:hAnsi="楷体_GB2312" w:eastAsia="楷体_GB2312" w:cs="楷体_GB2312"/>
          <w:color w:val="auto"/>
          <w:sz w:val="32"/>
          <w:szCs w:val="32"/>
          <w:lang w:eastAsia="zh-CN"/>
        </w:rPr>
        <w:t>（牵头单位:区公安分局。责任单位:区教育和体育局、区委网信办、</w:t>
      </w:r>
      <w:r>
        <w:rPr>
          <w:rFonts w:hint="eastAsia" w:ascii="楷体_GB2312" w:hAnsi="楷体_GB2312" w:eastAsia="楷体_GB2312" w:cs="楷体_GB2312"/>
          <w:color w:val="auto"/>
          <w:sz w:val="32"/>
          <w:szCs w:val="32"/>
          <w:lang w:val="en-US" w:eastAsia="zh-CN"/>
        </w:rPr>
        <w:t>区文化和旅游局</w:t>
      </w:r>
      <w:r>
        <w:rPr>
          <w:rFonts w:hint="eastAsia" w:ascii="楷体_GB2312" w:hAnsi="楷体_GB2312" w:eastAsia="楷体_GB2312" w:cs="楷体_GB2312"/>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（7）将灾害事故对儿童的伤害降到最低程度。</w:t>
      </w:r>
      <w:r>
        <w:rPr>
          <w:rFonts w:hint="eastAsia" w:ascii="楷体_GB2312" w:hAnsi="楷体_GB2312" w:eastAsia="楷体_GB2312" w:cs="楷体_GB2312"/>
          <w:color w:val="auto"/>
          <w:sz w:val="32"/>
          <w:szCs w:val="32"/>
          <w:lang w:eastAsia="zh-CN"/>
        </w:rPr>
        <w:t>（牵头单位:区应急管理局。责任单位:区民政局、区教育和体育局、区卫生健康局、区农业农村局、区科协、区妇联、团区委）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（8）儿童遭受意外和暴力伤害的监测报告系统进一步完善。</w:t>
      </w:r>
      <w:r>
        <w:rPr>
          <w:rFonts w:hint="eastAsia" w:ascii="楷体_GB2312" w:hAnsi="楷体_GB2312" w:eastAsia="楷体_GB2312" w:cs="楷体_GB2312"/>
          <w:color w:val="auto"/>
          <w:sz w:val="32"/>
          <w:szCs w:val="32"/>
          <w:lang w:eastAsia="zh-CN"/>
        </w:rPr>
        <w:t>（牵头单位:区卫生健康局。责任单位:区民政局、区公安分局、区检察院、区委政法委、区教育和体育局、区司法局、区法院、区大数据中心、团区委、区妇联等区妇儿工委有关成员单位、特邀单位）</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建立健全儿童意外伤害防控工作体系。构建完善多部门合作的儿童意外伤害防控工作机制，鼓励社会力量参与儿童意外伤害防控。加大儿童意外伤害防控执法力度。制定实施儿童意外伤害防控行动计划，探索创新并大力推广儿童意外伤害防控适宜技术，优先制定实施针对农村留守儿童、流动儿童、孤残儿童、困境儿童的意外伤害防控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博物馆、科技馆、游乐场、车站、码头、机场、旅游景区景点等场所运营单位应当设置搜寻走失儿童的安全警报系统。</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预防和控制儿童跌倒、跌落、烧烫伤、中毒等伤害。提高父母及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预防动物咬伤。加强防灾减灾教育，提高儿童及其看护人针对地震、火灾、踩踏等灾害性事件的防灾避险技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预防和减少儿童道路交通伤害。提高儿童看护人的看护能力，培养儿童养成良好交通行为习惯。推广使用儿童安全座椅、安全头盔和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加强对儿童食品、日用品、玩具、大型游乐设施、用药的安全监管。完善落实儿童食品安全标准体系和质量安全追溯体系。强化婴幼儿配方乳粉和婴幼儿辅助食品安全监管，建立婴幼儿配方食品生产企业自查和报告制度，婴幼儿配方食品在产企业体系检查覆盖率达到</w:t>
      </w:r>
      <w:r>
        <w:rPr>
          <w:rFonts w:hint="eastAsia" w:ascii="仿宋_GB2312" w:hAnsi="仿宋" w:eastAsia="仿宋_GB2312" w:cs="仿宋"/>
          <w:color w:val="auto"/>
          <w:sz w:val="32"/>
          <w:szCs w:val="32"/>
          <w:lang w:val="en-US" w:eastAsia="zh-CN"/>
        </w:rPr>
        <w:t>100%，加大婴幼儿配方乳粉产品抽检监测及不合格食品处罚力度，</w:t>
      </w:r>
      <w:r>
        <w:rPr>
          <w:rFonts w:hint="eastAsia" w:ascii="仿宋_GB2312" w:hAnsi="仿宋" w:eastAsia="仿宋_GB2312" w:cs="仿宋"/>
          <w:color w:val="auto"/>
          <w:sz w:val="32"/>
          <w:szCs w:val="32"/>
          <w:lang w:eastAsia="zh-CN"/>
        </w:rPr>
        <w:t>将婴幼儿配方食品质量安全的风险隐患降至最低。落实学校、幼儿园、托育机构食品安全管理主体责任，消除儿童集中用餐各环节食品安全隐患，加强校园及周边食品安全监管。加大农村食品、药品安全治理力度</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完善对网络销售食品药品的监管。加强食品药品进口监管。严厉打击制售假冒伪劣食品、儿童日用品、玩具等违法犯罪行为。鼓励消费者依法投诉举报产品安全问题。杜绝“毒跑道”“毒校服”等，保障游戏游艺设备及大型游乐设施安全。加强儿童合理用药监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落实国家统一的未成年人网络游戏电子身份认证系统，加强游戏产品分类、内容审核、时长限制等监管。加强儿童个人信息和隐私权的安全保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9）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10）提高儿童遭受意外伤害和暴力伤害的紧急救援、医疗救治、康复服务水平。广泛宣传儿童紧急救援知识，提升看护人、教师紧急救援技能。完善公共场所急救设施配备。加强区紧急医学救援网络建设，加强儿童伤害院前急救设备设施配备，实现院前急救与院内急诊的有效衔接，加强康复机构能力建设，提高儿童医学救治以及康复服务的效率和水平。</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11）完善儿童安全监测机制。健全完善儿童安全监测系统，建立儿童安全统计大数据。通过医疗机构、学校、托育机构、社区、司法机关等多渠道收集儿童伤害数据，促进数据规范化。建立多部门、多专业参与的数据共享、分析、评估、利用工作机制。</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8" w:name="_Toc20541"/>
      <w:r>
        <w:rPr>
          <w:rFonts w:hint="eastAsia" w:eastAsia="楷体_GB2312" w:cs="Times New Roman"/>
          <w:b w:val="0"/>
          <w:bCs/>
          <w:color w:val="auto"/>
          <w:lang w:eastAsia="zh-CN"/>
        </w:rPr>
        <w:t>（三）儿童与教育</w:t>
      </w:r>
      <w:bookmarkEnd w:id="8"/>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（1）全面落实立德树人根本任务，培养德智体美劳全面发展的社会主义建设者和接班人。</w:t>
      </w:r>
      <w:r>
        <w:rPr>
          <w:rFonts w:hint="eastAsia" w:ascii="楷体_GB2312" w:hAnsi="楷体_GB2312" w:eastAsia="楷体_GB2312" w:cs="楷体_GB2312"/>
          <w:color w:val="auto"/>
          <w:sz w:val="32"/>
          <w:szCs w:val="32"/>
          <w:lang w:eastAsia="zh-CN"/>
        </w:rPr>
        <w:t>（牵头单位:区教育和体育局。责任单位:团区委、区委宣传部、区关工委、区妇联、区融媒体中心）</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（2）适龄儿童普遍接受安全优质的学前教育。学前教育毛入园率达到</w:t>
      </w:r>
      <w:r>
        <w:rPr>
          <w:rFonts w:hint="eastAsia" w:ascii="仿宋_GB2312" w:hAnsi="仿宋" w:eastAsia="仿宋_GB2312" w:cs="仿宋"/>
          <w:color w:val="auto"/>
          <w:sz w:val="32"/>
          <w:szCs w:val="32"/>
          <w:lang w:val="en-US" w:eastAsia="zh-CN"/>
        </w:rPr>
        <w:t>99%</w:t>
      </w:r>
      <w:r>
        <w:rPr>
          <w:rFonts w:hint="eastAsia" w:ascii="仿宋_GB2312" w:hAnsi="仿宋" w:eastAsia="仿宋_GB2312" w:cs="仿宋"/>
          <w:color w:val="auto"/>
          <w:sz w:val="32"/>
          <w:szCs w:val="32"/>
          <w:lang w:eastAsia="zh-CN"/>
        </w:rPr>
        <w:t>以上，公办园和普惠性民办园在园幼儿占比达到85%以上，公办幼儿园在园幼儿占比达到</w:t>
      </w:r>
      <w:r>
        <w:rPr>
          <w:rFonts w:hint="eastAsia" w:ascii="仿宋_GB2312" w:hAnsi="仿宋" w:eastAsia="仿宋_GB2312" w:cs="仿宋"/>
          <w:color w:val="auto"/>
          <w:sz w:val="32"/>
          <w:szCs w:val="32"/>
          <w:lang w:val="en-US" w:eastAsia="zh-CN"/>
        </w:rPr>
        <w:t>65</w:t>
      </w:r>
      <w:r>
        <w:rPr>
          <w:rFonts w:hint="eastAsia" w:ascii="仿宋_GB2312" w:hAnsi="仿宋" w:eastAsia="仿宋_GB2312" w:cs="仿宋"/>
          <w:color w:val="auto"/>
          <w:sz w:val="32"/>
          <w:szCs w:val="32"/>
          <w:lang w:eastAsia="zh-CN"/>
        </w:rPr>
        <w:t>%以上。</w:t>
      </w:r>
      <w:r>
        <w:rPr>
          <w:rFonts w:hint="eastAsia" w:ascii="楷体_GB2312" w:hAnsi="楷体_GB2312" w:eastAsia="楷体_GB2312" w:cs="楷体_GB2312"/>
          <w:color w:val="auto"/>
          <w:sz w:val="32"/>
          <w:szCs w:val="32"/>
          <w:lang w:eastAsia="zh-CN"/>
        </w:rPr>
        <w:t>（牵头单位:区教育和体育局。责任单位:区发展和改革局、区住房和城乡建设局、区自然资源局、区财政局、区残联、区规划管理办公室）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（3）适龄儿童依法接受公平优质的义务教育，城乡义务教育均衡发展。九年义务教育巩固率保持在98%。</w:t>
      </w:r>
      <w:r>
        <w:rPr>
          <w:rFonts w:hint="eastAsia" w:ascii="楷体_GB2312" w:hAnsi="楷体_GB2312" w:eastAsia="楷体_GB2312" w:cs="楷体_GB2312"/>
          <w:color w:val="auto"/>
          <w:sz w:val="32"/>
          <w:szCs w:val="32"/>
          <w:lang w:eastAsia="zh-CN"/>
        </w:rPr>
        <w:t>（牵头单位:区教育和体育局。责任单位:区发展和改革局、区自然资源局、区住房和城乡建设局、区财政局、区残联、区规划管理办公室）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（4）适龄儿童普遍接受高质量的高中阶段教育，高中阶段毛入学率达到98%。</w:t>
      </w:r>
      <w:r>
        <w:rPr>
          <w:rFonts w:hint="eastAsia" w:ascii="楷体_GB2312" w:hAnsi="楷体_GB2312" w:eastAsia="楷体_GB2312" w:cs="楷体_GB2312"/>
          <w:color w:val="auto"/>
          <w:sz w:val="32"/>
          <w:szCs w:val="32"/>
          <w:lang w:eastAsia="zh-CN"/>
        </w:rPr>
        <w:t>（牵头单位:区教育和体育局。责任单位:区发展和改革局、区自然资源局、区财政局、区住房和城乡建设局、区残联、区规划管理办公室）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（5）孤儿、事实无人抚养儿童、残疾儿童、进城务工人员随迁子女、农村留守儿童、家庭经济困难儿童等特殊群体受教育权得到保障。残疾儿童接受从学前到高中阶段15年免费教育。</w:t>
      </w:r>
      <w:r>
        <w:rPr>
          <w:rFonts w:hint="eastAsia" w:ascii="楷体_GB2312" w:hAnsi="楷体_GB2312" w:eastAsia="楷体_GB2312" w:cs="楷体_GB2312"/>
          <w:color w:val="auto"/>
          <w:sz w:val="32"/>
          <w:szCs w:val="32"/>
          <w:lang w:eastAsia="zh-CN"/>
        </w:rPr>
        <w:t>（牵头单位:区教育和体育局。责任单位:区发展和改革局、区财政局、区民政局、区残联）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（6）中小学性别平等教育全面推进，学生的性别平等意识明显增强。</w:t>
      </w:r>
      <w:r>
        <w:rPr>
          <w:rFonts w:hint="eastAsia" w:ascii="楷体_GB2312" w:hAnsi="楷体_GB2312" w:eastAsia="楷体_GB2312" w:cs="楷体_GB2312"/>
          <w:color w:val="auto"/>
          <w:sz w:val="32"/>
          <w:szCs w:val="32"/>
          <w:lang w:eastAsia="zh-CN"/>
        </w:rPr>
        <w:t>（牵头单位:区教育和体育局。责任单位:区妇儿工委办公室、区妇联）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（7）儿童科学素质全面提升，科学兴趣、创新意识、实践能力不断提高。</w:t>
      </w:r>
      <w:r>
        <w:rPr>
          <w:rFonts w:hint="eastAsia" w:ascii="楷体_GB2312" w:hAnsi="楷体_GB2312" w:eastAsia="楷体_GB2312" w:cs="楷体_GB2312"/>
          <w:color w:val="auto"/>
          <w:sz w:val="32"/>
          <w:szCs w:val="32"/>
          <w:lang w:eastAsia="zh-CN"/>
        </w:rPr>
        <w:t>（牵头单位:区教育和体育局、区科协。责任单位:区科技局、区关工委、团区委、区妇联）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实施“美育浸润行动”，提升学生审美和人文素养。加强劳动教育，引导学生树立正确的劳动观，培养基本劳动能力，形成良好劳动习惯。完善以素质教育为导向的教育评价体系，坚决克服唯分数、唯升学倾向，提高教育治理能力和水平。</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全面落实教育优先发展战略。在经济社会发展规划上优先安排教育，财政资金投入上优先保障教育，公共资源配置上优先满足教育。健全保证财政教育投入持续稳定增长的长效机制。依法落实区政府教育支出责任，完善各教育阶段生均预算拨款制度。支持和规范社会力量办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完善学校家庭社会协同育人机制。强化学校教育与家庭教育、社会教育有效衔接。中小学每学期至少组织1次家庭教育指导和1次家庭教育实践活动，幼儿园每学期至少组织1次家庭教育指导和2次亲子活动。推动教师家访制度化、常态化。</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lang w:eastAsia="zh-CN"/>
        </w:rPr>
        <w:t>）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lang w:eastAsia="zh-CN"/>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lang w:eastAsia="zh-CN"/>
        </w:rPr>
        <w:t>）促进学前教育普及普惠安全优质发展。实施第四期学前教育行动计划，合理配置学前教育资源，重点解决好农村、城市薄弱地区的普惠性资源短板，构建覆盖城乡、布局合理的学前教育公共服务体系。全面普及学前三年教育，新建、改扩建幼儿园</w:t>
      </w:r>
      <w:r>
        <w:rPr>
          <w:rFonts w:hint="eastAsia" w:ascii="仿宋_GB2312" w:hAnsi="仿宋" w:eastAsia="仿宋_GB2312" w:cs="仿宋"/>
          <w:color w:val="auto"/>
          <w:sz w:val="32"/>
          <w:szCs w:val="32"/>
          <w:lang w:val="en-US" w:eastAsia="zh-CN"/>
        </w:rPr>
        <w:t>30所</w:t>
      </w:r>
      <w:r>
        <w:rPr>
          <w:rFonts w:hint="eastAsia" w:ascii="仿宋_GB2312" w:hAnsi="仿宋" w:eastAsia="仿宋_GB2312" w:cs="仿宋"/>
          <w:color w:val="auto"/>
          <w:sz w:val="32"/>
          <w:szCs w:val="32"/>
          <w:lang w:eastAsia="zh-CN"/>
        </w:rPr>
        <w:t>以上，推动国家学前教育普及普惠区建设工作。鼓励、支持儿童福利机构、残疾儿童康复机构、医疗康复机构设置幼儿园（部、班）。健全普惠性学前教育财政经费投入长效机制和成本分担机制，建立公办园收费动态调整机制，加强非营利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lang w:eastAsia="zh-CN"/>
        </w:rPr>
        <w:t>）推动义务教育优质均衡发展和城乡一体化。科学规划布局城乡学校建设，实施家门口好学校、乡村温馨校园建设行动，加强乡村小规模学校和乡镇寄宿制学校建设，推进城乡义务教育一体化发展，推动国家义务教育优质均衡发展区建设，中小学办学条件全部达到优质均衡标准。建立义务教育学校标准化建设台账，落实新建居住区配套学校建设规定。充分发挥优质学校引领辐射作用，加强城乡间、校际间协作，实现每一所薄弱学校都有学校结对帮扶，推行城乡学校一体办学、协同发展，实现教育教学资源共建共享。合理有序扩大城镇学校学位供给，构建大班额防控长效机制，防止大班额问题反弹。进一步减轻义务教育阶段学生作业负担和校外培训负担。推动落实义务教育学校课后服务全覆盖，与正常下班时间相衔接，解决家长接学生困难问题。实施乡村教育振兴计划，全面实施强镇筑基行动，改善农村学校办学条件，提高乡村教师待遇，提升农村义务教育质量。实施中小学智慧校园建设工程、优质教育资源共建共享工程，鼓励城乡中小学建设以物联网为基础的创客实验室，进一步加强专递课堂、名师课堂、名校网络课堂应用，实现异地同步教学，80%的中小学创建为智慧校园。健全精准控辍保学长效机制，提高义务教育巩固水平。保障女童平等接受义务教育。</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lang w:eastAsia="zh-CN"/>
        </w:rPr>
        <w:t>）推动高中阶段学校多样化发展。实施高中强科培优行动，深化高中育人方式改革。加强普通高中学校课程规划和开发，通过市、区、校三级联创，建设一批依托国家规定课程，涵盖人文、社科、理工、艺体、科技等多个领域的特色高中。完善选课走班教学制度，推进课堂深度学习变革。全面推行全员育人导师制，做好学生发展指导。完善综合素质评价制度，促进学生全面发展和个性化发展。完善优质普通高中指标生分配办法，严格规范普通高中招生行为。完善职普互通、转换机制，探索发展综合高中，建立和完善普通高中和中等职业学校统一招生平台，建立普通高中和中等职业学校合作机制，探索开展课程互选、学分互认、学籍互转、资源互通。推进中等职业学校特色专业建设，完善中等职业学校与高等职业院校合作办学机制，实施职业院校专业化、特色化建设工程及“淄博工匠”培育工程，提升智能仿真公共实习实训基地建设管理水平，打造职业教育创新发展高地，建设高水平职业院校</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所。继续实行中职教育免学费政策和国家助学金政策。加强对女学生学科选择和职业发展的引导，消除学科性别刻板观念对女学生专业选择的不利影响。城乡新增劳动力普遍接受高中阶段教育。</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lang w:eastAsia="zh-CN"/>
        </w:rPr>
        <w:t>）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高中、普通职业学校应当招收符合国家规定录取标准的残疾考生入学，不得因其残疾而拒绝招收。加快发展以职业教育为重点的残疾人高中阶段教育，提高就业能力。在特殊教育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推动中小学普遍开展性别平等教育。促进性别平等教育融入学校教学内容、校园文化、社团活动和社会实践活动。加强师资培训，建设性别平等师资队伍。探索构建学校教育、家庭教育、社会教育相结合的性别平等教育模式。</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全面提升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9" w:name="_Toc11070"/>
      <w:r>
        <w:rPr>
          <w:rFonts w:hint="eastAsia" w:eastAsia="楷体_GB2312" w:cs="Times New Roman"/>
          <w:b w:val="0"/>
          <w:bCs/>
          <w:color w:val="auto"/>
          <w:lang w:eastAsia="zh-CN"/>
        </w:rPr>
        <w:t>（四）儿童与福利</w:t>
      </w:r>
      <w:bookmarkEnd w:id="9"/>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（1）提升儿童福利水平，基本建成与经济社会发展水平相适应的适度普惠型儿童福利制度体系。</w:t>
      </w:r>
      <w:r>
        <w:rPr>
          <w:rFonts w:hint="eastAsia" w:ascii="楷体_GB2312" w:hAnsi="楷体_GB2312" w:eastAsia="楷体_GB2312" w:cs="楷体_GB2312"/>
          <w:color w:val="auto"/>
          <w:sz w:val="32"/>
          <w:szCs w:val="32"/>
          <w:lang w:eastAsia="zh-CN"/>
        </w:rPr>
        <w:t>（牵头单位:区民政局。责任单位:区财政局、区发展和改革局、区卫生健康局、区残联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（2）扩大儿童基本公共服务供给，城乡、区域和群体间儿童公平享有基本公共服务。</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牵头单位:区发展和改革局、区财政局、区妇儿工委办公室。责任单位:区卫生健康局、区民政局、区市场监督管理局、区文化和旅游局、区交通运输局、区教育和体育局</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（3）巩固提高基本医疗保障水平，保障儿童基本医疗权益。</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牵头单位:区医疗保障分局。责任单位:区卫生健康局、区财政局、区民政局、区残联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（4）婴幼儿照护政策、供给和监督管理体系基本健全，普惠托育服务机构和托位数量持续增加，每千人口</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岁以下婴幼儿托位数达到</w:t>
      </w:r>
      <w:r>
        <w:rPr>
          <w:rFonts w:hint="eastAsia" w:ascii="仿宋_GB2312" w:hAnsi="仿宋" w:eastAsia="仿宋_GB2312" w:cs="仿宋"/>
          <w:color w:val="auto"/>
          <w:sz w:val="32"/>
          <w:szCs w:val="32"/>
          <w:lang w:val="en-US" w:eastAsia="zh-CN"/>
        </w:rPr>
        <w:t>4.5个，家庭婴幼儿照护服务规范开展</w:t>
      </w:r>
      <w:r>
        <w:rPr>
          <w:rFonts w:hint="eastAsia" w:ascii="仿宋_GB2312" w:hAnsi="仿宋" w:eastAsia="仿宋_GB2312" w:cs="仿宋"/>
          <w:color w:val="auto"/>
          <w:sz w:val="32"/>
          <w:szCs w:val="32"/>
          <w:lang w:eastAsia="zh-CN"/>
        </w:rPr>
        <w:t>。</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卫生健康局。责任单位:区发展和改革局、区教育和体育局、区公安分局、区民政局、区财政局、区人力资源和社会保障局、区自然资源局、区应急管理局、区市场监督管理局、区总工会、团区委、区妇联、区规划管理办公室</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（5）孤儿和事实无人抚养儿童、残疾儿童、流浪儿童的生存、发展和安全权益得到保障。有康复需求的残疾儿童基本康复服务全覆盖。孤儿、事实无人抚养儿童、重点困境儿童基本生活保障水平进一步提高。</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牵头单位:区民政局、区残联。责任单位:区财政局、区卫生健康局、区关工委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（6）农村留守儿童关爱服务体系不断完善，流动儿童服务机制更加健全。</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牵头单位:区民政局、区教育和体育局、区卫生健康局。责任单位:区发展和改革局、区财政局、区人力资源和社会保障局、区法院、区检察院、区公安分局、区司法局、区委宣传部、区妇联、团区委、区关工委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（7）基层儿童福利工作阵地和队伍建设进一步加强。镇（街道）配备儿童督导员，村（居）配备儿童主任。</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牵头单位:区民政局。责任单位:区发展和改革局、区财政局、区自然资源局、区规划管理办公室、团区委、区妇联、区关工委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（8）监测预防、强制报告、应急处置、评估帮扶、监护干预“五位一体”的基层儿童保护机制有效运行。</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牵头单位:区民政局。责任单位:区公安分局、区检察院、区法院、区教育和体育局、区司法局、区卫生健康局、区财政局、团区委、区妇联、区关工委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ascii="仿宋_GB2312" w:hAnsi="仿宋" w:eastAsia="仿宋_GB2312" w:cs="宋体"/>
          <w:color w:val="auto"/>
          <w:sz w:val="32"/>
          <w:szCs w:val="32"/>
          <w:lang w:eastAsia="zh-CN"/>
        </w:rPr>
        <w:t>2.</w:t>
      </w:r>
      <w:r>
        <w:rPr>
          <w:rFonts w:hint="eastAsia" w:ascii="仿宋_GB2312" w:hAnsi="仿宋" w:eastAsia="仿宋_GB2312" w:cs="宋体"/>
          <w:color w:val="auto"/>
          <w:sz w:val="32"/>
          <w:szCs w:val="32"/>
          <w:lang w:eastAsia="zh-CN"/>
        </w:rPr>
        <w:t>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完善儿童福利制度体系。推动建成与我区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做好儿童医疗保障工作。强化基本医疗保险、大病保险与医疗救助三重保障功能，巩固提高儿童参加城乡居民基本医疗保险覆盖率。完善儿童医疗服务价格动态调整机制。落实孤儿、困境儿童和残疾儿童医疗保障政策，努力实现应保尽保。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多元化促进3岁以下婴幼儿照护服务。开展涵盖良好健康、充足营养、回应性照护、早期学习、安全保障等多维度的城乡儿童早期综合服务。发挥城乡社区公共服务设施功能，支持和引导社会力量依托社区提供普惠性婴幼儿照护服务，支持企事业单位和社会组织等社会力量提供普惠托育服务。做好婴幼儿照护服务机构核准登记工作，规划建设一批承担指导功能的综合性照护服务机构和社区照护服务设施，至少建成一处具有示范引领作用的托育服务机构。探索托幼一体化、社区托育点、家庭互助式托育等服务模式，提供全日托、半日托、计时托、临时托等多样化服务。鼓励有条件的幼儿园兴办托育机构或开设托班。鼓励用人单位在工作场所为职工提供福利性婴幼儿照护服务。加强对家庭婴幼儿早期发展的支持和指导，对确有照护困难的家庭或婴幼儿提供必要的服务。运用互联网等信息化手段对婴幼儿照护服务机构的服务过程加强监管，让家长放心。</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落实残疾儿童康复救助制度。完善残疾儿童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加强流浪儿童救助保护工作。落实流浪儿童街面巡查和转介处置职责，依法依规为流浪儿童提供生活照料、身份查询、接送返回等服务。流出地区级政府建立源头治理和回归稳固机制，落实流浪儿童相关社会保障和义务教育等政策，教育督促流浪儿童父母或其他监护人履行抚养义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加强农村留守儿童关爱保护。进一步完善农村留守儿童关爱保护工作体系。强化家庭监护主体责任，提高监护能力。强化区、镇（街道）政府属地责任，做好农村留守儿童信息动态管理，落实关爱帮扶政策措施。充分发挥群团组织以及社会组织、专业社会工作者、志愿者等作用，实施“希望小屋”等儿童关爱项目，常态化开展寒暑假特别关爱行动，加强对农村留守儿童心理、情感、行为和安全自护指导服务。积极倡导企业履行社会责任，为务工人员加强与留守</w:t>
      </w:r>
      <w:bookmarkStart w:id="15" w:name="_GoBack"/>
      <w:bookmarkEnd w:id="15"/>
      <w:r>
        <w:rPr>
          <w:rFonts w:hint="eastAsia" w:ascii="仿宋_GB2312" w:hAnsi="仿宋" w:eastAsia="仿宋_GB2312" w:cs="仿宋"/>
          <w:color w:val="auto"/>
          <w:sz w:val="32"/>
          <w:szCs w:val="32"/>
          <w:lang w:eastAsia="zh-CN"/>
        </w:rPr>
        <w:t>未成年子女的联系沟通提供支持。落实支持农民工返乡创业就业相关政策措施，从源头上减少留守儿童现象。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10）提高基层儿童工作服务能力。镇（街道）配备儿童督导员，村（居）配备儿童主任。儿童督导员负责指导、管理儿童主任工作。儿童主任由村（居）民委员会委员、专业社会工作者等人员担任，优先安排村（居）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引入或孵化至少1家儿童类社会组织。将更多符合条件的儿童保护和服务事项纳入政府购买服务指导性目录，面向城乡社区、家庭和学校提供服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11）建立健全基层儿童保护机制。完善区、镇（街道）、村（居）三级基层儿童保护机制。督促学校、幼儿园、医疗机构、儿童福利机构、未成年人救助保护机构、村（居）民委员会等主体强化主动报告意识，履行困境儿童和受暴力伤害儿童的强制报告义务。及时受理、转介侵犯儿童合法权益的投诉、举报，探索完善接报、评估、处置、帮扶等一体化工作流程，明确相关部门工作职责和协作程序，形成“一门受理、协同办理”的工作机制。</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10" w:name="_Toc2429"/>
      <w:r>
        <w:rPr>
          <w:rFonts w:hint="eastAsia" w:eastAsia="楷体_GB2312" w:cs="Times New Roman"/>
          <w:b w:val="0"/>
          <w:bCs/>
          <w:color w:val="auto"/>
          <w:lang w:eastAsia="zh-CN"/>
        </w:rPr>
        <w:t>（五）儿童与法律保护</w:t>
      </w:r>
      <w:bookmarkEnd w:id="10"/>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（1）未成年人保护的政策体系更加完善。</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牵头单位:区司法局。责任单位:区民政局、团区委、区教育和体育局、区关工委、区妇联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（2）未成年人保护领域执法工作进一步加强。</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责任单位:区检察院、区法院、区司法局、区民政局、区公安分局、区教育和体育局</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（3）未成年人司法保护制度进一步完善，司法工作体系满足未成年人身心发展特殊需要。</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责任单位:区检察院、区法院、区司法局、区公安分局、区民政局、区教育和体育局、团区委、区关工委、区妇联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（4）未成年人法治素养和自我保护意识进一步提升，社会公众保护未成年人的意识和能力进一步提高。</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牵头单位:区司法局。责任单位:区检察院、区法院、区教育和体育局、区公安分局、区民政局、团区委、区关工委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（5）未成年人民事权益保障得到进一步落实。（</w:t>
      </w:r>
      <w:r>
        <w:rPr>
          <w:rFonts w:hint="eastAsia" w:ascii="楷体_GB2312" w:hAnsi="楷体_GB2312" w:eastAsia="楷体_GB2312" w:cs="楷体_GB2312"/>
          <w:color w:val="auto"/>
          <w:sz w:val="32"/>
          <w:szCs w:val="32"/>
          <w:lang w:eastAsia="zh-CN"/>
        </w:rPr>
        <w:t>责任单位:区法院、区检察院、区司法局、区公安分局、区民政局、区市场监督管理局</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（6）未成年人监护制度进一步落实，未成年人获得有效监护。</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牵头单位:区民政局。责任单位:区法院、区检察院、区公安分局、区司法局、区妇联、区教育和体育局、区关工委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（7）禁止使用童工，维护未成年工的合法权益。</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牵头单位:区人力资源和社会保障局。责任单位:区检察院、区公安分局、区教育和体育局、区总工会、团区委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（8）禁止对未成年人实施家庭暴力。</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牵头单位:区委政法委、区公安分局。责任单位:区法院、区检察院、区司法局、区教育和体育局、区民政局、区卫生健康局、区关工委、区妇联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（9）禁止性侵害、拐卖、虐待、遗弃未成年人。</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牵头单位:区公安分局。责任单位:区检察院、区法院、区司法局、区教育和体育局、区民政局、区卫生健康局、区关工委、区妇联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（10）降低未成年犯罪人数占未成年人口数量的比重。</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牵头单位:区公安分局。责任单位:区检察院、区法院、区司法局、区民政局、区教育和体育局、团区委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（11）未成年人网络保护力度加强。</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牵头单位:区委网信办。责任单位:区教育和体育局、区公安分局、区文化和旅游局、区司法局、团区委</w:t>
      </w:r>
      <w:r>
        <w:rPr>
          <w:rFonts w:hint="eastAsia" w:ascii="楷体_GB2312" w:hAnsi="楷体_GB2312" w:eastAsia="楷体_GB2312" w:cs="楷体_GB2312"/>
          <w:i w:val="0"/>
          <w:caps w:val="0"/>
          <w:color w:val="auto"/>
          <w:spacing w:val="0"/>
          <w:sz w:val="32"/>
          <w:szCs w:val="32"/>
          <w:u w:val="none"/>
          <w:lang w:eastAsia="zh-CN"/>
        </w:rPr>
        <w:t>等区妇儿工委有关成员单位、特邀单位</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（1）落实未成年人保护的法律法规。加强未成年人保护法律法规实施，落实法律监督、司法建议和法治督查制度。加强未成年人保护的法学理论与实践研究。</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区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健全未成年人司法工作体系。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9）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10）预防和依法严惩对未成年人实施家庭暴力的违法犯罪行为。加强反家庭暴力宣传，杜绝针对未成年人家庭暴力，以及严重忽视等不利于未成年人身心健康的行为。禁止溺婴、虐待、遗弃未成年人，不得歧视女性未成年人或有残疾的未成年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11）严厉打击拐卖儿童和引诱胁迫未成年人涉毒涉黑涉恶等违法犯罪行为。坚持和完善预防、打击、救助、安置、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（12）预防和依法严惩性侵害未成年人违法犯罪行为。加强未成年人预防性侵害教育，提高未成年人、家庭、学校、社区等识别防范性侵害和发现报告的意识和能力，落实强制报告制度。</w:t>
      </w:r>
      <w:r>
        <w:rPr>
          <w:rFonts w:hint="eastAsia" w:ascii="仿宋_GB2312" w:hAnsi="仿宋" w:eastAsia="仿宋_GB2312" w:cs="仿宋"/>
          <w:color w:val="auto"/>
          <w:sz w:val="32"/>
          <w:szCs w:val="32"/>
          <w:lang w:val="en-US" w:eastAsia="zh-CN"/>
        </w:rPr>
        <w:t>积极参与</w:t>
      </w:r>
      <w:r>
        <w:rPr>
          <w:rFonts w:hint="eastAsia" w:ascii="仿宋_GB2312" w:hAnsi="仿宋" w:eastAsia="仿宋_GB2312" w:cs="仿宋"/>
          <w:color w:val="auto"/>
          <w:sz w:val="32"/>
          <w:szCs w:val="32"/>
          <w:lang w:eastAsia="zh-CN"/>
        </w:rPr>
        <w:t>性侵害、虐待、拐卖、暴力伤害等违法犯罪人员信息查询系统建设，落实从业禁止制度。建立教职工准入查询性侵违法犯罪信息制度，严格落实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开展“保护儿童免受性侵”项目，推动女童保护工作，将儿童防性侵知识纳入全区中小学生安全教育计划全面普及，努力提高儿童免于性侵的自我保护能力，保护儿童免遭一切形式的性侵犯。</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13）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14）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11" w:name="_Toc19180"/>
      <w:r>
        <w:rPr>
          <w:rFonts w:hint="eastAsia" w:eastAsia="楷体_GB2312" w:cs="Times New Roman"/>
          <w:b w:val="0"/>
          <w:bCs/>
          <w:color w:val="auto"/>
          <w:lang w:eastAsia="zh-CN"/>
        </w:rPr>
        <w:t>（六）儿童与家庭</w:t>
      </w:r>
      <w:bookmarkEnd w:id="11"/>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（1）发挥家庭立德树人第一所学校作用，培养儿童的好思想、好品行、好习惯。</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牵头单位:区妇联。责任单位:区教育和体育局、区委宣传部、区关工委、区融媒体中心</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（2）教育引导父母或其他监护人落实抚养、教育、保护责任，鼓励支持父母共担儿童照顾和教育责任，树立科学育儿理念，掌握科学育儿方法。</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牵头单位:区妇联。责任单位:区教育和体育局、区民政局、区公安分局、区卫生健康局</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（3）培养儿童成为好家风的践行者和传承者。</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牵头单位:区妇联。责任单位:区委宣传部、区教育和体育局</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（4）尊重儿童主体地位，保障儿童平等参与自身和家庭事务的权利。</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牵头单位:区妇联。责任单位:区教育和体育局、区关工委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（5）建立平等和谐的亲子关系。</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牵头单位:区妇联。责任单位:区教育和体育局、区文化和旅游局、区科协</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（6）覆盖城乡的家庭教育指导服务体系基本建成，指导服务能力进一步提升。95%的城市社区和8</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lang w:eastAsia="zh-CN"/>
        </w:rPr>
        <w:t>%的农村社区（村）建立家长学校或家庭教育指导服务站点。</w:t>
      </w:r>
      <w:r>
        <w:rPr>
          <w:rFonts w:hint="eastAsia" w:ascii="楷体_GB2312" w:hAnsi="楷体_GB2312" w:eastAsia="楷体_GB2312" w:cs="楷体_GB2312"/>
          <w:color w:val="auto"/>
          <w:sz w:val="32"/>
          <w:szCs w:val="32"/>
          <w:lang w:eastAsia="zh-CN"/>
        </w:rPr>
        <w:t>（牵头单位:区教育和体育局、区妇联。责任单位:区卫生健康局、区民政局、区关工委）</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（7）支持家庭生育养育儿童的法规政策体系基本形成。</w:t>
      </w:r>
      <w:r>
        <w:rPr>
          <w:rFonts w:hint="eastAsia" w:ascii="楷体_GB2312" w:hAnsi="楷体_GB2312" w:eastAsia="楷体_GB2312" w:cs="楷体_GB2312"/>
          <w:color w:val="auto"/>
          <w:sz w:val="32"/>
          <w:szCs w:val="32"/>
          <w:lang w:eastAsia="zh-CN"/>
        </w:rPr>
        <w:t>（牵头单位:区司法局。责任单位:区卫生健康局、区发展和改革局、区财政局、区市场监督管理局、区民政局、区人力资源和社会保障局、区妇联、区总工会）</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（8）提升家庭领域理论和实践研究水平，促进成果转化应用。</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牵头单位:区妇联。责任单位:区教育和体育局、区委宣传部</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提高家庭教育水平。父母或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社区儿童阅读场所和功能，鼓励社区图书馆设立亲子阅读区。</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构建覆盖城乡的家庭教育指导服务体系。区级人民政府应当结合实际，通过多种途径和方式设立或者推动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pageBreakBefore w:val="0"/>
        <w:widowControl w:val="0"/>
        <w:kinsoku/>
        <w:wordWrap/>
        <w:overflowPunct/>
        <w:topLinePunct w:val="0"/>
        <w:bidi w:val="0"/>
        <w:snapToGrid/>
        <w:spacing w:line="576"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（7）完善支持家庭生育养育</w:t>
      </w:r>
      <w:r>
        <w:rPr>
          <w:rFonts w:hint="eastAsia" w:ascii="仿宋_GB2312" w:hAnsi="仿宋" w:eastAsia="仿宋_GB2312" w:cs="仿宋"/>
          <w:color w:val="auto"/>
          <w:sz w:val="32"/>
          <w:szCs w:val="32"/>
          <w:lang w:val="en-US" w:eastAsia="zh-CN"/>
        </w:rPr>
        <w:t>教育</w:t>
      </w:r>
      <w:r>
        <w:rPr>
          <w:rFonts w:hint="eastAsia" w:ascii="仿宋_GB2312" w:hAnsi="仿宋" w:eastAsia="仿宋_GB2312" w:cs="仿宋"/>
          <w:color w:val="auto"/>
          <w:sz w:val="32"/>
          <w:szCs w:val="32"/>
          <w:lang w:eastAsia="zh-CN"/>
        </w:rPr>
        <w:t>的政策</w:t>
      </w:r>
      <w:r>
        <w:rPr>
          <w:rFonts w:hint="eastAsia" w:ascii="仿宋_GB2312" w:hAnsi="仿宋" w:eastAsia="仿宋_GB2312" w:cs="仿宋"/>
          <w:color w:val="auto"/>
          <w:sz w:val="32"/>
          <w:szCs w:val="32"/>
          <w:lang w:val="en-US" w:eastAsia="zh-CN"/>
        </w:rPr>
        <w:t>体系</w:t>
      </w:r>
      <w:r>
        <w:rPr>
          <w:rFonts w:hint="eastAsia" w:ascii="仿宋_GB2312" w:hAnsi="仿宋" w:eastAsia="仿宋_GB2312" w:cs="仿宋"/>
          <w:color w:val="auto"/>
          <w:sz w:val="32"/>
          <w:szCs w:val="32"/>
          <w:lang w:eastAsia="zh-CN"/>
        </w:rPr>
        <w:t>。宣传贯彻《中华人民共和国家庭教育促进法》，推进实施家庭教育工作规划。</w:t>
      </w:r>
      <w:r>
        <w:rPr>
          <w:rFonts w:hint="eastAsia" w:ascii="仿宋_GB2312" w:hAnsi="仿宋" w:eastAsia="仿宋_GB2312" w:cs="仿宋"/>
          <w:color w:val="auto"/>
          <w:sz w:val="32"/>
          <w:szCs w:val="32"/>
          <w:lang w:val="en-US" w:eastAsia="zh-CN"/>
        </w:rPr>
        <w:t>完善三孩生育政策配套措施，</w:t>
      </w:r>
      <w:r>
        <w:rPr>
          <w:rFonts w:hint="eastAsia" w:ascii="仿宋_GB2312" w:hAnsi="仿宋" w:eastAsia="仿宋_GB2312" w:cs="仿宋"/>
          <w:color w:val="auto"/>
          <w:sz w:val="32"/>
          <w:szCs w:val="32"/>
          <w:lang w:eastAsia="zh-CN"/>
        </w:rPr>
        <w:t>建立健全生育支持、儿童养育教育、促进工作家庭平衡等税收和福利政策，降低家庭生育养育教育负担，提高优生优育服务水平。通过税收减免、从业人员意外伤害保险补贴等方式减轻家庭服务企业成本，加快发展家政服务业。加强对困难家庭、单亲特困等特殊家庭的政策支持、救助和服务。探索建立父母育儿假和家庭育儿津贴制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p>
    <w:p>
      <w:pPr>
        <w:pStyle w:val="5"/>
        <w:pageBreakBefore w:val="0"/>
        <w:kinsoku/>
        <w:wordWrap/>
        <w:overflowPunct/>
        <w:topLinePunct w:val="0"/>
        <w:bidi w:val="0"/>
        <w:snapToGrid/>
        <w:spacing w:before="0" w:beforeLines="0" w:after="0" w:afterLines="0" w:line="576" w:lineRule="exact"/>
        <w:ind w:left="0" w:leftChars="0" w:firstLine="640" w:firstLineChars="200"/>
        <w:textAlignment w:val="auto"/>
        <w:rPr>
          <w:rFonts w:hint="eastAsia" w:eastAsia="楷体_GB2312" w:cs="Times New Roman"/>
          <w:b w:val="0"/>
          <w:bCs/>
          <w:color w:val="auto"/>
          <w:lang w:eastAsia="zh-CN"/>
        </w:rPr>
      </w:pPr>
      <w:bookmarkStart w:id="12" w:name="_Toc13390"/>
      <w:r>
        <w:rPr>
          <w:rFonts w:hint="eastAsia" w:eastAsia="楷体_GB2312" w:cs="Times New Roman"/>
          <w:b w:val="0"/>
          <w:bCs/>
          <w:color w:val="auto"/>
          <w:lang w:eastAsia="zh-CN"/>
        </w:rPr>
        <w:t>（七）儿童与环境</w:t>
      </w:r>
      <w:bookmarkEnd w:id="12"/>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1.主要目标</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（1）儿童优先原则在公共政策制定、公共设施建设、公共服务供给各方面得到落实，尊重、爱护儿童的社会环境进一步形成。</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w:t>
      </w:r>
      <w:r>
        <w:rPr>
          <w:rFonts w:hint="eastAsia" w:ascii="楷体_GB2312" w:hAnsi="楷体_GB2312" w:eastAsia="楷体_GB2312" w:cs="楷体_GB2312"/>
          <w:color w:val="auto"/>
          <w:sz w:val="32"/>
          <w:szCs w:val="32"/>
          <w:lang w:val="en-US" w:eastAsia="zh-CN"/>
        </w:rPr>
        <w:t>区妇儿工委办公室</w:t>
      </w:r>
      <w:r>
        <w:rPr>
          <w:rFonts w:hint="eastAsia" w:ascii="楷体_GB2312" w:hAnsi="楷体_GB2312" w:eastAsia="楷体_GB2312" w:cs="楷体_GB2312"/>
          <w:color w:val="auto"/>
          <w:sz w:val="32"/>
          <w:szCs w:val="32"/>
          <w:lang w:eastAsia="zh-CN"/>
        </w:rPr>
        <w:t>、区财政局。责任单位:区发展和改革局、区司法局、区教育和体育局、区文化和旅游局、区住房和城乡建设局、区自然资源局、团区委、区妇联、区规划管理办公室</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（2）提供更多有益于儿童全面发展的高质量精神文化产品。</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牵头单位:区委宣传部。责任单位:区文化和旅游局、区科技局、区科协、区教育和体育局、团区委、区妇联、区关工委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（3）保护儿童免受各类传媒不良信息影响。儿童媒介素养提升。</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牵头单位:区委宣传部。责任单位:区公安分局、区委网信办、区教育和体育局、区市场监督管理局、区文化和旅游局、团区委、区妇联、区关工委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（4）儿童参与和表达的权利得到保障。</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牵头单位:区妇儿工委办公室。责任单位:区民政局、区教育和体育局、区妇联、团区委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 w:eastAsia="仿宋_GB2312" w:cs="仿宋"/>
          <w:color w:val="auto"/>
          <w:sz w:val="32"/>
          <w:szCs w:val="32"/>
          <w:lang w:eastAsia="zh-CN"/>
        </w:rPr>
        <w:t>（5）建设儿童友好城市、儿童友好社区。</w:t>
      </w:r>
      <w:r>
        <w:rPr>
          <w:rFonts w:hint="eastAsia" w:ascii="楷体_GB2312" w:hAnsi="楷体_GB2312" w:eastAsia="楷体_GB2312" w:cs="楷体_GB2312"/>
          <w:color w:val="auto"/>
          <w:sz w:val="32"/>
          <w:szCs w:val="32"/>
          <w:lang w:eastAsia="zh-CN"/>
        </w:rPr>
        <w:t>（牵头单位:区发展和改革局、区妇儿工委办公室。责任单位:区住房和城乡建设局、区财政局、区自然资源局、区农业农村局、区生态环境分局、区教育和体育局、区卫生健康局、区交通运输局、区市场监督管理局、区综合行政执法局、区残联、区总工会、区妇联、团区委、区关工委、区规划管理办公室）</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（6）公益性儿童教育、科技、文化、体育、娱乐等校外活动场所增加，利用率和服务质量提高。</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牵头单位:区教育和体育局、区财政局。责任单位:区发展和改革局、区自然资源局、区住房和城乡建设局、区民政局、区科协、区文化和旅游局、团区委、区妇联、区残联、区关工委、区规划管理办公室）</w:t>
      </w:r>
    </w:p>
    <w:p>
      <w:pPr>
        <w:pageBreakBefore w:val="0"/>
        <w:widowControl w:val="0"/>
        <w:kinsoku/>
        <w:wordWrap/>
        <w:overflowPunct/>
        <w:topLinePunct w:val="0"/>
        <w:bidi w:val="0"/>
        <w:snapToGrid/>
        <w:spacing w:line="576" w:lineRule="exact"/>
        <w:ind w:firstLine="640" w:firstLineChars="200"/>
        <w:jc w:val="both"/>
        <w:textAlignment w:val="auto"/>
        <w:rPr>
          <w:rFonts w:ascii="仿宋_GB2312" w:hAnsi="仿宋" w:eastAsia="仿宋_GB2312" w:cs="宋体"/>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lang w:eastAsia="zh-CN"/>
        </w:rPr>
        <w:t>）儿童生态环境保护意识进一步提高，养成绿色低碳生活习惯。</w:t>
      </w:r>
      <w:r>
        <w:rPr>
          <w:rFonts w:hint="eastAsia" w:ascii="仿宋_GB2312" w:hAnsi="仿宋" w:eastAsia="仿宋_GB2312" w:cs="宋体"/>
          <w:color w:val="auto"/>
          <w:sz w:val="32"/>
          <w:szCs w:val="32"/>
          <w:lang w:eastAsia="zh-CN"/>
        </w:rPr>
        <w:t>（</w:t>
      </w:r>
      <w:r>
        <w:rPr>
          <w:rFonts w:hint="eastAsia" w:ascii="楷体_GB2312" w:hAnsi="楷体_GB2312" w:eastAsia="楷体_GB2312" w:cs="楷体_GB2312"/>
          <w:color w:val="auto"/>
          <w:sz w:val="32"/>
          <w:szCs w:val="32"/>
          <w:lang w:eastAsia="zh-CN"/>
        </w:rPr>
        <w:t>牵头单位:区生态环境分局。责任单位:区委宣传部、区教育和体育局、区农业农村局、团区委、区妇联、区关工委</w:t>
      </w:r>
      <w:r>
        <w:rPr>
          <w:rFonts w:hint="eastAsia" w:ascii="仿宋_GB2312" w:hAnsi="仿宋" w:eastAsia="仿宋_GB2312" w:cs="宋体"/>
          <w:color w:val="auto"/>
          <w:sz w:val="32"/>
          <w:szCs w:val="32"/>
          <w:lang w:eastAsia="zh-CN"/>
        </w:rPr>
        <w:t>）</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2.策略措施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1）全面贯彻儿童优先原则。建立和完善促进儿童优先发展的制度体系，出台法规政策、编制规划、配置资源、部署工作时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w:t>
      </w:r>
      <w:r>
        <w:rPr>
          <w:rFonts w:hint="eastAsia" w:ascii="仿宋_GB2312" w:hAnsi="仿宋" w:eastAsia="仿宋_GB2312" w:cs="仿宋"/>
          <w:color w:val="auto"/>
          <w:sz w:val="32"/>
          <w:szCs w:val="32"/>
          <w:lang w:val="en-US" w:eastAsia="zh-CN"/>
        </w:rPr>
        <w:t>开展陶琉文化、孝文化进课堂、中华经典诵读、非遗进校园、普通话推广等系列文化教育活动，</w:t>
      </w:r>
      <w:r>
        <w:rPr>
          <w:rFonts w:hint="eastAsia" w:ascii="仿宋_GB2312" w:hAnsi="仿宋" w:eastAsia="仿宋_GB2312" w:cs="仿宋"/>
          <w:color w:val="auto"/>
          <w:sz w:val="32"/>
          <w:szCs w:val="32"/>
          <w:lang w:eastAsia="zh-CN"/>
        </w:rPr>
        <w:t>为广大儿童讲好博山故事。提高公共图书馆、博物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扶持建成一批开放共享、布局合理、规范运营的城市书房、主题网红书吧，打造“15分钟阅读文化圈”，在“书香博山”建设中，培养儿童的阅读习惯，增加儿童图书阅读时间和阅读量。公共图书馆单设儿童阅览区。</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3）加强新闻出版文化、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5）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6）保障儿童的参与和表达的权利。儿童有权对涉及本人权益的事项发表意见，涉及儿童的法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（7）开展儿童友好城市、儿童友好社区建设工作。在城市规划、社区建设过程中体现性别平等意识和儿童利益最大化原则，将对儿童和家庭特殊需求的考量融入城市规划的整体设计中，推动建设</w:t>
      </w:r>
      <w:r>
        <w:rPr>
          <w:rFonts w:hint="eastAsia" w:ascii="仿宋_GB2312" w:hAnsi="仿宋" w:eastAsia="仿宋_GB2312" w:cs="仿宋"/>
          <w:color w:val="auto"/>
          <w:sz w:val="32"/>
          <w:szCs w:val="32"/>
          <w:lang w:val="en-US" w:eastAsia="zh-CN"/>
        </w:rPr>
        <w:t>社会政策友好、公共服务友好、权利保障友好、成长空间友好、发展环境友好</w:t>
      </w:r>
      <w:r>
        <w:rPr>
          <w:rFonts w:hint="eastAsia" w:ascii="仿宋_GB2312" w:hAnsi="仿宋" w:eastAsia="仿宋_GB2312" w:cs="仿宋"/>
          <w:color w:val="auto"/>
          <w:sz w:val="32"/>
          <w:szCs w:val="32"/>
          <w:lang w:eastAsia="zh-CN"/>
        </w:rPr>
        <w:t>的儿童友好城市、儿童友好社区。建立多部门合作的工作机制，探索制定适合本地实际的儿童友好城市、儿童友好社区标准体系和建设指南，适时选树表扬一批儿童友好社区、儿童友好项目。整合社区资源，建立以娱乐、教育、卫生保健、心理咨询、法律服务为主要内容的妇女儿童家园或儿童之家，坚持公益性，提高利用率和服务质量。</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8）加大儿童校外活动场所建设和管理力度。将妇女儿童事业发展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城市综合性公园能够提供儿童游戏、教育等多元化服务。新建、改扩建一批体育公园。发挥校外活动场所的育人优势，打造儿童主题活动品牌，提升育人成效。</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lang w:eastAsia="zh-CN"/>
        </w:rPr>
        <w:t>）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pStyle w:val="3"/>
        <w:pageBreakBefore w:val="0"/>
        <w:kinsoku/>
        <w:wordWrap/>
        <w:overflowPunct/>
        <w:topLinePunct w:val="0"/>
        <w:bidi w:val="0"/>
        <w:snapToGrid/>
        <w:spacing w:before="0" w:beforeLines="0" w:afterLines="0" w:line="576" w:lineRule="exact"/>
        <w:jc w:val="left"/>
        <w:textAlignment w:val="auto"/>
        <w:rPr>
          <w:rFonts w:hint="eastAsia" w:cs="Times New Roman"/>
          <w:b w:val="0"/>
          <w:bCs/>
          <w:color w:val="auto"/>
          <w:lang w:eastAsia="zh-CN"/>
        </w:rPr>
      </w:pPr>
      <w:bookmarkStart w:id="13" w:name="_Toc26760"/>
      <w:r>
        <w:rPr>
          <w:rFonts w:hint="eastAsia" w:cs="Times New Roman"/>
          <w:b w:val="0"/>
          <w:bCs/>
          <w:color w:val="auto"/>
          <w:lang w:eastAsia="zh-CN"/>
        </w:rPr>
        <w:t>四、组织实施</w:t>
      </w:r>
      <w:bookmarkEnd w:id="13"/>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（一）坚持党的全面领导。</w:t>
      </w:r>
      <w:r>
        <w:rPr>
          <w:rFonts w:hint="eastAsia" w:ascii="仿宋_GB2312" w:hAnsi="仿宋" w:eastAsia="仿宋_GB2312" w:cs="仿宋"/>
          <w:color w:val="auto"/>
          <w:sz w:val="32"/>
          <w:szCs w:val="32"/>
          <w:lang w:eastAsia="zh-CN"/>
        </w:rPr>
        <w:t>坚持以习近平新时代中国特色社会主义思想为指导，坚持以人民为中心的发展思想，坚持走中国特色社会主义儿童发展道路，把党的领导贯穿于规划组织实施的全过程。贯彻党中央、国务院关于儿童事业发展的决策部署和省市区委、省市区政府工作要求，在统筹推进“五位一体”总体布局、协调推进“四个全面”战略布局中推进规划实施。</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（二）落实规划实施责任。</w:t>
      </w:r>
      <w:r>
        <w:rPr>
          <w:rFonts w:hint="eastAsia" w:ascii="仿宋_GB2312" w:hAnsi="仿宋" w:eastAsia="仿宋_GB2312" w:cs="仿宋"/>
          <w:color w:val="auto"/>
          <w:sz w:val="32"/>
          <w:szCs w:val="32"/>
          <w:lang w:eastAsia="zh-CN"/>
        </w:rPr>
        <w:t>完善落实党委领导、政府主责、妇儿工委协调、多部门合作、全社会参与的规划实施工作机制。各级政府负责规划实施工作，纳入议事日程。区妇儿工委负责组织、协调、指导、督促工作，区妇儿工委办公室负责具体工作。有关部门、相关机构和人民团体结合职责，承担规划目标任务落实工作。在出台法律法规、制定政策、编制规划、配置资源、部署工作中贯彻落实儿童优先原则，切实保障儿童权益、促进儿童优先发展。</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（三）加强规划与国民经济和社会发展规划的衔接。</w:t>
      </w:r>
      <w:r>
        <w:rPr>
          <w:rFonts w:hint="eastAsia" w:ascii="仿宋_GB2312" w:hAnsi="仿宋" w:eastAsia="仿宋_GB2312" w:cs="仿宋"/>
          <w:color w:val="auto"/>
          <w:sz w:val="32"/>
          <w:szCs w:val="32"/>
          <w:lang w:eastAsia="zh-CN"/>
        </w:rPr>
        <w:t>在经济社会发展总体规划及相关专项规划中贯彻落实儿童优先原则，将规划实施以及儿童发展主要目标任务纳入经济社会发展总体规划及相关专项规划，结合经济社会发展总规划部署要求推进规划实施工作，实现儿童发展与经济社会发展同步规划、同步部署、同步实施、同步落实。</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（四）制定地方儿童发展规划和部门实施方案。</w:t>
      </w:r>
      <w:r>
        <w:rPr>
          <w:rFonts w:hint="eastAsia" w:ascii="仿宋_GB2312" w:hAnsi="仿宋" w:eastAsia="仿宋_GB2312" w:cs="仿宋"/>
          <w:color w:val="auto"/>
          <w:sz w:val="32"/>
          <w:szCs w:val="32"/>
          <w:lang w:eastAsia="zh-CN"/>
        </w:rPr>
        <w:t>区级儿童发展规划颁布后1个月内，承担规划目标任务的有关部门、相关机构和人民团体结合职责，按照任务分工，制定实施方案并报送区妇儿工委办公室。</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（五）完善实施规划的工作制度机制。</w:t>
      </w:r>
      <w:r>
        <w:rPr>
          <w:rFonts w:hint="eastAsia" w:ascii="仿宋_GB2312" w:hAnsi="仿宋" w:eastAsia="仿宋_GB2312" w:cs="仿宋"/>
          <w:color w:val="auto"/>
          <w:sz w:val="32"/>
          <w:szCs w:val="32"/>
          <w:lang w:eastAsia="zh-CN"/>
        </w:rPr>
        <w:t>健全目标管理责任制，将规划目标分解到责任单位并纳入目标管理。健全督导检查制度，定期对规划落实情况开展督查。健全报告制度，责任单位每年向区妇儿工委报告规划落实情况和下一年工作安排，区妇儿工委每年向市妇儿工委报告本地区规划实施情况和下一年工作安排。健全议事协调制度，定期召开妇女儿童工作会议、妇儿工委全体会议、联络员会议等，总结交流情况，研究解决问题，部署工作任务。健全规划实施示范制度，确定试点单位，围绕儿童发展重点难点目标实施试点项目，充分发挥以点带面、试点带动作用。</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（六）保障儿童发展经费投入。</w:t>
      </w:r>
      <w:r>
        <w:rPr>
          <w:rFonts w:hint="eastAsia" w:ascii="仿宋_GB2312" w:hAnsi="仿宋" w:eastAsia="仿宋_GB2312" w:cs="仿宋"/>
          <w:color w:val="auto"/>
          <w:sz w:val="32"/>
          <w:szCs w:val="32"/>
          <w:lang w:eastAsia="zh-CN"/>
        </w:rPr>
        <w:t>实施规划所需经费纳入财政预算，实现儿童事业和经济社会同步发展。区财政应加大对儿童发展重点领域投入力度，为儿童办实事。重点支持特殊困难儿童群体发展。动员社会力量，多渠道筹集资源，发展儿童事业。</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（七）坚持和创新实施规划的有效做法。</w:t>
      </w:r>
      <w:r>
        <w:rPr>
          <w:rFonts w:hint="eastAsia" w:ascii="仿宋_GB2312" w:hAnsi="仿宋" w:eastAsia="仿宋_GB2312" w:cs="仿宋"/>
          <w:color w:val="auto"/>
          <w:sz w:val="32"/>
          <w:szCs w:val="32"/>
          <w:lang w:eastAsia="zh-CN"/>
        </w:rPr>
        <w:t>贯彻新发展理念，坚持问题导向、目标导向、结果导向相统一，构建促进儿童发展的法规政策体系，完善儿童权利保障机制，实施促进儿童发展的民生实事项目。通过分类指导、示范先行，总结推广好做法好经验。通过政府购买服务等方式，发挥社会力量推进规划实施的作用。</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（八）加强实施规划能力建设。</w:t>
      </w:r>
      <w:r>
        <w:rPr>
          <w:rFonts w:hint="eastAsia" w:ascii="仿宋_GB2312" w:hAnsi="仿宋" w:eastAsia="仿宋_GB2312" w:cs="仿宋"/>
          <w:color w:val="auto"/>
          <w:sz w:val="32"/>
          <w:szCs w:val="32"/>
          <w:lang w:eastAsia="zh-CN"/>
        </w:rPr>
        <w:t>将实施规划所需知识纳入区妇儿工委及其办公室、区妇儿工委成员单位、特邀单位培训计划，举办多层次、多形式培训，增强政府有关部门、相关机构和人员实施规划的责任意识和能力。以政治建设为统领，加强区妇儿工委及其办公室建设，强化行政职能，为履职尽责提供必要的人力物力财力支持，为规划实施提供组织保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（九）加大实施规划宣传力度。</w:t>
      </w:r>
      <w:r>
        <w:rPr>
          <w:rFonts w:hint="eastAsia" w:ascii="仿宋_GB2312" w:hAnsi="仿宋" w:eastAsia="仿宋_GB2312" w:cs="仿宋"/>
          <w:color w:val="auto"/>
          <w:sz w:val="32"/>
          <w:szCs w:val="32"/>
          <w:lang w:eastAsia="zh-CN"/>
        </w:rPr>
        <w:t>大力宣传习近平总书记关于儿童和儿童工作的重要论述，宣传党中央和省委、市委、区委对儿童事业发展的重要决策部署，宣传在党的坚强领导下儿童事业发展的成就，宣传儿童优先原则和保障儿童权益、促进儿童发展的法规政策，宣传规划内容及规划实施中的经验和成效，努力营造关爱儿童、有利于儿童发展的社会氛围。</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（十）加强儿童发展调查研究。</w:t>
      </w:r>
      <w:r>
        <w:rPr>
          <w:rFonts w:hint="eastAsia" w:ascii="仿宋_GB2312" w:hAnsi="仿宋" w:eastAsia="仿宋_GB2312" w:cs="仿宋"/>
          <w:color w:val="auto"/>
          <w:sz w:val="32"/>
          <w:szCs w:val="32"/>
          <w:lang w:eastAsia="zh-CN"/>
        </w:rPr>
        <w:t>加强儿童工作智库建设，依托高校、研究机构、社会组织等建设儿童发展研究基地，培育专业研究力量，通过课题招标、联合科研基地、组织专业力量、进行实地调研等方式开展理论及实践研究，为制定和完善相关法规政策提供参考。</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（十一）鼓励社会各界广泛参与规划实施。</w:t>
      </w:r>
      <w:r>
        <w:rPr>
          <w:rFonts w:hint="eastAsia" w:ascii="仿宋_GB2312" w:hAnsi="仿宋" w:eastAsia="仿宋_GB2312" w:cs="仿宋"/>
          <w:color w:val="auto"/>
          <w:sz w:val="32"/>
          <w:szCs w:val="32"/>
          <w:lang w:eastAsia="zh-CN"/>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pStyle w:val="3"/>
        <w:pageBreakBefore w:val="0"/>
        <w:kinsoku/>
        <w:wordWrap/>
        <w:overflowPunct/>
        <w:topLinePunct w:val="0"/>
        <w:bidi w:val="0"/>
        <w:snapToGrid/>
        <w:spacing w:before="0" w:beforeLines="0" w:afterLines="0" w:line="576" w:lineRule="exact"/>
        <w:jc w:val="left"/>
        <w:textAlignment w:val="auto"/>
        <w:rPr>
          <w:rFonts w:hint="eastAsia" w:cs="Times New Roman"/>
          <w:b w:val="0"/>
          <w:bCs/>
          <w:color w:val="auto"/>
          <w:lang w:eastAsia="zh-CN"/>
        </w:rPr>
      </w:pPr>
      <w:bookmarkStart w:id="14" w:name="_Toc20071"/>
      <w:r>
        <w:rPr>
          <w:rFonts w:hint="eastAsia" w:cs="Times New Roman"/>
          <w:b w:val="0"/>
          <w:bCs/>
          <w:color w:val="auto"/>
          <w:lang w:eastAsia="zh-CN"/>
        </w:rPr>
        <w:t>五、监测评估</w:t>
      </w:r>
      <w:bookmarkEnd w:id="14"/>
    </w:p>
    <w:p>
      <w:pPr>
        <w:pageBreakBefore w:val="0"/>
        <w:widowControl w:val="0"/>
        <w:kinsoku/>
        <w:wordWrap/>
        <w:overflowPunct/>
        <w:topLinePunct w:val="0"/>
        <w:bidi w:val="0"/>
        <w:snapToGrid/>
        <w:spacing w:line="576" w:lineRule="exact"/>
        <w:ind w:firstLine="640" w:firstLineChars="200"/>
        <w:jc w:val="both"/>
        <w:textAlignment w:val="auto"/>
        <w:rPr>
          <w:rFonts w:hint="eastAsia" w:ascii="楷体_GB2312" w:hAnsi="仿宋" w:eastAsia="楷体_GB2312" w:cs="宋体"/>
          <w:color w:val="auto"/>
          <w:sz w:val="32"/>
          <w:szCs w:val="32"/>
          <w:lang w:eastAsia="zh-CN"/>
        </w:rPr>
      </w:pPr>
      <w:r>
        <w:rPr>
          <w:rFonts w:hint="eastAsia" w:ascii="楷体_GB2312" w:hAnsi="仿宋" w:eastAsia="楷体_GB2312" w:cs="宋体"/>
          <w:color w:val="auto"/>
          <w:sz w:val="32"/>
          <w:szCs w:val="32"/>
          <w:lang w:eastAsia="zh-CN"/>
        </w:rPr>
        <w:t>（一）加强监测评估制度建设。</w:t>
      </w:r>
      <w:r>
        <w:rPr>
          <w:rFonts w:hint="eastAsia" w:ascii="仿宋_GB2312" w:hAnsi="仿宋" w:eastAsia="仿宋_GB2312" w:cs="仿宋"/>
          <w:color w:val="auto"/>
          <w:sz w:val="32"/>
          <w:szCs w:val="32"/>
          <w:lang w:eastAsia="zh-CN"/>
        </w:rPr>
        <w:t>对规划实施实行年度监测、中期评估、终期评估。落实并逐步完善儿童统计监测方案。统计部门牵头组织开展年度监测，区妇儿工委成员单位、特邀单位及有关部门向区统计部门报送年度监测数据，及时收集、分析反映儿童发展状况的相关数据和信息。区妇儿工委组织开展中期和终期评估，区妇儿工委成员单位、特邀单位及有关部门向区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（二）加强监测评估工作组织领导。</w:t>
      </w:r>
      <w:r>
        <w:rPr>
          <w:rFonts w:hint="eastAsia" w:ascii="仿宋_GB2312" w:hAnsi="仿宋" w:eastAsia="仿宋_GB2312" w:cs="仿宋"/>
          <w:color w:val="auto"/>
          <w:sz w:val="32"/>
          <w:szCs w:val="32"/>
          <w:lang w:eastAsia="zh-CN"/>
        </w:rPr>
        <w:t>区妇儿工委设立监测评估协调组，由区妇儿工委及相关部门负责人组成，负责组织协调监测评估工作，审批监测评估方案，审核监测评估报告等。协调组下设监测组和评估组。</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监测组由区统计部门牵头，由相关部门负责规划统计监测人员组成，负责规划监测工作的组织、指导和培训，制定监测方案、监测指标体系，收集、分析数据和信息，向区妇儿工委提交年度、中期和终期监测报告，编辑出版年度妇女儿童统计资料等。监测组成员负责统筹协调本部门规划实施监测、分析、数据上报、分性别分年龄指标完善等工作。</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评估组由</w:t>
      </w:r>
      <w:r>
        <w:rPr>
          <w:rFonts w:hint="eastAsia" w:ascii="仿宋_GB2312" w:hAnsi="仿宋" w:eastAsia="仿宋_GB2312" w:cs="仿宋"/>
          <w:color w:val="auto"/>
          <w:sz w:val="32"/>
          <w:szCs w:val="32"/>
          <w:lang w:val="en-US" w:eastAsia="zh-CN"/>
        </w:rPr>
        <w:t>区</w:t>
      </w:r>
      <w:r>
        <w:rPr>
          <w:rFonts w:hint="eastAsia" w:ascii="仿宋_GB2312" w:hAnsi="仿宋" w:eastAsia="仿宋_GB2312" w:cs="仿宋"/>
          <w:color w:val="auto"/>
          <w:sz w:val="32"/>
          <w:szCs w:val="32"/>
          <w:lang w:eastAsia="zh-CN"/>
        </w:rPr>
        <w:t>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（三）加强儿童发展统计监测。</w:t>
      </w:r>
      <w:r>
        <w:rPr>
          <w:rFonts w:hint="eastAsia" w:ascii="仿宋_GB2312" w:hAnsi="仿宋" w:eastAsia="仿宋_GB2312" w:cs="仿宋"/>
          <w:color w:val="auto"/>
          <w:sz w:val="32"/>
          <w:szCs w:val="32"/>
          <w:lang w:eastAsia="zh-CN"/>
        </w:rPr>
        <w:t>规范完善儿童发展统计监测指标体系，根据需要扩充调整儿童发展统计指标，纳入政府和部门常规统计以及统计调查制度，加强部门分年龄、分性别统计工作，推进儿童发展统计监测制度化建设。健立完善儿童发展统计监测数据库，逐步实现区、镇（街道）数据互联互通。鼓励支持相关部门对儿童发展缺项数据开展专项统计调查。</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（四）提升监测评估工作能力和水平。</w:t>
      </w:r>
      <w:r>
        <w:rPr>
          <w:rFonts w:hint="eastAsia" w:ascii="仿宋_GB2312" w:hAnsi="仿宋" w:eastAsia="仿宋_GB2312" w:cs="仿宋"/>
          <w:color w:val="auto"/>
          <w:sz w:val="32"/>
          <w:szCs w:val="32"/>
          <w:lang w:eastAsia="zh-CN"/>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楷体_GB2312" w:hAnsi="仿宋" w:eastAsia="楷体_GB2312" w:cs="宋体"/>
          <w:color w:val="auto"/>
          <w:sz w:val="32"/>
          <w:szCs w:val="32"/>
          <w:lang w:eastAsia="zh-CN"/>
        </w:rPr>
        <w:t>（五）有效利用监测评估成果。</w:t>
      </w:r>
      <w:r>
        <w:rPr>
          <w:rFonts w:hint="eastAsia" w:ascii="仿宋_GB2312" w:hAnsi="仿宋" w:eastAsia="仿宋_GB2312" w:cs="仿宋"/>
          <w:color w:val="auto"/>
          <w:sz w:val="32"/>
          <w:szCs w:val="32"/>
          <w:lang w:eastAsia="zh-CN"/>
        </w:rPr>
        <w:t>发挥监测评估结果服务决策的作用，定期向政府及相关部门报送规划目标落实情况，为决策提供依据。建立监测评估报告交流、反馈和发布机制。加强监测和评估结果的研判、运用。每年对预计达标困难、波动较大的监测指标进行预警，对发现的突出问题和短板弱项提出对策建议，对好做法、好经验及时总结推广。运用监测、评估结果指导下一阶段规划实施工作，实现规划实施的年度监测、阶段评估、动态预警、精准干预、整改落实、高质量推进。</w:t>
      </w:r>
    </w:p>
    <w:p>
      <w:pPr>
        <w:pageBreakBefore w:val="0"/>
        <w:widowControl w:val="0"/>
        <w:kinsoku/>
        <w:wordWrap/>
        <w:overflowPunct/>
        <w:topLinePunct w:val="0"/>
        <w:bidi w:val="0"/>
        <w:snapToGrid/>
        <w:spacing w:line="576" w:lineRule="exact"/>
        <w:ind w:firstLine="640" w:firstLineChars="200"/>
        <w:jc w:val="both"/>
        <w:textAlignment w:val="auto"/>
        <w:sectPr>
          <w:footerReference r:id="rId4" w:type="default"/>
          <w:pgSz w:w="11907" w:h="16840"/>
          <w:pgMar w:top="2098" w:right="1474" w:bottom="1984" w:left="1588" w:header="851" w:footer="1191" w:gutter="0"/>
          <w:pgNumType w:fmt="decimal" w:start="1"/>
          <w:cols w:space="708" w:num="1"/>
          <w:docGrid w:linePitch="360" w:charSpace="0"/>
        </w:sectPr>
      </w:pPr>
      <w:r>
        <w:rPr>
          <w:rFonts w:hint="eastAsia" w:ascii="仿宋_GB2312" w:hAnsi="仿宋" w:eastAsia="仿宋_GB2312" w:cs="仿宋"/>
          <w:color w:val="auto"/>
          <w:sz w:val="32"/>
          <w:szCs w:val="32"/>
          <w:lang w:eastAsia="zh-CN"/>
        </w:rPr>
        <w:t>本规划由博山区妇女儿童工作委员会负责解释。</w:t>
      </w:r>
    </w:p>
    <w:tbl>
      <w:tblPr>
        <w:tblStyle w:val="11"/>
        <w:tblpPr w:leftFromText="181" w:rightFromText="181" w:vertAnchor="page" w:horzAnchor="page" w:tblpX="1555" w:tblpY="13845"/>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noWrap w:val="0"/>
            <w:vAlign w:val="center"/>
          </w:tcPr>
          <w:p>
            <w:pPr>
              <w:pageBreakBefore w:val="0"/>
              <w:kinsoku/>
              <w:wordWrap/>
              <w:overflowPunct/>
              <w:topLinePunct w:val="0"/>
              <w:bidi w:val="0"/>
              <w:spacing w:line="576" w:lineRule="exact"/>
              <w:jc w:val="center"/>
              <w:rPr>
                <w:rFonts w:hint="eastAsia"/>
                <w:bdr w:val="single" w:color="auto" w:sz="8" w:space="0"/>
              </w:rPr>
            </w:pPr>
            <w:r>
              <w:rPr>
                <w:rFonts w:hint="eastAsia" w:ascii="仿宋_GB2312" w:eastAsia="仿宋_GB2312"/>
                <w:sz w:val="28"/>
                <w:szCs w:val="28"/>
              </w:rPr>
              <w:t>博山区人民政府办公室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tc>
      </w:tr>
    </w:tbl>
    <w:p>
      <w:pPr>
        <w:pStyle w:val="13"/>
        <w:pageBreakBefore w:val="0"/>
        <w:kinsoku/>
        <w:wordWrap/>
        <w:overflowPunct/>
        <w:topLinePunct w:val="0"/>
        <w:bidi w:val="0"/>
        <w:spacing w:line="576" w:lineRule="exact"/>
        <w:jc w:val="both"/>
      </w:pPr>
    </w:p>
    <w:sectPr>
      <w:footerReference r:id="rId5" w:type="default"/>
      <w:pgSz w:w="11907" w:h="16840"/>
      <w:pgMar w:top="2098" w:right="1474" w:bottom="1984" w:left="1588" w:header="851" w:footer="1191"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6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6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-349250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outside;mso-position-horizontal-relative:margin;mso-wrap-style:none;z-index:251660288;mso-width-relative:page;mso-height-relative:page;" filled="f" stroked="f" coordsize="21600,21600" o:gfxdata="UEsDBAoAAAAAAIdO4kAAAAAAAAAAAAAAAAAEAAAAZHJzL1BLAwQUAAAACACHTuJA9jkj2t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x2OwaWt0XBcGLI8wxk&#10;Xcn/A+of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j2tQAAAAI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6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-83820</wp:posOffset>
              </wp:positionV>
              <wp:extent cx="817245" cy="2736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7245" cy="273685"/>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top:-6.6pt;height:21.55pt;width:64.35pt;mso-position-horizontal:outside;mso-position-horizontal-relative:margin;z-index:251659264;mso-width-relative:page;mso-height-relative:page;" filled="f" stroked="f" coordsize="21600,21600" o:gfxdata="UEsDBAoAAAAAAIdO4kAAAAAAAAAAAAAAAAAEAAAAZHJzL1BLAwQUAAAACACHTuJAb3tbG9YAAAAH&#10;AQAADwAAAGRycy9kb3ducmV2LnhtbE2PzU7DMBCE70i8g7VI3Fo7QSpNyKZCCE5IiDQcODrJNrEa&#10;r0Ps/vD2uCd6HM1o5ptic7ajONLsjWOEZKlAELeuM9wjfNVvizUIHzR3enRMCL/kYVPe3hQ679yJ&#10;KzpuQy9iCftcIwwhTLmUvh3Iar90E3H0dm62OkQ597Kb9SmW21GmSq2k1YbjwqAnehmo3W8PFuH5&#10;m6tX8/PRfFa7ytR1pvh9tUe8v0vUE4hA5/Afhgt+RIcyMjXuwJ0XI0I8EhAWyUMK4mKn60cQDUKa&#10;ZSDLQl7zl39QSwMEFAAAAAgAh07iQEAJwC67AQAAcQMAAA4AAABkcnMvZTJvRG9jLnhtbK1TwY7T&#10;MBC9I/EPlu/UbWB3q6jpSqhahIQAaZcPcB27sWR7LNtt0h+AP+DEhTvf1e9g7DRdWC574OJMZibP&#10;772ZrG4Ha8hBhqjBNXQxm1MinYBWu11DvzzcvVpSEhN3LTfgZEOPMtLb9csXq97XsoIOTCsDQRAX&#10;6943tEvJ14xF0UnL4wy8dFhUECxP+Bp2rA28R3RrWDWfX7MeQusDCBkjZjdjkZ4Rw3MAQSkt5AbE&#10;3kqXRtQgDU8oKXbaR7oubJWSIn1SKspETENRaSonXoLxNp9sveL1LnDfaXGmwJ9D4Ykmy7XDSy9Q&#10;G5442Qf9D5TVIkAElWYCLBuFFEdQxWL+xJv7jntZtKDV0V9Mj/8PVnw8fA5Etw2tKHHc4sBP37+d&#10;fvw6/fxKqmxP72ONXfce+9LwFgZcmikfMZlVDyrY/EQ9BOto7vFirhwSEZhcLm6qN1eUCCxVN6+v&#10;l1cZhT1+7ENM7yRYkoOGBpxdsZQfPsQ0tk4t+S4Hd9qYMj/j/kogZs6wzHxkmKM0bIeznC20R1Rj&#10;3jt0Mm/FFIQp2E7B3ge968raZAoZCCdReJ+3Jo/6z/fS9fi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3tbG9YAAAAHAQAADwAAAAAAAAABACAAAAAiAAAAZHJzL2Rvd25yZXYueG1sUEsBAhQA&#10;FAAAAAgAh07iQEAJwC67AQAAcQMAAA4AAAAAAAAAAQAgAAAAJQEAAGRycy9lMm9Eb2MueG1sUEsF&#10;BgAAAAAGAAYAWQEAAFIFAAAAAA==&#10;">
              <v:fill on="f" focussize="0,0"/>
              <v:stroke on="f"/>
              <v:imagedata o:title=""/>
              <o:lock v:ext="edit" aspectratio="f"/>
              <v:textbox inset="0mm,0mm,0mm,0mm">
                <w:txbxContent>
                  <w:p>
                    <w:pPr>
                      <w:rPr>
                        <w:rFonts w:hint="eastAsia"/>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95CE7"/>
    <w:rsid w:val="00BC1027"/>
    <w:rsid w:val="00C85F20"/>
    <w:rsid w:val="018207C5"/>
    <w:rsid w:val="019A5307"/>
    <w:rsid w:val="04B52C5F"/>
    <w:rsid w:val="0513158C"/>
    <w:rsid w:val="0774295E"/>
    <w:rsid w:val="0830155C"/>
    <w:rsid w:val="0ACD0864"/>
    <w:rsid w:val="0B661094"/>
    <w:rsid w:val="0BAC35AF"/>
    <w:rsid w:val="0C6124E9"/>
    <w:rsid w:val="0CAC2B29"/>
    <w:rsid w:val="0F447B11"/>
    <w:rsid w:val="0FF61BBB"/>
    <w:rsid w:val="110A3133"/>
    <w:rsid w:val="11CC3FD1"/>
    <w:rsid w:val="13811756"/>
    <w:rsid w:val="14942611"/>
    <w:rsid w:val="158636C8"/>
    <w:rsid w:val="18822A00"/>
    <w:rsid w:val="1A1664A2"/>
    <w:rsid w:val="1AE2543D"/>
    <w:rsid w:val="1AF220BF"/>
    <w:rsid w:val="1B753C44"/>
    <w:rsid w:val="1EE50AEE"/>
    <w:rsid w:val="1F64749B"/>
    <w:rsid w:val="1FC57DA2"/>
    <w:rsid w:val="2409047A"/>
    <w:rsid w:val="255F65A3"/>
    <w:rsid w:val="28FC2235"/>
    <w:rsid w:val="2BA409E6"/>
    <w:rsid w:val="326D631B"/>
    <w:rsid w:val="33D95493"/>
    <w:rsid w:val="34BE3647"/>
    <w:rsid w:val="3641737F"/>
    <w:rsid w:val="37E3530B"/>
    <w:rsid w:val="3B03709B"/>
    <w:rsid w:val="3D560C6E"/>
    <w:rsid w:val="3E021D6A"/>
    <w:rsid w:val="42BF3CC3"/>
    <w:rsid w:val="444035EC"/>
    <w:rsid w:val="44BD417D"/>
    <w:rsid w:val="460D323A"/>
    <w:rsid w:val="48E4208B"/>
    <w:rsid w:val="491D214E"/>
    <w:rsid w:val="4926434A"/>
    <w:rsid w:val="49B10E6C"/>
    <w:rsid w:val="4B01683E"/>
    <w:rsid w:val="4BA6708E"/>
    <w:rsid w:val="4CF52F2E"/>
    <w:rsid w:val="4E3313C5"/>
    <w:rsid w:val="5187285A"/>
    <w:rsid w:val="51D00BC8"/>
    <w:rsid w:val="54ED05BF"/>
    <w:rsid w:val="54F62DF8"/>
    <w:rsid w:val="55443549"/>
    <w:rsid w:val="56772E9D"/>
    <w:rsid w:val="56C47511"/>
    <w:rsid w:val="588E461A"/>
    <w:rsid w:val="5B2B637F"/>
    <w:rsid w:val="5B6816C2"/>
    <w:rsid w:val="5B9C6F02"/>
    <w:rsid w:val="5CD26324"/>
    <w:rsid w:val="5D6307AF"/>
    <w:rsid w:val="5D7F0FB0"/>
    <w:rsid w:val="5FC1549E"/>
    <w:rsid w:val="6394298A"/>
    <w:rsid w:val="65B16963"/>
    <w:rsid w:val="67EE6D37"/>
    <w:rsid w:val="684063CD"/>
    <w:rsid w:val="68B95CE7"/>
    <w:rsid w:val="68E343C2"/>
    <w:rsid w:val="6A932140"/>
    <w:rsid w:val="6B9A2DB2"/>
    <w:rsid w:val="6C5E052D"/>
    <w:rsid w:val="6CBE44C0"/>
    <w:rsid w:val="6F023EDE"/>
    <w:rsid w:val="722A0AFE"/>
    <w:rsid w:val="73C70790"/>
    <w:rsid w:val="73CD28BF"/>
    <w:rsid w:val="7518367C"/>
    <w:rsid w:val="757B6DFF"/>
    <w:rsid w:val="76636B42"/>
    <w:rsid w:val="77844FC2"/>
    <w:rsid w:val="77D9315D"/>
    <w:rsid w:val="78105A91"/>
    <w:rsid w:val="78FA0300"/>
    <w:rsid w:val="7B7F4658"/>
    <w:rsid w:val="7D0767A8"/>
    <w:rsid w:val="7E5A7ABC"/>
    <w:rsid w:val="7EBF1547"/>
    <w:rsid w:val="7FBE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1"/>
    <w:basedOn w:val="4"/>
    <w:next w:val="1"/>
    <w:qFormat/>
    <w:uiPriority w:val="9"/>
    <w:pPr>
      <w:keepNext/>
      <w:keepLines/>
      <w:spacing w:beforeLines="0" w:beforeAutospacing="0" w:afterLines="0" w:afterAutospacing="0" w:line="600" w:lineRule="exact"/>
      <w:ind w:firstLine="880" w:firstLineChars="200"/>
      <w:jc w:val="center"/>
      <w:outlineLvl w:val="0"/>
    </w:pPr>
    <w:rPr>
      <w:rFonts w:ascii="Arial" w:hAnsi="Arial" w:eastAsia="黑体"/>
      <w:kern w:val="44"/>
      <w:sz w:val="32"/>
    </w:rPr>
  </w:style>
  <w:style w:type="paragraph" w:styleId="5">
    <w:name w:val="heading 2"/>
    <w:basedOn w:val="6"/>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4">
    <w:name w:val="toa heading"/>
    <w:basedOn w:val="1"/>
    <w:next w:val="1"/>
    <w:semiHidden/>
    <w:unhideWhenUsed/>
    <w:qFormat/>
    <w:uiPriority w:val="99"/>
    <w:pPr>
      <w:spacing w:before="120" w:beforeLines="0" w:beforeAutospacing="0"/>
    </w:pPr>
    <w:rPr>
      <w:rFonts w:ascii="Arial" w:hAnsi="Arial"/>
      <w:sz w:val="24"/>
    </w:rPr>
  </w:style>
  <w:style w:type="paragraph" w:styleId="6">
    <w:name w:val="table of authorities"/>
    <w:basedOn w:val="1"/>
    <w:next w:val="1"/>
    <w:semiHidden/>
    <w:unhideWhenUsed/>
    <w:qFormat/>
    <w:uiPriority w:val="99"/>
    <w:pPr>
      <w:ind w:left="420" w:leftChars="200"/>
    </w:p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Heading1"/>
    <w:basedOn w:val="1"/>
    <w:next w:val="1"/>
    <w:qFormat/>
    <w:uiPriority w:val="0"/>
    <w:pPr>
      <w:snapToGrid w:val="0"/>
      <w:spacing w:line="590" w:lineRule="atLeast"/>
      <w:jc w:val="center"/>
      <w:textAlignment w:val="baseline"/>
    </w:pPr>
    <w:rPr>
      <w:rFonts w:eastAsia="方正小标宋简体"/>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325</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2021-11-16T06:38:00Z</dcterms:created>
  <dc:creator>幸运星</dc:creator>
  <cp:lastModifiedBy>秦大龙如何</cp:lastModifiedBy>
  <cp:lastPrinted>2022-04-21T06:47:00Z</cp:lastPrinted>
  <dcterms:modified xsi:type="dcterms:W3CDTF">2022-04-21T07:12:38Z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C9B42ADC6FF1491A94CCAAB022C6C1F8</vt:lpwstr>
  </property>
</Properties>
</file>