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F8A640">
      <w:pPr>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方正小标宋简体" w:hAnsi="方正小标宋简体" w:eastAsia="方正小标宋简体" w:cs="方正小标宋简体"/>
          <w:sz w:val="44"/>
          <w:szCs w:val="44"/>
          <w:lang w:val="en-US" w:eastAsia="zh-CN"/>
        </w:rPr>
      </w:pPr>
    </w:p>
    <w:p w14:paraId="0CB73C49">
      <w:pPr>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方正小标宋简体" w:hAnsi="方正小标宋简体" w:eastAsia="方正小标宋简体" w:cs="方正小标宋简体"/>
          <w:sz w:val="44"/>
          <w:szCs w:val="44"/>
          <w:lang w:val="en-US" w:eastAsia="zh-CN"/>
        </w:rPr>
      </w:pPr>
      <w:bookmarkStart w:id="0" w:name="_GoBack"/>
      <w:r>
        <w:rPr>
          <w:rFonts w:hint="eastAsia" w:ascii="方正小标宋简体" w:hAnsi="方正小标宋简体" w:eastAsia="方正小标宋简体" w:cs="方正小标宋简体"/>
          <w:sz w:val="44"/>
          <w:szCs w:val="44"/>
          <w:lang w:val="en-US" w:eastAsia="zh-CN"/>
        </w:rPr>
        <w:t>博山区人民政府</w:t>
      </w:r>
    </w:p>
    <w:p w14:paraId="47826535">
      <w:pPr>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关于承接落实、调整规范一批行政权力事项的通知</w:t>
      </w:r>
    </w:p>
    <w:bookmarkEnd w:id="0"/>
    <w:p w14:paraId="61E89F8A">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ind w:left="0" w:firstLine="0"/>
        <w:jc w:val="center"/>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博政字[2019]25号</w:t>
      </w:r>
    </w:p>
    <w:p w14:paraId="39BB9F76">
      <w:pPr>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方正小标宋简体" w:hAnsi="方正小标宋简体" w:eastAsia="方正小标宋简体" w:cs="方正小标宋简体"/>
          <w:sz w:val="44"/>
          <w:szCs w:val="44"/>
          <w:lang w:val="en-US" w:eastAsia="zh-CN"/>
        </w:rPr>
      </w:pPr>
    </w:p>
    <w:p w14:paraId="6A8B7346">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各镇人民政府、街道办事处，开发区管委会，区政府各部门，各有关单位：</w:t>
      </w:r>
    </w:p>
    <w:p w14:paraId="38C979FB">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为贯彻落实省政府《关于取消下放一批省级行政许可等事项的通知》（鲁政发〔2018〕35号）和《淄博市人民政府关于承接落实、调整规范一批行政许可等事项的通知》（淄政字〔2019〕24号）要求，结合我区实际，区政府决定，承接落实、调整规范一批行政权力事项22项，其中，调整区级行政权力事项5项（附件1），承接省、市下放的行政权力事项17项（附件2）。</w:t>
      </w:r>
    </w:p>
    <w:p w14:paraId="11D9CCF4">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各有关部门（单位）要深入学习贯彻习近平新时代中国特色社会主义思想和党的十九大精神，认真做好衔接落实工作，及时调整本部门（单位）行政许可事项目录和权责清单，承接的行政许可事项要全部进驻政务服务中心办理，并及时完善行政审批事项业务手册和办事指南。各有关部门（单位）要切实加强监督指导和业务培训，对承接管理层级下放的事项，要规范权力运行流程，提高行政效率；对改变管理方式的行政许可事项，要减少申请材料，优化办理流程，不得再以审批方式进行管理；对受委托实施的行政许可事项，要严格按照委托机关要求实施审批；对相关事项涉及规范性文件的，要按照规定程序抓紧修改完善。各有关部门（单位）要按照鲁政发〔2018〕35号和淄政字〔2019〕24号等文件要求，及时制定衔接方案，做好衔接工作。各有关部门（单位）承接落实情况请于5月底前报区政府审改办。</w:t>
      </w:r>
      <w:r>
        <w:rPr>
          <w:rFonts w:hint="eastAsia" w:ascii="仿宋_GB2312" w:hAnsi="仿宋_GB2312" w:eastAsia="仿宋_GB2312" w:cs="仿宋_GB2312"/>
          <w:kern w:val="2"/>
          <w:sz w:val="32"/>
          <w:szCs w:val="32"/>
          <w:lang w:val="en-US" w:eastAsia="zh-CN" w:bidi="ar-SA"/>
        </w:rPr>
        <w:br w:type="textWrapping"/>
      </w:r>
      <w:r>
        <w:rPr>
          <w:rFonts w:hint="eastAsia" w:ascii="仿宋_GB2312" w:hAnsi="仿宋_GB2312" w:eastAsia="仿宋_GB2312" w:cs="仿宋_GB2312"/>
          <w:kern w:val="2"/>
          <w:sz w:val="32"/>
          <w:szCs w:val="32"/>
          <w:lang w:val="en-US" w:eastAsia="zh-CN" w:bidi="ar-SA"/>
        </w:rPr>
        <w:t>    </w:t>
      </w:r>
    </w:p>
    <w:p w14:paraId="556FA676">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附件:1.根据省政府、市政府文件对应调整的区级行政权力事项目录</w:t>
      </w:r>
    </w:p>
    <w:p w14:paraId="45ABD27C">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2.承接省、市下放的行政权力事项目</w:t>
      </w:r>
    </w:p>
    <w:p w14:paraId="6F0D7893">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jc w:val="righ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w:t>
      </w:r>
    </w:p>
    <w:p w14:paraId="068F587D">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jc w:val="center"/>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博山区人民政府</w:t>
      </w:r>
    </w:p>
    <w:p w14:paraId="3B38E417">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jc w:val="center"/>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2019年4月18日</w:t>
      </w:r>
    </w:p>
    <w:p w14:paraId="053E5F51">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jc w:val="both"/>
        <w:textAlignment w:val="auto"/>
        <w:rPr>
          <w:rFonts w:hint="eastAsia" w:ascii="仿宋_GB2312" w:hAnsi="仿宋_GB2312" w:eastAsia="仿宋_GB2312" w:cs="仿宋_GB2312"/>
          <w:kern w:val="2"/>
          <w:sz w:val="32"/>
          <w:szCs w:val="32"/>
          <w:lang w:val="en-US" w:eastAsia="zh-CN" w:bidi="ar-SA"/>
        </w:rPr>
      </w:pPr>
    </w:p>
    <w:p w14:paraId="09FCEA67">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ind w:left="0" w:firstLine="640" w:firstLineChars="200"/>
        <w:jc w:val="both"/>
        <w:textAlignment w:val="auto"/>
        <w:rPr>
          <w:rFonts w:hint="eastAsia" w:ascii="仿宋_GB2312" w:hAnsi="仿宋_GB2312" w:eastAsia="仿宋_GB2312" w:cs="仿宋_GB2312"/>
          <w:sz w:val="32"/>
          <w:szCs w:val="32"/>
        </w:rPr>
      </w:pPr>
    </w:p>
    <w:p w14:paraId="188679CC">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ind w:left="0" w:firstLine="640" w:firstLineChars="200"/>
        <w:jc w:val="both"/>
        <w:textAlignment w:val="auto"/>
        <w:rPr>
          <w:rFonts w:hint="eastAsia" w:ascii="仿宋_GB2312" w:hAnsi="仿宋_GB2312" w:eastAsia="仿宋_GB2312" w:cs="仿宋_GB2312"/>
          <w:sz w:val="32"/>
          <w:szCs w:val="32"/>
        </w:rPr>
      </w:pPr>
    </w:p>
    <w:p w14:paraId="6D90FA52">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ind w:left="0" w:firstLine="640" w:firstLineChars="200"/>
        <w:jc w:val="both"/>
        <w:textAlignment w:val="auto"/>
        <w:rPr>
          <w:rFonts w:hint="eastAsia" w:ascii="仿宋_GB2312" w:hAnsi="仿宋_GB2312" w:eastAsia="仿宋_GB2312" w:cs="仿宋_GB2312"/>
          <w:sz w:val="32"/>
          <w:szCs w:val="32"/>
        </w:rPr>
      </w:pPr>
    </w:p>
    <w:p w14:paraId="242404F0">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ind w:left="0" w:firstLine="640" w:firstLineChars="200"/>
        <w:jc w:val="both"/>
        <w:textAlignment w:val="auto"/>
        <w:rPr>
          <w:rFonts w:hint="eastAsia" w:ascii="仿宋_GB2312" w:hAnsi="仿宋_GB2312" w:eastAsia="仿宋_GB2312" w:cs="仿宋_GB2312"/>
          <w:sz w:val="32"/>
          <w:szCs w:val="32"/>
        </w:rPr>
      </w:pPr>
    </w:p>
    <w:p w14:paraId="54A5042E">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ind w:left="0" w:firstLine="640" w:firstLineChars="200"/>
        <w:jc w:val="both"/>
        <w:textAlignment w:val="auto"/>
        <w:rPr>
          <w:rFonts w:hint="eastAsia" w:ascii="仿宋_GB2312" w:hAnsi="仿宋_GB2312" w:eastAsia="仿宋_GB2312" w:cs="仿宋_GB2312"/>
          <w:sz w:val="32"/>
          <w:szCs w:val="32"/>
        </w:rPr>
      </w:pPr>
    </w:p>
    <w:p w14:paraId="368728B3">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ind w:left="0" w:firstLine="640" w:firstLineChars="200"/>
        <w:jc w:val="both"/>
        <w:textAlignment w:val="auto"/>
        <w:rPr>
          <w:rFonts w:hint="eastAsia" w:ascii="仿宋_GB2312" w:hAnsi="仿宋_GB2312" w:eastAsia="仿宋_GB2312" w:cs="仿宋_GB2312"/>
          <w:sz w:val="32"/>
          <w:szCs w:val="32"/>
        </w:rPr>
      </w:pPr>
    </w:p>
    <w:p w14:paraId="1057B348">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ind w:left="0" w:firstLine="640" w:firstLineChars="200"/>
        <w:jc w:val="both"/>
        <w:textAlignment w:val="auto"/>
        <w:rPr>
          <w:rFonts w:hint="eastAsia" w:ascii="仿宋_GB2312" w:hAnsi="仿宋_GB2312" w:eastAsia="仿宋_GB2312" w:cs="仿宋_GB2312"/>
          <w:sz w:val="32"/>
          <w:szCs w:val="32"/>
        </w:rPr>
      </w:pPr>
    </w:p>
    <w:p w14:paraId="143C8AF1">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ind w:left="0" w:firstLine="640" w:firstLineChars="200"/>
        <w:jc w:val="both"/>
        <w:textAlignment w:val="auto"/>
        <w:rPr>
          <w:rFonts w:hint="eastAsia" w:ascii="仿宋_GB2312" w:hAnsi="仿宋_GB2312" w:eastAsia="仿宋_GB2312" w:cs="仿宋_GB2312"/>
          <w:sz w:val="32"/>
          <w:szCs w:val="32"/>
        </w:rPr>
      </w:pPr>
    </w:p>
    <w:p w14:paraId="1ED2ADCD">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ind w:left="0" w:firstLine="640" w:firstLineChars="200"/>
        <w:jc w:val="both"/>
        <w:textAlignment w:val="auto"/>
        <w:rPr>
          <w:rFonts w:hint="eastAsia" w:ascii="仿宋_GB2312" w:hAnsi="仿宋_GB2312" w:eastAsia="仿宋_GB2312" w:cs="仿宋_GB2312"/>
          <w:sz w:val="32"/>
          <w:szCs w:val="32"/>
        </w:rPr>
      </w:pPr>
    </w:p>
    <w:p w14:paraId="570677E9">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附件1 </w:t>
      </w:r>
    </w:p>
    <w:p w14:paraId="5DC0D8D7">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jc w:val="both"/>
        <w:textAlignment w:val="auto"/>
        <w:rPr>
          <w:rFonts w:hint="eastAsia" w:ascii="仿宋_GB2312" w:hAnsi="仿宋_GB2312" w:eastAsia="仿宋_GB2312" w:cs="仿宋_GB2312"/>
          <w:kern w:val="2"/>
          <w:sz w:val="32"/>
          <w:szCs w:val="32"/>
          <w:lang w:val="en-US" w:eastAsia="zh-CN" w:bidi="ar-SA"/>
        </w:rPr>
      </w:pPr>
    </w:p>
    <w:p w14:paraId="25C94A1B">
      <w:pPr>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根据省政府、市政府文件对应调整的区级行政权力事项目录</w:t>
      </w:r>
    </w:p>
    <w:p w14:paraId="7DACE159">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ind w:left="0" w:firstLine="640" w:firstLineChars="200"/>
        <w:jc w:val="center"/>
        <w:textAlignment w:val="auto"/>
        <w:rPr>
          <w:rFonts w:hint="eastAsia" w:ascii="仿宋_GB2312" w:hAnsi="仿宋_GB2312" w:eastAsia="仿宋_GB2312" w:cs="仿宋_GB2312"/>
          <w:sz w:val="32"/>
          <w:szCs w:val="32"/>
        </w:rPr>
      </w:pPr>
    </w:p>
    <w:p w14:paraId="217853A1">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ind w:lef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59264" behindDoc="1" locked="0" layoutInCell="1" allowOverlap="1">
            <wp:simplePos x="0" y="0"/>
            <wp:positionH relativeFrom="column">
              <wp:posOffset>-181610</wp:posOffset>
            </wp:positionH>
            <wp:positionV relativeFrom="paragraph">
              <wp:posOffset>110490</wp:posOffset>
            </wp:positionV>
            <wp:extent cx="6434455" cy="2918460"/>
            <wp:effectExtent l="0" t="0" r="4445" b="15240"/>
            <wp:wrapTight wrapText="bothSides">
              <wp:wrapPolygon>
                <wp:start x="0" y="0"/>
                <wp:lineTo x="0" y="21431"/>
                <wp:lineTo x="21551" y="21431"/>
                <wp:lineTo x="21551" y="0"/>
                <wp:lineTo x="0" y="0"/>
              </wp:wrapPolygon>
            </wp:wrapTight>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4"/>
                    <a:stretch>
                      <a:fillRect/>
                    </a:stretch>
                  </pic:blipFill>
                  <pic:spPr>
                    <a:xfrm>
                      <a:off x="0" y="0"/>
                      <a:ext cx="6434455" cy="2918460"/>
                    </a:xfrm>
                    <a:prstGeom prst="rect">
                      <a:avLst/>
                    </a:prstGeom>
                    <a:noFill/>
                    <a:ln w="9525">
                      <a:noFill/>
                    </a:ln>
                  </pic:spPr>
                </pic:pic>
              </a:graphicData>
            </a:graphic>
          </wp:anchor>
        </w:drawing>
      </w:r>
    </w:p>
    <w:p w14:paraId="11A02119">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ind w:left="0" w:firstLine="640" w:firstLineChars="200"/>
        <w:jc w:val="both"/>
        <w:textAlignment w:val="auto"/>
        <w:rPr>
          <w:rFonts w:hint="eastAsia" w:ascii="仿宋_GB2312" w:hAnsi="仿宋_GB2312" w:eastAsia="仿宋_GB2312" w:cs="仿宋_GB2312"/>
          <w:sz w:val="32"/>
          <w:szCs w:val="32"/>
        </w:rPr>
      </w:pPr>
    </w:p>
    <w:p w14:paraId="5E9C4E58">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ind w:left="0" w:firstLine="640" w:firstLineChars="200"/>
        <w:jc w:val="both"/>
        <w:textAlignment w:val="auto"/>
        <w:rPr>
          <w:rFonts w:hint="eastAsia" w:ascii="仿宋_GB2312" w:hAnsi="仿宋_GB2312" w:eastAsia="仿宋_GB2312" w:cs="仿宋_GB2312"/>
          <w:sz w:val="32"/>
          <w:szCs w:val="32"/>
        </w:rPr>
      </w:pPr>
    </w:p>
    <w:p w14:paraId="064D7E5C">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jc w:val="both"/>
        <w:textAlignment w:val="auto"/>
        <w:rPr>
          <w:rFonts w:hint="eastAsia" w:ascii="仿宋_GB2312" w:hAnsi="仿宋_GB2312" w:eastAsia="仿宋_GB2312" w:cs="仿宋_GB2312"/>
          <w:sz w:val="32"/>
          <w:szCs w:val="32"/>
        </w:rPr>
      </w:pPr>
    </w:p>
    <w:p w14:paraId="6BAABC1E">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ind w:left="0" w:firstLine="640" w:firstLineChars="200"/>
        <w:jc w:val="both"/>
        <w:textAlignment w:val="auto"/>
        <w:rPr>
          <w:rFonts w:hint="eastAsia" w:ascii="仿宋_GB2312" w:hAnsi="仿宋_GB2312" w:eastAsia="仿宋_GB2312" w:cs="仿宋_GB2312"/>
          <w:sz w:val="32"/>
          <w:szCs w:val="32"/>
        </w:rPr>
      </w:pPr>
    </w:p>
    <w:p w14:paraId="34C4D3F8">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ind w:left="0" w:firstLine="640" w:firstLineChars="200"/>
        <w:jc w:val="both"/>
        <w:textAlignment w:val="auto"/>
        <w:rPr>
          <w:rFonts w:hint="eastAsia" w:ascii="仿宋_GB2312" w:hAnsi="仿宋_GB2312" w:eastAsia="仿宋_GB2312" w:cs="仿宋_GB2312"/>
          <w:sz w:val="32"/>
          <w:szCs w:val="32"/>
        </w:rPr>
      </w:pPr>
    </w:p>
    <w:p w14:paraId="37194630">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ind w:left="0" w:firstLine="640" w:firstLineChars="200"/>
        <w:jc w:val="both"/>
        <w:textAlignment w:val="auto"/>
        <w:rPr>
          <w:rFonts w:hint="eastAsia" w:ascii="仿宋_GB2312" w:hAnsi="仿宋_GB2312" w:eastAsia="仿宋_GB2312" w:cs="仿宋_GB2312"/>
          <w:sz w:val="32"/>
          <w:szCs w:val="32"/>
        </w:rPr>
        <w:sectPr>
          <w:pgSz w:w="11906" w:h="16838"/>
          <w:pgMar w:top="2098" w:right="1474" w:bottom="1984" w:left="1587" w:header="851" w:footer="992" w:gutter="0"/>
          <w:cols w:space="0" w:num="1"/>
          <w:rtlGutter w:val="0"/>
          <w:docGrid w:type="lines" w:linePitch="312" w:charSpace="0"/>
        </w:sectPr>
      </w:pPr>
    </w:p>
    <w:p w14:paraId="32A0CAF3">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附件2</w:t>
      </w:r>
    </w:p>
    <w:p w14:paraId="1B42CF52">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p>
    <w:p w14:paraId="7FFC79DB">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承接省、市下放的行政权力事项目录</w:t>
      </w:r>
    </w:p>
    <w:p w14:paraId="75113824">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p>
    <w:p w14:paraId="3676185E">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jc w:val="center"/>
        <w:textAlignment w:val="auto"/>
        <w:rPr>
          <w:rFonts w:hint="default" w:ascii="方正小标宋简体" w:hAnsi="方正小标宋简体" w:eastAsia="方正小标宋简体" w:cs="方正小标宋简体"/>
          <w:kern w:val="2"/>
          <w:sz w:val="44"/>
          <w:szCs w:val="44"/>
          <w:lang w:val="en-US" w:eastAsia="zh-CN" w:bidi="ar-SA"/>
        </w:rPr>
        <w:sectPr>
          <w:pgSz w:w="11906" w:h="16838"/>
          <w:pgMar w:top="2098" w:right="1474" w:bottom="1984" w:left="1587" w:header="851" w:footer="992" w:gutter="0"/>
          <w:cols w:space="0" w:num="1"/>
          <w:rtlGutter w:val="0"/>
          <w:docGrid w:type="lines" w:linePitch="312" w:charSpace="0"/>
        </w:sectPr>
      </w:pPr>
      <w:r>
        <w:rPr>
          <w:rFonts w:hint="default" w:ascii="方正小标宋简体" w:hAnsi="方正小标宋简体" w:eastAsia="方正小标宋简体" w:cs="方正小标宋简体"/>
          <w:kern w:val="2"/>
          <w:sz w:val="44"/>
          <w:szCs w:val="44"/>
          <w:lang w:val="en-US" w:eastAsia="zh-CN" w:bidi="ar-SA"/>
        </w:rPr>
        <w:drawing>
          <wp:anchor distT="0" distB="0" distL="114300" distR="114300" simplePos="0" relativeHeight="251660288" behindDoc="0" locked="0" layoutInCell="1" allowOverlap="1">
            <wp:simplePos x="0" y="0"/>
            <wp:positionH relativeFrom="column">
              <wp:posOffset>-95250</wp:posOffset>
            </wp:positionH>
            <wp:positionV relativeFrom="paragraph">
              <wp:posOffset>16510</wp:posOffset>
            </wp:positionV>
            <wp:extent cx="5852795" cy="6459855"/>
            <wp:effectExtent l="0" t="0" r="14605" b="17145"/>
            <wp:wrapNone/>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5"/>
                    <a:srcRect l="-339" t="322" r="1120" b="47760"/>
                    <a:stretch>
                      <a:fillRect/>
                    </a:stretch>
                  </pic:blipFill>
                  <pic:spPr>
                    <a:xfrm>
                      <a:off x="0" y="0"/>
                      <a:ext cx="5852795" cy="6459855"/>
                    </a:xfrm>
                    <a:prstGeom prst="rect">
                      <a:avLst/>
                    </a:prstGeom>
                    <a:noFill/>
                    <a:ln w="9525">
                      <a:noFill/>
                    </a:ln>
                  </pic:spPr>
                </pic:pic>
              </a:graphicData>
            </a:graphic>
          </wp:anchor>
        </w:drawing>
      </w:r>
      <w:r>
        <w:rPr>
          <w:rFonts w:hint="default" w:ascii="方正小标宋简体" w:hAnsi="方正小标宋简体" w:eastAsia="方正小标宋简体" w:cs="方正小标宋简体"/>
          <w:kern w:val="2"/>
          <w:sz w:val="44"/>
          <w:szCs w:val="44"/>
          <w:lang w:val="en-US" w:eastAsia="zh-CN" w:bidi="ar-SA"/>
        </w:rPr>
        <w:drawing>
          <wp:inline distT="0" distB="0" distL="114300" distR="114300">
            <wp:extent cx="9144000" cy="19269075"/>
            <wp:effectExtent l="0" t="0" r="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6"/>
                    <a:stretch>
                      <a:fillRect/>
                    </a:stretch>
                  </pic:blipFill>
                  <pic:spPr>
                    <a:xfrm>
                      <a:off x="0" y="0"/>
                      <a:ext cx="9144000" cy="19269075"/>
                    </a:xfrm>
                    <a:prstGeom prst="rect">
                      <a:avLst/>
                    </a:prstGeom>
                    <a:noFill/>
                    <a:ln w="9525">
                      <a:noFill/>
                    </a:ln>
                  </pic:spPr>
                </pic:pic>
              </a:graphicData>
            </a:graphic>
          </wp:inline>
        </w:drawing>
      </w:r>
    </w:p>
    <w:p w14:paraId="207309EF">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76" w:lineRule="exact"/>
        <w:jc w:val="center"/>
        <w:textAlignment w:val="auto"/>
        <w:rPr>
          <w:rFonts w:hint="default" w:ascii="方正小标宋简体" w:hAnsi="方正小标宋简体" w:eastAsia="方正小标宋简体" w:cs="方正小标宋简体"/>
          <w:kern w:val="2"/>
          <w:sz w:val="44"/>
          <w:szCs w:val="44"/>
          <w:lang w:val="en-US" w:eastAsia="zh-CN" w:bidi="ar-SA"/>
        </w:rPr>
      </w:pPr>
      <w:r>
        <w:drawing>
          <wp:anchor distT="0" distB="0" distL="114300" distR="114300" simplePos="0" relativeHeight="251661312" behindDoc="0" locked="0" layoutInCell="1" allowOverlap="1">
            <wp:simplePos x="0" y="0"/>
            <wp:positionH relativeFrom="column">
              <wp:posOffset>-240030</wp:posOffset>
            </wp:positionH>
            <wp:positionV relativeFrom="paragraph">
              <wp:posOffset>930910</wp:posOffset>
            </wp:positionV>
            <wp:extent cx="6158865" cy="6295390"/>
            <wp:effectExtent l="0" t="0" r="13335" b="1016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a:stretch>
                      <a:fillRect/>
                    </a:stretch>
                  </pic:blipFill>
                  <pic:spPr>
                    <a:xfrm>
                      <a:off x="0" y="0"/>
                      <a:ext cx="6158865" cy="6295390"/>
                    </a:xfrm>
                    <a:prstGeom prst="rect">
                      <a:avLst/>
                    </a:prstGeom>
                    <a:noFill/>
                    <a:ln>
                      <a:noFill/>
                    </a:ln>
                  </pic:spPr>
                </pic:pic>
              </a:graphicData>
            </a:graphic>
          </wp:anchor>
        </w:drawing>
      </w:r>
    </w:p>
    <w:sectPr>
      <w:pgSz w:w="11906" w:h="16838"/>
      <w:pgMar w:top="2098" w:right="1474" w:bottom="1984" w:left="158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CA179F"/>
    <w:rsid w:val="1ABD7B6C"/>
    <w:rsid w:val="34072EFA"/>
    <w:rsid w:val="3AB41E4F"/>
    <w:rsid w:val="454105AC"/>
    <w:rsid w:val="60C53352"/>
    <w:rsid w:val="62F12662"/>
    <w:rsid w:val="652C4DE8"/>
    <w:rsid w:val="65C464D9"/>
    <w:rsid w:val="6E8360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NUL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134</Words>
  <Characters>145</Characters>
  <Lines>0</Lines>
  <Paragraphs>0</Paragraphs>
  <TotalTime>12</TotalTime>
  <ScaleCrop>false</ScaleCrop>
  <LinksUpToDate>false</LinksUpToDate>
  <CharactersWithSpaces>220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2025-07-08T07:07:00Z</dcterms:created>
  <dc:creator>Administrator</dc:creator>
  <cp:lastModifiedBy>浅忆</cp:lastModifiedBy>
  <dcterms:modified xsi:type="dcterms:W3CDTF">2026-02-05T03:26:27Z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32010E90887544198F692D5752B0F39B_13</vt:lpwstr>
  </property>
  <property fmtid="{D5CDD505-2E9C-101B-9397-08002B2CF9AE}" pid="4" name="KSOTemplateDocerSaveRecord">
    <vt:lpwstr>eyJoZGlkIjoiMWM3MDZkN2I1ODgwYTY3ODRhNTJlMGMwNTUyNjE4MWEiLCJ1c2VySWQiOiIzMjYzNTMyNTAifQ==</vt:lpwstr>
  </property>
</Properties>
</file>