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512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p>
    <w:p w14:paraId="40EF53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880" w:firstLineChars="20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highlight w:val="none"/>
          <w:shd w:val="clear" w:color="auto" w:fill="FFFFFF"/>
          <w:lang w:val="en-US" w:eastAsia="zh-CN"/>
        </w:rPr>
        <w:t>博山区</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源泉镇人民政府</w:t>
      </w:r>
    </w:p>
    <w:p w14:paraId="5E515D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812" w:firstLineChars="20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17"/>
          <w:sz w:val="44"/>
          <w:szCs w:val="44"/>
          <w:shd w:val="clear" w:color="auto" w:fill="FFFFFF"/>
          <w:lang w:val="en-US" w:eastAsia="zh-CN"/>
        </w:rPr>
        <w:t>2024年</w:t>
      </w:r>
      <w:r>
        <w:rPr>
          <w:rFonts w:hint="eastAsia" w:ascii="方正小标宋简体" w:hAnsi="方正小标宋简体" w:eastAsia="方正小标宋简体" w:cs="方正小标宋简体"/>
          <w:b w:val="0"/>
          <w:bCs/>
          <w:i w:val="0"/>
          <w:caps w:val="0"/>
          <w:color w:val="333333"/>
          <w:spacing w:val="-17"/>
          <w:sz w:val="44"/>
          <w:szCs w:val="44"/>
          <w:shd w:val="clear" w:color="auto" w:fill="FFFFFF"/>
        </w:rPr>
        <w:t>政府信息公开工作</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年度报告</w:t>
      </w:r>
    </w:p>
    <w:p w14:paraId="76F02F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both"/>
        <w:textAlignment w:val="auto"/>
        <w:rPr>
          <w:rFonts w:hint="eastAsia" w:ascii="宋体" w:hAnsi="宋体" w:eastAsia="宋体" w:cs="宋体"/>
          <w:i w:val="0"/>
          <w:caps w:val="0"/>
          <w:color w:val="333333"/>
          <w:spacing w:val="0"/>
          <w:sz w:val="24"/>
          <w:szCs w:val="24"/>
        </w:rPr>
      </w:pPr>
    </w:p>
    <w:p w14:paraId="32BFF6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both"/>
        <w:textAlignment w:val="auto"/>
        <w:rPr>
          <w:rFonts w:hint="eastAsia" w:ascii="宋体" w:hAnsi="宋体" w:eastAsia="宋体" w:cs="宋体"/>
          <w:i w:val="0"/>
          <w:caps w:val="0"/>
          <w:color w:val="333333"/>
          <w:spacing w:val="0"/>
          <w:sz w:val="24"/>
          <w:szCs w:val="24"/>
        </w:rPr>
      </w:pPr>
    </w:p>
    <w:p w14:paraId="200D64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本年度报告中所列数据的统计期限自202</w:t>
      </w:r>
      <w:r>
        <w:rPr>
          <w:rFonts w:hint="eastAsia" w:ascii="仿宋_GB2312" w:hAnsi="仿宋_GB2312" w:eastAsia="仿宋_GB2312" w:cs="仿宋_GB2312"/>
          <w:i w:val="0"/>
          <w:caps w:val="0"/>
          <w:color w:val="000000"/>
          <w:spacing w:val="0"/>
          <w:sz w:val="32"/>
          <w:szCs w:val="32"/>
          <w:lang w:val="en-US" w:eastAsia="zh-CN"/>
        </w:rPr>
        <w:t>4</w:t>
      </w:r>
      <w:r>
        <w:rPr>
          <w:rFonts w:hint="eastAsia" w:ascii="仿宋_GB2312" w:hAnsi="仿宋_GB2312" w:eastAsia="仿宋_GB2312" w:cs="仿宋_GB2312"/>
          <w:i w:val="0"/>
          <w:caps w:val="0"/>
          <w:color w:val="000000"/>
          <w:spacing w:val="0"/>
          <w:sz w:val="32"/>
          <w:szCs w:val="32"/>
          <w:lang w:eastAsia="zh-CN"/>
        </w:rPr>
        <w:t>年1月1日起，至202</w:t>
      </w:r>
      <w:r>
        <w:rPr>
          <w:rFonts w:hint="eastAsia" w:ascii="仿宋_GB2312" w:hAnsi="仿宋_GB2312" w:eastAsia="仿宋_GB2312" w:cs="仿宋_GB2312"/>
          <w:i w:val="0"/>
          <w:caps w:val="0"/>
          <w:color w:val="000000"/>
          <w:spacing w:val="0"/>
          <w:sz w:val="32"/>
          <w:szCs w:val="32"/>
          <w:lang w:val="en-US" w:eastAsia="zh-CN"/>
        </w:rPr>
        <w:t>4</w:t>
      </w:r>
      <w:r>
        <w:rPr>
          <w:rFonts w:hint="eastAsia" w:ascii="仿宋_GB2312" w:hAnsi="仿宋_GB2312" w:eastAsia="仿宋_GB2312" w:cs="仿宋_GB2312"/>
          <w:i w:val="0"/>
          <w:caps w:val="0"/>
          <w:color w:val="000000"/>
          <w:spacing w:val="0"/>
          <w:sz w:val="32"/>
          <w:szCs w:val="32"/>
          <w:lang w:eastAsia="zh-CN"/>
        </w:rPr>
        <w:t>年12月31日止。如对报告内容有疑问，请与</w:t>
      </w:r>
      <w:r>
        <w:rPr>
          <w:rFonts w:hint="eastAsia" w:ascii="仿宋_GB2312" w:hAnsi="仿宋_GB2312" w:eastAsia="仿宋_GB2312" w:cs="仿宋_GB2312"/>
          <w:i w:val="0"/>
          <w:caps w:val="0"/>
          <w:color w:val="000000"/>
          <w:spacing w:val="0"/>
          <w:sz w:val="32"/>
          <w:szCs w:val="32"/>
          <w:highlight w:val="none"/>
          <w:lang w:val="en-US" w:eastAsia="zh-CN"/>
        </w:rPr>
        <w:t>博山区</w:t>
      </w:r>
      <w:r>
        <w:rPr>
          <w:rFonts w:hint="eastAsia" w:ascii="仿宋_GB2312" w:hAnsi="仿宋_GB2312" w:eastAsia="仿宋_GB2312" w:cs="仿宋_GB2312"/>
          <w:i w:val="0"/>
          <w:caps w:val="0"/>
          <w:color w:val="000000"/>
          <w:spacing w:val="0"/>
          <w:sz w:val="32"/>
          <w:szCs w:val="32"/>
          <w:lang w:val="en-US" w:eastAsia="zh-CN"/>
        </w:rPr>
        <w:t>源泉镇人民政府</w:t>
      </w:r>
      <w:r>
        <w:rPr>
          <w:rFonts w:hint="eastAsia" w:ascii="仿宋_GB2312" w:hAnsi="仿宋_GB2312" w:eastAsia="仿宋_GB2312" w:cs="仿宋_GB2312"/>
          <w:i w:val="0"/>
          <w:caps w:val="0"/>
          <w:color w:val="000000"/>
          <w:spacing w:val="0"/>
          <w:sz w:val="32"/>
          <w:szCs w:val="32"/>
          <w:lang w:eastAsia="zh-CN"/>
        </w:rPr>
        <w:t>联系（地址：博山区源泉镇源东村；邮编：</w:t>
      </w:r>
      <w:r>
        <w:rPr>
          <w:rFonts w:hint="eastAsia" w:ascii="仿宋_GB2312" w:hAnsi="仿宋_GB2312" w:eastAsia="仿宋_GB2312" w:cs="仿宋_GB2312"/>
          <w:i w:val="0"/>
          <w:caps w:val="0"/>
          <w:color w:val="000000"/>
          <w:spacing w:val="0"/>
          <w:sz w:val="32"/>
          <w:szCs w:val="32"/>
          <w:lang w:val="en-US" w:eastAsia="zh-CN"/>
        </w:rPr>
        <w:t>255204</w:t>
      </w:r>
      <w:r>
        <w:rPr>
          <w:rFonts w:hint="eastAsia" w:ascii="仿宋_GB2312" w:hAnsi="仿宋_GB2312" w:eastAsia="仿宋_GB2312" w:cs="仿宋_GB2312"/>
          <w:i w:val="0"/>
          <w:caps w:val="0"/>
          <w:color w:val="000000"/>
          <w:spacing w:val="0"/>
          <w:sz w:val="32"/>
          <w:szCs w:val="32"/>
          <w:lang w:eastAsia="zh-CN"/>
        </w:rPr>
        <w:t>；电话：</w:t>
      </w:r>
      <w:r>
        <w:rPr>
          <w:rFonts w:hint="eastAsia" w:ascii="仿宋_GB2312" w:hAnsi="仿宋_GB2312" w:eastAsia="仿宋_GB2312" w:cs="仿宋_GB2312"/>
          <w:i w:val="0"/>
          <w:caps w:val="0"/>
          <w:color w:val="000000"/>
          <w:spacing w:val="0"/>
          <w:sz w:val="32"/>
          <w:szCs w:val="32"/>
          <w:lang w:val="en-US" w:eastAsia="zh-CN"/>
        </w:rPr>
        <w:t>0533-4810046</w:t>
      </w:r>
      <w:r>
        <w:rPr>
          <w:rFonts w:hint="eastAsia" w:ascii="仿宋_GB2312" w:hAnsi="仿宋_GB2312" w:eastAsia="仿宋_GB2312" w:cs="仿宋_GB2312"/>
          <w:i w:val="0"/>
          <w:caps w:val="0"/>
          <w:color w:val="000000"/>
          <w:spacing w:val="0"/>
          <w:sz w:val="32"/>
          <w:szCs w:val="32"/>
          <w:lang w:eastAsia="zh-CN"/>
        </w:rPr>
        <w:t>；电子邮箱：</w:t>
      </w:r>
      <w:r>
        <w:rPr>
          <w:rFonts w:hint="eastAsia" w:ascii="仿宋_GB2312" w:hAnsi="仿宋_GB2312" w:eastAsia="仿宋_GB2312" w:cs="仿宋_GB2312"/>
          <w:i w:val="0"/>
          <w:caps w:val="0"/>
          <w:color w:val="000000"/>
          <w:spacing w:val="0"/>
          <w:sz w:val="32"/>
          <w:szCs w:val="32"/>
          <w:lang w:val="en-US" w:eastAsia="zh-CN"/>
        </w:rPr>
        <w:t>yqzdzb4810046@163.com</w:t>
      </w:r>
      <w:r>
        <w:rPr>
          <w:rFonts w:hint="eastAsia" w:ascii="仿宋_GB2312" w:hAnsi="仿宋_GB2312" w:eastAsia="仿宋_GB2312" w:cs="仿宋_GB2312"/>
          <w:i w:val="0"/>
          <w:caps w:val="0"/>
          <w:color w:val="000000"/>
          <w:spacing w:val="0"/>
          <w:sz w:val="32"/>
          <w:szCs w:val="32"/>
          <w:lang w:eastAsia="zh-CN"/>
        </w:rPr>
        <w:t>）。</w:t>
      </w:r>
    </w:p>
    <w:p w14:paraId="7B529D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643" w:firstLineChars="20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color="auto" w:fill="FFFFFF"/>
        </w:rPr>
        <w:t>一、总体情况</w:t>
      </w:r>
    </w:p>
    <w:p w14:paraId="792D8256">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eastAsia="仿宋_GB2312"/>
          <w:sz w:val="32"/>
          <w:szCs w:val="32"/>
          <w:lang w:val="en-US" w:eastAsia="zh-CN"/>
        </w:rPr>
        <w:t>2024年，源泉镇人民政府</w:t>
      </w:r>
      <w:r>
        <w:rPr>
          <w:rFonts w:hint="eastAsia" w:ascii="仿宋_GB2312" w:eastAsia="仿宋_GB2312" w:cs="Times New Roman"/>
          <w:sz w:val="32"/>
          <w:szCs w:val="32"/>
          <w:lang w:val="en-US" w:eastAsia="zh-CN"/>
        </w:rPr>
        <w:t>严格贯彻落实《中华人民共和国政府信息公开条例》，认</w:t>
      </w:r>
      <w:r>
        <w:rPr>
          <w:rFonts w:hint="eastAsia" w:ascii="仿宋_GB2312" w:eastAsia="仿宋_GB2312"/>
          <w:sz w:val="32"/>
          <w:szCs w:val="32"/>
        </w:rPr>
        <w:t>真贯彻落实政务公开工作要点，</w:t>
      </w:r>
      <w:bookmarkStart w:id="9" w:name="_GoBack"/>
      <w:bookmarkEnd w:id="9"/>
      <w:r>
        <w:rPr>
          <w:rFonts w:hint="eastAsia" w:ascii="仿宋_GB2312" w:eastAsia="仿宋_GB2312"/>
          <w:sz w:val="32"/>
          <w:szCs w:val="32"/>
        </w:rPr>
        <w:t>不断完善工作机制、拓展公开渠道、强化队伍建设</w:t>
      </w:r>
      <w:r>
        <w:rPr>
          <w:rFonts w:hint="eastAsia" w:ascii="仿宋_GB2312" w:eastAsia="仿宋_GB2312"/>
          <w:sz w:val="32"/>
          <w:szCs w:val="32"/>
          <w:lang w:eastAsia="zh-CN"/>
        </w:rPr>
        <w:t>、</w:t>
      </w:r>
      <w:r>
        <w:rPr>
          <w:rFonts w:hint="eastAsia" w:ascii="仿宋_GB2312" w:eastAsia="仿宋_GB2312"/>
          <w:sz w:val="32"/>
          <w:szCs w:val="32"/>
        </w:rPr>
        <w:t>优化公开服务</w:t>
      </w:r>
      <w:r>
        <w:rPr>
          <w:rFonts w:hint="eastAsia" w:ascii="仿宋_GB2312" w:eastAsia="仿宋_GB2312"/>
          <w:sz w:val="32"/>
          <w:szCs w:val="32"/>
          <w:lang w:eastAsia="zh-CN"/>
        </w:rPr>
        <w:t>，</w:t>
      </w:r>
      <w:r>
        <w:rPr>
          <w:rFonts w:hint="eastAsia" w:ascii="仿宋_GB2312" w:eastAsia="仿宋_GB2312"/>
          <w:sz w:val="32"/>
          <w:szCs w:val="32"/>
        </w:rPr>
        <w:t>努力提升</w:t>
      </w:r>
      <w:r>
        <w:rPr>
          <w:rFonts w:hint="eastAsia" w:ascii="仿宋_GB2312" w:eastAsia="仿宋_GB2312"/>
          <w:sz w:val="32"/>
          <w:szCs w:val="32"/>
          <w:lang w:val="en-US" w:eastAsia="zh-CN"/>
        </w:rPr>
        <w:t>镇政府</w:t>
      </w:r>
      <w:r>
        <w:rPr>
          <w:rFonts w:hint="eastAsia" w:ascii="仿宋_GB2312" w:eastAsia="仿宋_GB2312"/>
          <w:sz w:val="32"/>
          <w:szCs w:val="32"/>
        </w:rPr>
        <w:t>政务公开质效，推进政务公开标准化、规范化建设。</w:t>
      </w:r>
    </w:p>
    <w:p w14:paraId="0651F29E">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lang w:val="en-US" w:eastAsia="zh-CN"/>
        </w:rPr>
        <w:t>1.加强主动公开。</w:t>
      </w:r>
      <w:r>
        <w:rPr>
          <w:rFonts w:hint="eastAsia" w:ascii="仿宋_GB2312" w:eastAsia="仿宋_GB2312"/>
          <w:sz w:val="32"/>
          <w:szCs w:val="32"/>
          <w:lang w:val="en-US" w:eastAsia="zh-CN"/>
        </w:rPr>
        <w:t>镇政府紧紧围绕上级文件和“以公开为常态、不公开为例外”等工作要求，持续推进政务公开工作，不断加大政府信息主动公开力度，突出做好机构职能、政府工作报告、行政执法公示、建议提案办理等。2024年全年源泉镇通过博山区政府网站共主动公开信息88条。</w:t>
      </w:r>
    </w:p>
    <w:p w14:paraId="229293CE">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000000"/>
          <w:sz w:val="32"/>
          <w:szCs w:val="32"/>
          <w:lang w:val="en-US" w:eastAsia="zh-CN"/>
        </w:rPr>
        <w:t>2.规范</w:t>
      </w:r>
      <w:r>
        <w:rPr>
          <w:rFonts w:ascii="楷体_GB2312" w:hAnsi="宋体" w:eastAsia="楷体_GB2312" w:cs="楷体_GB2312"/>
          <w:i w:val="0"/>
          <w:iCs w:val="0"/>
          <w:caps w:val="0"/>
          <w:color w:val="000000"/>
          <w:spacing w:val="0"/>
          <w:sz w:val="32"/>
          <w:szCs w:val="32"/>
          <w:shd w:val="clear" w:fill="FFFFFF"/>
        </w:rPr>
        <w:t>依申请公开工作</w:t>
      </w:r>
      <w:r>
        <w:rPr>
          <w:rFonts w:hint="eastAsia" w:ascii="楷体_GB2312" w:hAnsi="楷体_GB2312" w:eastAsia="楷体_GB2312" w:cs="楷体_GB2312"/>
          <w:color w:val="000000"/>
          <w:sz w:val="32"/>
          <w:szCs w:val="32"/>
          <w:lang w:val="en-US" w:eastAsia="zh-CN"/>
        </w:rPr>
        <w:t>。2</w:t>
      </w:r>
      <w:r>
        <w:rPr>
          <w:rFonts w:hint="eastAsia" w:ascii="仿宋_GB2312" w:eastAsia="仿宋_GB2312"/>
          <w:sz w:val="32"/>
          <w:szCs w:val="32"/>
        </w:rPr>
        <w:t>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eastAsia="zh-CN"/>
        </w:rPr>
        <w:t>我</w:t>
      </w:r>
      <w:r>
        <w:rPr>
          <w:rFonts w:hint="eastAsia" w:ascii="仿宋_GB2312" w:eastAsia="仿宋_GB2312"/>
          <w:sz w:val="32"/>
          <w:szCs w:val="32"/>
          <w:lang w:val="en-US" w:eastAsia="zh-CN"/>
        </w:rPr>
        <w:t>镇</w:t>
      </w:r>
      <w:r>
        <w:rPr>
          <w:rFonts w:hint="eastAsia" w:ascii="仿宋_GB2312" w:eastAsia="仿宋_GB2312"/>
          <w:sz w:val="32"/>
          <w:szCs w:val="32"/>
        </w:rPr>
        <w:t>共收到政府信息公开申请</w:t>
      </w:r>
      <w:r>
        <w:rPr>
          <w:rFonts w:hint="eastAsia" w:ascii="仿宋_GB2312" w:eastAsia="仿宋_GB2312"/>
          <w:sz w:val="32"/>
          <w:szCs w:val="32"/>
          <w:lang w:val="en-US" w:eastAsia="zh-CN"/>
        </w:rPr>
        <w:t>0件</w:t>
      </w:r>
      <w:r>
        <w:rPr>
          <w:rFonts w:hint="eastAsia" w:ascii="仿宋_GB2312" w:eastAsia="仿宋_GB2312"/>
          <w:sz w:val="32"/>
          <w:szCs w:val="32"/>
        </w:rPr>
        <w:t>。</w:t>
      </w:r>
      <w:r>
        <w:rPr>
          <w:rFonts w:hint="eastAsia" w:ascii="仿宋_GB2312" w:eastAsia="仿宋_GB2312"/>
          <w:sz w:val="32"/>
          <w:szCs w:val="32"/>
          <w:lang w:val="en-US" w:eastAsia="zh-CN"/>
        </w:rPr>
        <w:t>与2023年相比，今年未新增依申请公开件。</w:t>
      </w:r>
    </w:p>
    <w:p w14:paraId="1A4424FB">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000000"/>
          <w:sz w:val="32"/>
          <w:szCs w:val="32"/>
          <w:lang w:val="en-US" w:eastAsia="zh-CN"/>
        </w:rPr>
        <w:t>3.强化政府信息管理。</w:t>
      </w:r>
      <w:r>
        <w:rPr>
          <w:rFonts w:hint="eastAsia" w:ascii="仿宋_GB2312" w:hAnsi="仿宋_GB2312" w:eastAsia="仿宋_GB2312" w:cs="仿宋_GB2312"/>
          <w:sz w:val="32"/>
          <w:szCs w:val="32"/>
          <w:highlight w:val="none"/>
          <w:lang w:val="en-US" w:eastAsia="zh-CN"/>
        </w:rPr>
        <w:t>镇政府</w:t>
      </w:r>
      <w:r>
        <w:rPr>
          <w:rFonts w:hint="eastAsia" w:ascii="仿宋_GB2312" w:hAnsi="仿宋_GB2312" w:eastAsia="仿宋_GB2312" w:cs="仿宋_GB2312"/>
          <w:i w:val="0"/>
          <w:caps w:val="0"/>
          <w:color w:val="000000"/>
          <w:spacing w:val="0"/>
          <w:sz w:val="32"/>
          <w:szCs w:val="32"/>
          <w:shd w:val="clear" w:color="auto" w:fill="FFFFFF"/>
          <w:lang w:eastAsia="zh-CN"/>
        </w:rPr>
        <w:t>不断完善规范信息审核发布机制，充分发挥</w:t>
      </w:r>
      <w:r>
        <w:rPr>
          <w:rFonts w:hint="eastAsia" w:ascii="仿宋_GB2312" w:hAnsi="仿宋_GB2312" w:eastAsia="仿宋_GB2312" w:cs="仿宋_GB2312"/>
          <w:i w:val="0"/>
          <w:caps w:val="0"/>
          <w:color w:val="000000"/>
          <w:spacing w:val="0"/>
          <w:sz w:val="32"/>
          <w:szCs w:val="32"/>
          <w:shd w:val="clear" w:color="auto" w:fill="FFFFFF"/>
          <w:lang w:val="en-US" w:eastAsia="zh-CN"/>
        </w:rPr>
        <w:t>镇</w:t>
      </w:r>
      <w:r>
        <w:rPr>
          <w:rFonts w:hint="eastAsia" w:ascii="仿宋_GB2312" w:hAnsi="仿宋_GB2312" w:eastAsia="仿宋_GB2312" w:cs="仿宋_GB2312"/>
          <w:i w:val="0"/>
          <w:caps w:val="0"/>
          <w:color w:val="000000"/>
          <w:spacing w:val="0"/>
          <w:sz w:val="32"/>
          <w:szCs w:val="32"/>
          <w:shd w:val="clear" w:color="auto" w:fill="FFFFFF"/>
          <w:lang w:eastAsia="zh-CN"/>
        </w:rPr>
        <w:t>职能部门主体责任，切实落实网站信息发布内容“三审三校”制，对不合格信息内容及时退回。坚决杜绝出现站点无法访问、栏目不更新、表述含糊不清等问题。同时，坚持“涉密信息不公开、敏感信息不上网、隐私信息要遮掩”原则，严把网站隐私信息安全关口，确保上网信息准确、真实，不发生泄密、隐私信息上网等问题。</w:t>
      </w:r>
    </w:p>
    <w:p w14:paraId="2DCEC2B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bCs/>
          <w:color w:val="FF0000"/>
          <w:sz w:val="32"/>
          <w:szCs w:val="32"/>
          <w:lang w:eastAsia="zh-CN"/>
        </w:rPr>
      </w:pPr>
      <w:r>
        <w:rPr>
          <w:rFonts w:hint="eastAsia" w:ascii="楷体_GB2312" w:hAnsi="楷体_GB2312" w:eastAsia="楷体_GB2312" w:cs="楷体_GB2312"/>
          <w:color w:val="000000"/>
          <w:sz w:val="32"/>
          <w:szCs w:val="32"/>
          <w:lang w:val="en-US" w:eastAsia="zh-CN"/>
        </w:rPr>
        <w:t>4.</w:t>
      </w:r>
      <w:r>
        <w:rPr>
          <w:rFonts w:ascii="楷体_GB2312" w:hAnsi="宋体" w:eastAsia="楷体_GB2312" w:cs="楷体_GB2312"/>
          <w:i w:val="0"/>
          <w:iCs w:val="0"/>
          <w:caps w:val="0"/>
          <w:color w:val="000000"/>
          <w:spacing w:val="0"/>
          <w:sz w:val="32"/>
          <w:szCs w:val="32"/>
          <w:shd w:val="clear" w:fill="FFFFFF"/>
        </w:rPr>
        <w:t>完善政府信息公开平台建设</w:t>
      </w:r>
      <w:r>
        <w:rPr>
          <w:rFonts w:hint="eastAsia" w:ascii="楷体_GB2312" w:hAnsi="楷体_GB2312" w:eastAsia="楷体_GB2312" w:cs="楷体_GB2312"/>
          <w:color w:val="000000"/>
          <w:sz w:val="32"/>
          <w:szCs w:val="32"/>
          <w:lang w:val="en-US" w:eastAsia="zh-CN"/>
        </w:rPr>
        <w:t>。</w:t>
      </w:r>
      <w:r>
        <w:rPr>
          <w:rFonts w:hint="eastAsia" w:ascii="楷体_GB2312" w:hAnsi="楷体_GB2312" w:eastAsia="楷体_GB2312" w:cs="楷体_GB2312"/>
          <w:color w:val="000000"/>
          <w:sz w:val="32"/>
          <w:szCs w:val="32"/>
          <w:highlight w:val="none"/>
          <w:lang w:val="en-US" w:eastAsia="zh-CN"/>
        </w:rPr>
        <w:t>2024</w:t>
      </w:r>
      <w:r>
        <w:rPr>
          <w:rFonts w:hint="eastAsia" w:ascii="仿宋_GB2312" w:hAnsi="仿宋_GB2312" w:eastAsia="仿宋_GB2312" w:cs="仿宋_GB2312"/>
          <w:sz w:val="32"/>
          <w:szCs w:val="32"/>
          <w:highlight w:val="none"/>
          <w:lang w:val="en-US" w:eastAsia="zh-CN"/>
        </w:rPr>
        <w:t>年度镇政府</w:t>
      </w:r>
      <w:r>
        <w:rPr>
          <w:rFonts w:hint="eastAsia" w:ascii="仿宋_GB2312" w:hAnsi="仿宋_GB2312" w:eastAsia="仿宋_GB2312" w:cs="仿宋_GB2312"/>
          <w:i w:val="0"/>
          <w:caps w:val="0"/>
          <w:color w:val="000000"/>
          <w:spacing w:val="0"/>
          <w:sz w:val="32"/>
          <w:szCs w:val="32"/>
          <w:shd w:val="clear" w:color="auto" w:fill="FFFFFF"/>
        </w:rPr>
        <w:t>依托</w:t>
      </w:r>
      <w:r>
        <w:rPr>
          <w:rFonts w:hint="eastAsia" w:ascii="仿宋_GB2312" w:hAnsi="宋体" w:eastAsia="仿宋_GB2312" w:cs="仿宋_GB2312"/>
          <w:i w:val="0"/>
          <w:iCs w:val="0"/>
          <w:caps w:val="0"/>
          <w:color w:val="000000"/>
          <w:spacing w:val="0"/>
          <w:sz w:val="32"/>
          <w:szCs w:val="32"/>
          <w:highlight w:val="none"/>
          <w:lang w:val="en-US" w:eastAsia="zh-CN"/>
        </w:rPr>
        <w:t>微信公众号</w:t>
      </w:r>
      <w:r>
        <w:rPr>
          <w:rFonts w:ascii="仿宋_GB2312" w:hAnsi="宋体" w:eastAsia="仿宋_GB2312" w:cs="仿宋_GB2312"/>
          <w:i w:val="0"/>
          <w:iCs w:val="0"/>
          <w:caps w:val="0"/>
          <w:color w:val="000000"/>
          <w:spacing w:val="0"/>
          <w:sz w:val="32"/>
          <w:szCs w:val="32"/>
          <w:highlight w:val="none"/>
        </w:rPr>
        <w:t>“秀美山川幸福源泉”</w:t>
      </w:r>
      <w:r>
        <w:rPr>
          <w:rFonts w:hint="eastAsia" w:ascii="仿宋_GB2312" w:hAnsi="宋体" w:eastAsia="仿宋_GB2312" w:cs="仿宋_GB2312"/>
          <w:i w:val="0"/>
          <w:iCs w:val="0"/>
          <w:caps w:val="0"/>
          <w:color w:val="000000"/>
          <w:spacing w:val="0"/>
          <w:sz w:val="32"/>
          <w:szCs w:val="32"/>
          <w:highlight w:val="none"/>
          <w:lang w:eastAsia="zh-CN"/>
        </w:rPr>
        <w:t>、</w:t>
      </w:r>
      <w:r>
        <w:rPr>
          <w:rFonts w:hint="eastAsia" w:ascii="仿宋_GB2312" w:hAnsi="宋体" w:eastAsia="仿宋_GB2312" w:cs="仿宋_GB2312"/>
          <w:i w:val="0"/>
          <w:iCs w:val="0"/>
          <w:caps w:val="0"/>
          <w:color w:val="000000"/>
          <w:spacing w:val="0"/>
          <w:sz w:val="32"/>
          <w:szCs w:val="32"/>
          <w:lang w:val="en-US" w:eastAsia="zh-CN"/>
        </w:rPr>
        <w:t>抖音号“源泉镇欢迎您”等载体，</w:t>
      </w:r>
      <w:r>
        <w:rPr>
          <w:rFonts w:hint="eastAsia" w:ascii="仿宋_GB2312" w:eastAsia="仿宋_GB2312"/>
          <w:sz w:val="32"/>
          <w:szCs w:val="32"/>
        </w:rPr>
        <w:t>加大工作宣传报道</w:t>
      </w:r>
      <w:r>
        <w:rPr>
          <w:rFonts w:hint="eastAsia" w:ascii="仿宋_GB2312" w:eastAsia="仿宋_GB2312"/>
          <w:sz w:val="32"/>
          <w:szCs w:val="32"/>
          <w:lang w:val="en-US" w:eastAsia="zh-CN"/>
        </w:rPr>
        <w:t>的</w:t>
      </w:r>
      <w:r>
        <w:rPr>
          <w:rFonts w:hint="eastAsia" w:ascii="仿宋_GB2312" w:eastAsia="仿宋_GB2312"/>
          <w:sz w:val="32"/>
          <w:szCs w:val="32"/>
        </w:rPr>
        <w:t>力度</w:t>
      </w:r>
      <w:r>
        <w:rPr>
          <w:rFonts w:hint="eastAsia" w:ascii="仿宋_GB2312" w:eastAsia="仿宋_GB2312"/>
          <w:sz w:val="32"/>
          <w:szCs w:val="32"/>
          <w:lang w:eastAsia="zh-CN"/>
        </w:rPr>
        <w:t>。</w:t>
      </w:r>
      <w:r>
        <w:rPr>
          <w:rFonts w:hint="eastAsia" w:ascii="仿宋_GB2312" w:eastAsia="仿宋_GB2312"/>
          <w:sz w:val="32"/>
          <w:szCs w:val="32"/>
        </w:rPr>
        <w:t>按照规范优化政务新媒体建设与管理工作有关要求</w:t>
      </w:r>
      <w:r>
        <w:rPr>
          <w:rFonts w:hint="eastAsia" w:ascii="仿宋_GB2312" w:eastAsia="仿宋_GB2312"/>
          <w:sz w:val="32"/>
          <w:szCs w:val="32"/>
          <w:lang w:eastAsia="zh-CN"/>
        </w:rPr>
        <w:t>，</w:t>
      </w:r>
      <w:r>
        <w:rPr>
          <w:rFonts w:hint="eastAsia" w:ascii="仿宋_GB2312" w:eastAsia="仿宋_GB2312"/>
          <w:sz w:val="32"/>
          <w:szCs w:val="32"/>
          <w:lang w:val="en-US" w:eastAsia="zh-CN"/>
        </w:rPr>
        <w:t>关停公众号、抖音号后，2025年在博山区官方微信订阅号“博山政务”、“博山好”APP，继续发布镇各项工作动态</w:t>
      </w:r>
      <w:r>
        <w:rPr>
          <w:rFonts w:hint="eastAsia" w:ascii="仿宋_GB2312" w:eastAsia="仿宋_GB2312"/>
          <w:sz w:val="32"/>
          <w:szCs w:val="32"/>
          <w:lang w:eastAsia="zh-CN"/>
        </w:rPr>
        <w:t>。同时，推动政务公开与政务服务深度融合，</w:t>
      </w:r>
      <w:r>
        <w:rPr>
          <w:rFonts w:hint="eastAsia" w:ascii="仿宋_GB2312" w:eastAsia="仿宋_GB2312"/>
          <w:sz w:val="32"/>
          <w:szCs w:val="32"/>
        </w:rPr>
        <w:t>在</w:t>
      </w:r>
      <w:r>
        <w:rPr>
          <w:rFonts w:hint="eastAsia" w:ascii="仿宋_GB2312" w:eastAsia="仿宋_GB2312"/>
          <w:sz w:val="32"/>
          <w:szCs w:val="32"/>
          <w:lang w:val="en-US" w:eastAsia="zh-CN"/>
        </w:rPr>
        <w:t>镇政府</w:t>
      </w:r>
      <w:r>
        <w:rPr>
          <w:rFonts w:hint="eastAsia" w:ascii="仿宋_GB2312" w:eastAsia="仿宋_GB2312"/>
          <w:sz w:val="32"/>
          <w:szCs w:val="32"/>
        </w:rPr>
        <w:t>便民服务大厅设立了政务公开专区，</w:t>
      </w:r>
      <w:r>
        <w:rPr>
          <w:rFonts w:hint="eastAsia" w:ascii="仿宋_GB2312" w:eastAsia="仿宋_GB2312"/>
          <w:sz w:val="32"/>
          <w:szCs w:val="32"/>
          <w:lang w:eastAsia="zh-CN"/>
        </w:rPr>
        <w:t>既可查询政务公开内容，又可搜索政务服务办理事项、办事指南等，</w:t>
      </w:r>
      <w:r>
        <w:rPr>
          <w:rFonts w:hint="eastAsia" w:ascii="仿宋_GB2312" w:eastAsia="仿宋_GB2312"/>
          <w:sz w:val="32"/>
          <w:szCs w:val="32"/>
        </w:rPr>
        <w:t>并配备</w:t>
      </w:r>
      <w:r>
        <w:rPr>
          <w:rFonts w:hint="eastAsia" w:ascii="仿宋_GB2312" w:eastAsia="仿宋_GB2312"/>
          <w:sz w:val="32"/>
          <w:szCs w:val="32"/>
          <w:lang w:val="en-US" w:eastAsia="zh-CN"/>
        </w:rPr>
        <w:t>专门工作</w:t>
      </w:r>
      <w:r>
        <w:rPr>
          <w:rFonts w:hint="eastAsia" w:ascii="仿宋_GB2312" w:eastAsia="仿宋_GB2312"/>
          <w:sz w:val="32"/>
          <w:szCs w:val="32"/>
        </w:rPr>
        <w:t>人员，提供办事咨询答复等服务</w:t>
      </w:r>
      <w:r>
        <w:rPr>
          <w:rFonts w:hint="eastAsia" w:ascii="仿宋_GB2312" w:eastAsia="仿宋_GB2312"/>
          <w:sz w:val="32"/>
          <w:szCs w:val="32"/>
          <w:lang w:eastAsia="zh-CN"/>
        </w:rPr>
        <w:t>，</w:t>
      </w:r>
      <w:r>
        <w:rPr>
          <w:rFonts w:hint="eastAsia" w:ascii="仿宋_GB2312" w:eastAsia="仿宋_GB2312"/>
          <w:sz w:val="32"/>
          <w:szCs w:val="32"/>
        </w:rPr>
        <w:t>真正打通便民服务“最后一米”</w:t>
      </w:r>
      <w:r>
        <w:rPr>
          <w:rFonts w:hint="eastAsia" w:ascii="仿宋_GB2312" w:eastAsia="仿宋_GB2312"/>
          <w:sz w:val="32"/>
          <w:szCs w:val="32"/>
          <w:lang w:eastAsia="zh-CN"/>
        </w:rPr>
        <w:t>，</w:t>
      </w:r>
      <w:r>
        <w:rPr>
          <w:rFonts w:hint="eastAsia" w:ascii="仿宋_GB2312" w:eastAsia="仿宋_GB2312"/>
          <w:sz w:val="32"/>
          <w:szCs w:val="32"/>
        </w:rPr>
        <w:t>为政府信息公开深入</w:t>
      </w:r>
      <w:r>
        <w:rPr>
          <w:rFonts w:hint="eastAsia" w:ascii="仿宋_GB2312" w:eastAsia="仿宋_GB2312"/>
          <w:sz w:val="32"/>
          <w:szCs w:val="32"/>
          <w:lang w:val="en-US" w:eastAsia="zh-CN"/>
        </w:rPr>
        <w:t>村</w:t>
      </w:r>
      <w:r>
        <w:rPr>
          <w:rFonts w:hint="eastAsia" w:ascii="仿宋_GB2312" w:eastAsia="仿宋_GB2312"/>
          <w:sz w:val="32"/>
          <w:szCs w:val="32"/>
        </w:rPr>
        <w:t>、深入居民提供了更加有利的平台。</w:t>
      </w:r>
    </w:p>
    <w:p w14:paraId="7D3A47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2"/>
          <w:sz w:val="32"/>
          <w:szCs w:val="32"/>
          <w:lang w:val="en-US" w:eastAsia="zh-CN" w:bidi="ar-SA"/>
        </w:rPr>
        <w:t>5.落实监督保障职能。</w:t>
      </w:r>
      <w:r>
        <w:rPr>
          <w:rFonts w:hint="eastAsia" w:ascii="仿宋_GB2312" w:hAnsi="仿宋_GB2312" w:eastAsia="仿宋_GB2312" w:cs="仿宋_GB2312"/>
          <w:sz w:val="32"/>
          <w:szCs w:val="32"/>
          <w:highlight w:val="none"/>
          <w:lang w:val="en-US" w:eastAsia="zh-CN"/>
        </w:rPr>
        <w:t>明确政府信息公开工作分管领导和工作机构，落实分工，细化责任，强化工作人员信息公开意识，严格按照政府信息公开发布制度和流程，保障政府信息公开工作的顺利推进。</w:t>
      </w:r>
      <w:r>
        <w:rPr>
          <w:rFonts w:hint="eastAsia" w:ascii="仿宋_GB2312" w:hAnsi="Calibri" w:eastAsia="仿宋_GB2312" w:cs="Times New Roman"/>
          <w:kern w:val="2"/>
          <w:sz w:val="32"/>
          <w:szCs w:val="32"/>
          <w:lang w:val="en-US" w:eastAsia="zh-CN" w:bidi="ar-SA"/>
        </w:rPr>
        <w:t>政务公开工作由镇党政办牵头，负责推进、协调、指导全镇政务公开工作，全面做好政务公开工作的督促和指导工作。为加强政务公开人员的“内功”修炼，提升业务能力，源泉镇集中组织便民服务大厅和相关部门工作人员开展政务公开交流培训，针对政务公开日常工作中遇到的疑点、难点问题进行剖析、讲解。</w:t>
      </w:r>
    </w:p>
    <w:p w14:paraId="09D37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二、主动公开政府信息情况</w:t>
      </w:r>
    </w:p>
    <w:tbl>
      <w:tblPr>
        <w:tblStyle w:val="3"/>
        <w:tblW w:w="8824" w:type="dxa"/>
        <w:jc w:val="center"/>
        <w:tblLayout w:type="fixed"/>
        <w:tblCellMar>
          <w:top w:w="0" w:type="dxa"/>
          <w:left w:w="108" w:type="dxa"/>
          <w:bottom w:w="0" w:type="dxa"/>
          <w:right w:w="108" w:type="dxa"/>
        </w:tblCellMar>
      </w:tblPr>
      <w:tblGrid>
        <w:gridCol w:w="2206"/>
        <w:gridCol w:w="2206"/>
        <w:gridCol w:w="2206"/>
        <w:gridCol w:w="2206"/>
      </w:tblGrid>
      <w:tr w14:paraId="35CB66E0">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61D059D2">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11436076">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2D6A7AC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14:paraId="495DBA8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14:paraId="37C71F1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14:paraId="7DA480E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6B428636">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0CD01BF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14:paraId="3D5A3BD6">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noWrap w:val="0"/>
            <w:vAlign w:val="center"/>
          </w:tcPr>
          <w:p w14:paraId="11EEA870">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noWrap w:val="0"/>
            <w:vAlign w:val="center"/>
          </w:tcPr>
          <w:p w14:paraId="7F82BD67">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r>
      <w:tr w14:paraId="7277DE47">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2B0F195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14:paraId="494592DE">
            <w:pPr>
              <w:widowControl/>
              <w:jc w:val="center"/>
              <w:rPr>
                <w:rFonts w:hint="default"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noWrap w:val="0"/>
            <w:vAlign w:val="center"/>
          </w:tcPr>
          <w:p w14:paraId="5D6B1983">
            <w:pPr>
              <w:widowControl/>
              <w:jc w:val="center"/>
              <w:rPr>
                <w:rFonts w:hint="default"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noWrap w:val="0"/>
            <w:vAlign w:val="center"/>
          </w:tcPr>
          <w:p w14:paraId="153D2F0D">
            <w:pPr>
              <w:widowControl/>
              <w:jc w:val="center"/>
              <w:rPr>
                <w:rFonts w:hint="eastAsia" w:ascii="仿宋_GB2312" w:hAnsi="Calibri" w:eastAsia="仿宋_GB2312" w:cs="Calibri"/>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r>
      <w:tr w14:paraId="3F54FE72">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1B659B9F">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574A9EE2">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041C973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4263232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07749EC7">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03E0103D">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14:paraId="1315AE7C">
            <w:pPr>
              <w:widowControl/>
              <w:jc w:val="center"/>
              <w:rPr>
                <w:rFonts w:hint="default"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r w14:paraId="66444FA1">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4AF906C8">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5F121F1D">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54CB52F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01BE520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00AAF8DA">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30379F0D">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14:paraId="6A4AB2A5">
            <w:pPr>
              <w:widowControl/>
              <w:jc w:val="center"/>
              <w:rPr>
                <w:rFonts w:hint="default" w:ascii="仿宋_GB2312" w:hAnsi="Calibri" w:eastAsia="仿宋_GB2312" w:cs="Calibri"/>
                <w:color w:val="000000" w:themeColor="text1"/>
                <w:kern w:val="0"/>
                <w:szCs w:val="21"/>
                <w:lang w:val="en-US" w:eastAsia="zh-CN"/>
                <w14:textFill>
                  <w14:solidFill>
                    <w14:schemeClr w14:val="tx1"/>
                  </w14:solidFill>
                </w14:textFill>
              </w:rPr>
            </w:pPr>
            <w:r>
              <w:rPr>
                <w:rFonts w:hint="eastAsia" w:ascii="仿宋_GB2312" w:eastAsia="仿宋_GB2312" w:cs="Calibri"/>
                <w:color w:val="000000" w:themeColor="text1"/>
                <w:kern w:val="0"/>
                <w:szCs w:val="21"/>
                <w:lang w:val="en-US" w:eastAsia="zh-CN"/>
                <w14:textFill>
                  <w14:solidFill>
                    <w14:schemeClr w14:val="tx1"/>
                  </w14:solidFill>
                </w14:textFill>
              </w:rPr>
              <w:t>0</w:t>
            </w:r>
          </w:p>
        </w:tc>
      </w:tr>
      <w:tr w14:paraId="50DE99BE">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16C4E73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14:paraId="0ECC1FA0">
            <w:pPr>
              <w:widowControl/>
              <w:jc w:val="center"/>
              <w:rPr>
                <w:rFonts w:hint="default" w:ascii="仿宋_GB2312" w:hAnsi="Calibri" w:eastAsia="仿宋_GB2312" w:cs="Calibri"/>
                <w:color w:val="000000" w:themeColor="text1"/>
                <w:kern w:val="0"/>
                <w:szCs w:val="21"/>
                <w:lang w:val="en-US" w:eastAsia="zh-CN"/>
                <w14:textFill>
                  <w14:solidFill>
                    <w14:schemeClr w14:val="tx1"/>
                  </w14:solidFill>
                </w14:textFill>
              </w:rPr>
            </w:pPr>
            <w:r>
              <w:rPr>
                <w:rFonts w:hint="eastAsia" w:ascii="仿宋_GB2312" w:eastAsia="仿宋_GB2312" w:cs="Calibri"/>
                <w:color w:val="000000" w:themeColor="text1"/>
                <w:kern w:val="0"/>
                <w:szCs w:val="21"/>
                <w:lang w:val="en-US" w:eastAsia="zh-CN"/>
                <w14:textFill>
                  <w14:solidFill>
                    <w14:schemeClr w14:val="tx1"/>
                  </w14:solidFill>
                </w14:textFill>
              </w:rPr>
              <w:t>0</w:t>
            </w:r>
          </w:p>
        </w:tc>
      </w:tr>
      <w:tr w14:paraId="2103170C">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173C74BC">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4836EA25">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13A2E49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41967AD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154B129B">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2CA130A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14:paraId="2B5083E9">
            <w:pPr>
              <w:widowControl/>
              <w:jc w:val="center"/>
              <w:rPr>
                <w:rFonts w:hint="default"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bl>
    <w:p w14:paraId="77516974">
      <w:pPr>
        <w:ind w:firstLine="640" w:firstLineChars="200"/>
        <w:rPr>
          <w:rFonts w:hint="eastAsia" w:ascii="黑体" w:hAnsi="黑体" w:eastAsia="黑体" w:cs="黑体"/>
          <w:b w:val="0"/>
          <w:bCs/>
          <w:i w:val="0"/>
          <w:caps w:val="0"/>
          <w:color w:val="333333"/>
          <w:spacing w:val="0"/>
          <w:kern w:val="0"/>
          <w:sz w:val="32"/>
          <w:szCs w:val="32"/>
          <w:shd w:val="clear" w:color="auto" w:fill="FFFFFF"/>
          <w:lang w:val="en-US" w:eastAsia="zh-CN" w:bidi="ar"/>
        </w:rPr>
      </w:pPr>
      <w:r>
        <w:rPr>
          <w:rFonts w:hint="eastAsia" w:ascii="黑体" w:hAnsi="黑体" w:eastAsia="黑体" w:cs="黑体"/>
          <w:b w:val="0"/>
          <w:bCs/>
          <w:i w:val="0"/>
          <w:caps w:val="0"/>
          <w:color w:val="333333"/>
          <w:spacing w:val="0"/>
          <w:kern w:val="0"/>
          <w:sz w:val="32"/>
          <w:szCs w:val="32"/>
          <w:shd w:val="clear" w:color="auto" w:fill="FFFFFF"/>
          <w:lang w:val="en-US" w:eastAsia="zh-CN" w:bidi="ar"/>
        </w:rPr>
        <w:t>三、收到和处理政府信息公开申请情况</w:t>
      </w:r>
    </w:p>
    <w:tbl>
      <w:tblPr>
        <w:tblStyle w:val="3"/>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14:paraId="17F16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14:paraId="42046420">
            <w:pPr>
              <w:widowControl/>
              <w:ind w:firstLine="420" w:firstLineChars="200"/>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7882219E">
            <w:pPr>
              <w:widowControl/>
              <w:ind w:firstLine="420" w:firstLineChars="200"/>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noWrap w:val="0"/>
            <w:tcMar>
              <w:left w:w="108" w:type="dxa"/>
              <w:right w:w="108" w:type="dxa"/>
            </w:tcMar>
            <w:vAlign w:val="center"/>
          </w:tcPr>
          <w:p w14:paraId="213469E6">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29DCC7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14:paraId="16286D70">
            <w:pPr>
              <w:jc w:val="center"/>
              <w:rPr>
                <w:rFonts w:ascii="仿宋_GB2312" w:hAnsi="Times New Roman" w:eastAsia="仿宋_GB2312"/>
                <w:szCs w:val="21"/>
              </w:rPr>
            </w:pPr>
          </w:p>
        </w:tc>
        <w:tc>
          <w:tcPr>
            <w:tcW w:w="747" w:type="dxa"/>
            <w:vMerge w:val="restart"/>
            <w:noWrap w:val="0"/>
            <w:tcMar>
              <w:left w:w="108" w:type="dxa"/>
              <w:right w:w="108" w:type="dxa"/>
            </w:tcMar>
            <w:vAlign w:val="center"/>
          </w:tcPr>
          <w:p w14:paraId="6AEEFE13">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noWrap w:val="0"/>
            <w:tcMar>
              <w:left w:w="108" w:type="dxa"/>
              <w:right w:w="108" w:type="dxa"/>
            </w:tcMar>
            <w:vAlign w:val="center"/>
          </w:tcPr>
          <w:p w14:paraId="06C76A2B">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noWrap w:val="0"/>
            <w:tcMar>
              <w:left w:w="108" w:type="dxa"/>
              <w:right w:w="108" w:type="dxa"/>
            </w:tcMar>
            <w:vAlign w:val="center"/>
          </w:tcPr>
          <w:p w14:paraId="3CB56F81">
            <w:pPr>
              <w:widowControl/>
              <w:jc w:val="center"/>
              <w:rPr>
                <w:rFonts w:ascii="黑体" w:hAnsi="黑体" w:eastAsia="黑体"/>
                <w:szCs w:val="21"/>
              </w:rPr>
            </w:pPr>
            <w:r>
              <w:rPr>
                <w:rFonts w:hint="eastAsia" w:ascii="黑体" w:hAnsi="黑体" w:eastAsia="黑体"/>
                <w:kern w:val="0"/>
                <w:szCs w:val="21"/>
              </w:rPr>
              <w:t>总计</w:t>
            </w:r>
          </w:p>
        </w:tc>
      </w:tr>
      <w:tr w14:paraId="1D41B4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14:paraId="35E0C00C">
            <w:pPr>
              <w:jc w:val="center"/>
              <w:rPr>
                <w:rFonts w:ascii="仿宋_GB2312" w:hAnsi="Times New Roman" w:eastAsia="仿宋_GB2312"/>
                <w:szCs w:val="21"/>
              </w:rPr>
            </w:pPr>
          </w:p>
        </w:tc>
        <w:tc>
          <w:tcPr>
            <w:tcW w:w="747" w:type="dxa"/>
            <w:vMerge w:val="continue"/>
            <w:noWrap w:val="0"/>
            <w:tcMar>
              <w:left w:w="108" w:type="dxa"/>
              <w:right w:w="108" w:type="dxa"/>
            </w:tcMar>
            <w:vAlign w:val="center"/>
          </w:tcPr>
          <w:p w14:paraId="799D37C6">
            <w:pPr>
              <w:jc w:val="center"/>
              <w:rPr>
                <w:rFonts w:ascii="黑体" w:hAnsi="黑体" w:eastAsia="黑体"/>
                <w:szCs w:val="21"/>
              </w:rPr>
            </w:pPr>
          </w:p>
        </w:tc>
        <w:tc>
          <w:tcPr>
            <w:tcW w:w="540" w:type="dxa"/>
            <w:gridSpan w:val="2"/>
            <w:noWrap w:val="0"/>
            <w:tcMar>
              <w:left w:w="108" w:type="dxa"/>
              <w:right w:w="108" w:type="dxa"/>
            </w:tcMar>
            <w:vAlign w:val="center"/>
          </w:tcPr>
          <w:p w14:paraId="1CD694DC">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noWrap w:val="0"/>
            <w:tcMar>
              <w:left w:w="108" w:type="dxa"/>
              <w:right w:w="108" w:type="dxa"/>
            </w:tcMar>
            <w:vAlign w:val="center"/>
          </w:tcPr>
          <w:p w14:paraId="260C9C87">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noWrap w:val="0"/>
            <w:tcMar>
              <w:left w:w="108" w:type="dxa"/>
              <w:right w:w="108" w:type="dxa"/>
            </w:tcMar>
            <w:vAlign w:val="center"/>
          </w:tcPr>
          <w:p w14:paraId="5908D10B">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noWrap w:val="0"/>
            <w:tcMar>
              <w:left w:w="108" w:type="dxa"/>
              <w:right w:w="108" w:type="dxa"/>
            </w:tcMar>
            <w:vAlign w:val="center"/>
          </w:tcPr>
          <w:p w14:paraId="5AF1A104">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noWrap w:val="0"/>
            <w:tcMar>
              <w:left w:w="108" w:type="dxa"/>
              <w:right w:w="108" w:type="dxa"/>
            </w:tcMar>
            <w:vAlign w:val="center"/>
          </w:tcPr>
          <w:p w14:paraId="063F0215">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noWrap w:val="0"/>
            <w:tcMar>
              <w:left w:w="108" w:type="dxa"/>
              <w:right w:w="108" w:type="dxa"/>
            </w:tcMar>
            <w:vAlign w:val="center"/>
          </w:tcPr>
          <w:p w14:paraId="1D2AE420">
            <w:pPr>
              <w:jc w:val="center"/>
              <w:rPr>
                <w:rFonts w:ascii="仿宋_GB2312" w:hAnsi="Times New Roman" w:eastAsia="仿宋_GB2312"/>
                <w:szCs w:val="21"/>
              </w:rPr>
            </w:pPr>
          </w:p>
        </w:tc>
      </w:tr>
      <w:tr w14:paraId="1D8D7A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0658A8BE">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noWrap w:val="0"/>
            <w:tcMar>
              <w:left w:w="108" w:type="dxa"/>
              <w:right w:w="108" w:type="dxa"/>
            </w:tcMar>
            <w:vAlign w:val="center"/>
          </w:tcPr>
          <w:p w14:paraId="5F0983F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7102BE0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1E92165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2878B56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5F47848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411B48A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545CB13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454740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7B83B9F7">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noWrap w:val="0"/>
            <w:tcMar>
              <w:left w:w="108" w:type="dxa"/>
              <w:right w:w="108" w:type="dxa"/>
            </w:tcMar>
            <w:vAlign w:val="center"/>
          </w:tcPr>
          <w:p w14:paraId="594C9AB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403985D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1EF0872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0A5067E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188676D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136B08D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7C68E79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77C0B5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14:paraId="249A08B8">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14:paraId="0994436A">
            <w:pPr>
              <w:widowControl/>
              <w:rPr>
                <w:rFonts w:ascii="黑体" w:hAnsi="黑体" w:eastAsia="黑体"/>
                <w:szCs w:val="21"/>
              </w:rPr>
            </w:pPr>
            <w:r>
              <w:rPr>
                <w:rFonts w:hint="eastAsia" w:ascii="黑体" w:hAnsi="黑体" w:eastAsia="黑体"/>
                <w:kern w:val="0"/>
                <w:szCs w:val="21"/>
              </w:rPr>
              <w:t>（一）予以公开</w:t>
            </w:r>
          </w:p>
        </w:tc>
        <w:tc>
          <w:tcPr>
            <w:tcW w:w="752" w:type="dxa"/>
            <w:gridSpan w:val="2"/>
            <w:noWrap w:val="0"/>
            <w:tcMar>
              <w:left w:w="108" w:type="dxa"/>
              <w:right w:w="108" w:type="dxa"/>
            </w:tcMar>
            <w:vAlign w:val="center"/>
          </w:tcPr>
          <w:p w14:paraId="3A4F4CD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3D6FB62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35" w:type="dxa"/>
            <w:noWrap w:val="0"/>
            <w:tcMar>
              <w:left w:w="108" w:type="dxa"/>
              <w:right w:w="108" w:type="dxa"/>
            </w:tcMar>
            <w:vAlign w:val="center"/>
          </w:tcPr>
          <w:p w14:paraId="24CFD12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7F769E4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63E30FF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6" w:type="dxa"/>
            <w:gridSpan w:val="2"/>
            <w:noWrap w:val="0"/>
            <w:tcMar>
              <w:left w:w="108" w:type="dxa"/>
              <w:right w:w="108" w:type="dxa"/>
            </w:tcMar>
            <w:vAlign w:val="center"/>
          </w:tcPr>
          <w:p w14:paraId="75B2A09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0" w:type="dxa"/>
            <w:noWrap w:val="0"/>
            <w:tcMar>
              <w:left w:w="108" w:type="dxa"/>
              <w:right w:w="108" w:type="dxa"/>
            </w:tcMar>
            <w:vAlign w:val="center"/>
          </w:tcPr>
          <w:p w14:paraId="5148267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74F84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105EF425">
            <w:pPr>
              <w:rPr>
                <w:rFonts w:ascii="黑体" w:hAnsi="黑体" w:eastAsia="黑体"/>
                <w:szCs w:val="21"/>
              </w:rPr>
            </w:pPr>
          </w:p>
        </w:tc>
        <w:tc>
          <w:tcPr>
            <w:tcW w:w="4677" w:type="dxa"/>
            <w:gridSpan w:val="2"/>
            <w:noWrap w:val="0"/>
            <w:tcMar>
              <w:left w:w="108" w:type="dxa"/>
              <w:right w:w="108" w:type="dxa"/>
            </w:tcMar>
            <w:vAlign w:val="center"/>
          </w:tcPr>
          <w:p w14:paraId="25F35E36">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gridSpan w:val="2"/>
            <w:noWrap w:val="0"/>
            <w:tcMar>
              <w:left w:w="108" w:type="dxa"/>
              <w:right w:w="108" w:type="dxa"/>
            </w:tcMar>
            <w:vAlign w:val="center"/>
          </w:tcPr>
          <w:p w14:paraId="25DF2D0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689E706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35" w:type="dxa"/>
            <w:noWrap w:val="0"/>
            <w:tcMar>
              <w:left w:w="108" w:type="dxa"/>
              <w:right w:w="108" w:type="dxa"/>
            </w:tcMar>
            <w:vAlign w:val="center"/>
          </w:tcPr>
          <w:p w14:paraId="473604D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435807D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7BD6B7D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6" w:type="dxa"/>
            <w:gridSpan w:val="2"/>
            <w:noWrap w:val="0"/>
            <w:tcMar>
              <w:left w:w="108" w:type="dxa"/>
              <w:right w:w="108" w:type="dxa"/>
            </w:tcMar>
            <w:vAlign w:val="center"/>
          </w:tcPr>
          <w:p w14:paraId="4E4583D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0" w:type="dxa"/>
            <w:noWrap w:val="0"/>
            <w:tcMar>
              <w:left w:w="108" w:type="dxa"/>
              <w:right w:w="108" w:type="dxa"/>
            </w:tcMar>
            <w:vAlign w:val="center"/>
          </w:tcPr>
          <w:p w14:paraId="2E623C5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51CC2C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9AA1E9C">
            <w:pPr>
              <w:rPr>
                <w:rFonts w:ascii="黑体" w:hAnsi="黑体" w:eastAsia="黑体"/>
                <w:szCs w:val="21"/>
              </w:rPr>
            </w:pPr>
          </w:p>
        </w:tc>
        <w:tc>
          <w:tcPr>
            <w:tcW w:w="1701" w:type="dxa"/>
            <w:vMerge w:val="restart"/>
            <w:noWrap w:val="0"/>
            <w:tcMar>
              <w:left w:w="108" w:type="dxa"/>
              <w:right w:w="108" w:type="dxa"/>
            </w:tcMar>
            <w:vAlign w:val="center"/>
          </w:tcPr>
          <w:p w14:paraId="3FB53265">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14:paraId="7694F7C2">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noWrap w:val="0"/>
            <w:tcMar>
              <w:left w:w="108" w:type="dxa"/>
              <w:right w:w="108" w:type="dxa"/>
            </w:tcMar>
            <w:vAlign w:val="center"/>
          </w:tcPr>
          <w:p w14:paraId="26796DD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4C9E328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0C5EA6E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578BB25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2C255D5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20BB212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24298B3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6AD470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A357148">
            <w:pPr>
              <w:rPr>
                <w:rFonts w:ascii="黑体" w:hAnsi="黑体" w:eastAsia="黑体"/>
                <w:szCs w:val="21"/>
              </w:rPr>
            </w:pPr>
          </w:p>
        </w:tc>
        <w:tc>
          <w:tcPr>
            <w:tcW w:w="1701" w:type="dxa"/>
            <w:vMerge w:val="continue"/>
            <w:noWrap w:val="0"/>
            <w:tcMar>
              <w:left w:w="108" w:type="dxa"/>
              <w:right w:w="108" w:type="dxa"/>
            </w:tcMar>
            <w:vAlign w:val="center"/>
          </w:tcPr>
          <w:p w14:paraId="3B80725A">
            <w:pPr>
              <w:spacing w:line="200" w:lineRule="exact"/>
              <w:rPr>
                <w:rFonts w:ascii="黑体" w:hAnsi="黑体" w:eastAsia="黑体"/>
                <w:szCs w:val="21"/>
              </w:rPr>
            </w:pPr>
          </w:p>
        </w:tc>
        <w:tc>
          <w:tcPr>
            <w:tcW w:w="2976" w:type="dxa"/>
            <w:noWrap w:val="0"/>
            <w:tcMar>
              <w:left w:w="108" w:type="dxa"/>
              <w:right w:w="108" w:type="dxa"/>
            </w:tcMar>
            <w:vAlign w:val="center"/>
          </w:tcPr>
          <w:p w14:paraId="38E73331">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noWrap w:val="0"/>
            <w:tcMar>
              <w:left w:w="108" w:type="dxa"/>
              <w:right w:w="108" w:type="dxa"/>
            </w:tcMar>
            <w:vAlign w:val="center"/>
          </w:tcPr>
          <w:p w14:paraId="1385D3A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5A68B3F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03A045F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3537F9A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352E1E2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58F0FBD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108EBE2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2C4FE5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6E583CEB">
            <w:pPr>
              <w:rPr>
                <w:rFonts w:ascii="黑体" w:hAnsi="黑体" w:eastAsia="黑体"/>
                <w:szCs w:val="21"/>
              </w:rPr>
            </w:pPr>
          </w:p>
        </w:tc>
        <w:tc>
          <w:tcPr>
            <w:tcW w:w="1701" w:type="dxa"/>
            <w:vMerge w:val="continue"/>
            <w:noWrap w:val="0"/>
            <w:tcMar>
              <w:left w:w="108" w:type="dxa"/>
              <w:right w:w="108" w:type="dxa"/>
            </w:tcMar>
            <w:vAlign w:val="center"/>
          </w:tcPr>
          <w:p w14:paraId="344216D3">
            <w:pPr>
              <w:spacing w:line="200" w:lineRule="exact"/>
              <w:rPr>
                <w:rFonts w:ascii="黑体" w:hAnsi="黑体" w:eastAsia="黑体"/>
                <w:szCs w:val="21"/>
              </w:rPr>
            </w:pPr>
          </w:p>
        </w:tc>
        <w:tc>
          <w:tcPr>
            <w:tcW w:w="2976" w:type="dxa"/>
            <w:noWrap w:val="0"/>
            <w:tcMar>
              <w:left w:w="108" w:type="dxa"/>
              <w:right w:w="108" w:type="dxa"/>
            </w:tcMar>
            <w:vAlign w:val="center"/>
          </w:tcPr>
          <w:p w14:paraId="74DD667C">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noWrap w:val="0"/>
            <w:tcMar>
              <w:left w:w="108" w:type="dxa"/>
              <w:right w:w="108" w:type="dxa"/>
            </w:tcMar>
            <w:vAlign w:val="center"/>
          </w:tcPr>
          <w:p w14:paraId="220A7D5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45E158E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03493EA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789F04E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7F01384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6DEA819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157848D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43D87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65E62488">
            <w:pPr>
              <w:rPr>
                <w:rFonts w:ascii="黑体" w:hAnsi="黑体" w:eastAsia="黑体"/>
                <w:szCs w:val="21"/>
              </w:rPr>
            </w:pPr>
          </w:p>
        </w:tc>
        <w:tc>
          <w:tcPr>
            <w:tcW w:w="1701" w:type="dxa"/>
            <w:vMerge w:val="continue"/>
            <w:noWrap w:val="0"/>
            <w:tcMar>
              <w:left w:w="108" w:type="dxa"/>
              <w:right w:w="108" w:type="dxa"/>
            </w:tcMar>
            <w:vAlign w:val="center"/>
          </w:tcPr>
          <w:p w14:paraId="00A22B26">
            <w:pPr>
              <w:spacing w:line="200" w:lineRule="exact"/>
              <w:rPr>
                <w:rFonts w:ascii="黑体" w:hAnsi="黑体" w:eastAsia="黑体"/>
                <w:szCs w:val="21"/>
              </w:rPr>
            </w:pPr>
          </w:p>
        </w:tc>
        <w:tc>
          <w:tcPr>
            <w:tcW w:w="2976" w:type="dxa"/>
            <w:noWrap w:val="0"/>
            <w:tcMar>
              <w:left w:w="108" w:type="dxa"/>
              <w:right w:w="108" w:type="dxa"/>
            </w:tcMar>
            <w:vAlign w:val="center"/>
          </w:tcPr>
          <w:p w14:paraId="1DB8C652">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noWrap w:val="0"/>
            <w:tcMar>
              <w:left w:w="108" w:type="dxa"/>
              <w:right w:w="108" w:type="dxa"/>
            </w:tcMar>
            <w:vAlign w:val="center"/>
          </w:tcPr>
          <w:p w14:paraId="19DF881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0550DF8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4EFA023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0C1DBA6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74A47DA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7961B62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5B1FFE7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20B93E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A922787">
            <w:pPr>
              <w:rPr>
                <w:rFonts w:ascii="黑体" w:hAnsi="黑体" w:eastAsia="黑体"/>
                <w:szCs w:val="21"/>
              </w:rPr>
            </w:pPr>
          </w:p>
        </w:tc>
        <w:tc>
          <w:tcPr>
            <w:tcW w:w="1701" w:type="dxa"/>
            <w:vMerge w:val="continue"/>
            <w:noWrap w:val="0"/>
            <w:tcMar>
              <w:left w:w="108" w:type="dxa"/>
              <w:right w:w="108" w:type="dxa"/>
            </w:tcMar>
            <w:vAlign w:val="center"/>
          </w:tcPr>
          <w:p w14:paraId="69F2C1C0">
            <w:pPr>
              <w:spacing w:line="200" w:lineRule="exact"/>
              <w:rPr>
                <w:rFonts w:ascii="黑体" w:hAnsi="黑体" w:eastAsia="黑体"/>
                <w:szCs w:val="21"/>
              </w:rPr>
            </w:pPr>
          </w:p>
        </w:tc>
        <w:tc>
          <w:tcPr>
            <w:tcW w:w="2976" w:type="dxa"/>
            <w:noWrap w:val="0"/>
            <w:tcMar>
              <w:left w:w="108" w:type="dxa"/>
              <w:right w:w="108" w:type="dxa"/>
            </w:tcMar>
            <w:vAlign w:val="center"/>
          </w:tcPr>
          <w:p w14:paraId="44774588">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noWrap w:val="0"/>
            <w:tcMar>
              <w:left w:w="108" w:type="dxa"/>
              <w:right w:w="108" w:type="dxa"/>
            </w:tcMar>
            <w:vAlign w:val="center"/>
          </w:tcPr>
          <w:p w14:paraId="7283C40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0934B56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508F405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0AB551C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0A4B3E2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01332C3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5186E70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1B07B2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6E3A2591">
            <w:pPr>
              <w:rPr>
                <w:rFonts w:ascii="黑体" w:hAnsi="黑体" w:eastAsia="黑体"/>
                <w:szCs w:val="21"/>
              </w:rPr>
            </w:pPr>
          </w:p>
        </w:tc>
        <w:tc>
          <w:tcPr>
            <w:tcW w:w="1701" w:type="dxa"/>
            <w:vMerge w:val="continue"/>
            <w:noWrap w:val="0"/>
            <w:tcMar>
              <w:left w:w="108" w:type="dxa"/>
              <w:right w:w="108" w:type="dxa"/>
            </w:tcMar>
            <w:vAlign w:val="center"/>
          </w:tcPr>
          <w:p w14:paraId="01834A9C">
            <w:pPr>
              <w:spacing w:line="200" w:lineRule="exact"/>
              <w:rPr>
                <w:rFonts w:ascii="黑体" w:hAnsi="黑体" w:eastAsia="黑体"/>
                <w:szCs w:val="21"/>
              </w:rPr>
            </w:pPr>
          </w:p>
        </w:tc>
        <w:tc>
          <w:tcPr>
            <w:tcW w:w="2976" w:type="dxa"/>
            <w:noWrap w:val="0"/>
            <w:tcMar>
              <w:left w:w="108" w:type="dxa"/>
              <w:right w:w="108" w:type="dxa"/>
            </w:tcMar>
            <w:vAlign w:val="center"/>
          </w:tcPr>
          <w:p w14:paraId="3EF8808C">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noWrap w:val="0"/>
            <w:tcMar>
              <w:left w:w="108" w:type="dxa"/>
              <w:right w:w="108" w:type="dxa"/>
            </w:tcMar>
            <w:vAlign w:val="center"/>
          </w:tcPr>
          <w:p w14:paraId="41A8491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4CF3D3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750621D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4C51584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01313C5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6B4EACD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4AED9E7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369532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3EFBD1A0">
            <w:pPr>
              <w:rPr>
                <w:rFonts w:ascii="黑体" w:hAnsi="黑体" w:eastAsia="黑体"/>
                <w:szCs w:val="21"/>
              </w:rPr>
            </w:pPr>
          </w:p>
        </w:tc>
        <w:tc>
          <w:tcPr>
            <w:tcW w:w="1701" w:type="dxa"/>
            <w:vMerge w:val="continue"/>
            <w:noWrap w:val="0"/>
            <w:tcMar>
              <w:left w:w="108" w:type="dxa"/>
              <w:right w:w="108" w:type="dxa"/>
            </w:tcMar>
            <w:vAlign w:val="center"/>
          </w:tcPr>
          <w:p w14:paraId="64C9CEE6">
            <w:pPr>
              <w:spacing w:line="200" w:lineRule="exact"/>
              <w:rPr>
                <w:rFonts w:ascii="黑体" w:hAnsi="黑体" w:eastAsia="黑体"/>
                <w:szCs w:val="21"/>
              </w:rPr>
            </w:pPr>
          </w:p>
        </w:tc>
        <w:tc>
          <w:tcPr>
            <w:tcW w:w="2976" w:type="dxa"/>
            <w:noWrap w:val="0"/>
            <w:tcMar>
              <w:left w:w="108" w:type="dxa"/>
              <w:right w:w="108" w:type="dxa"/>
            </w:tcMar>
            <w:vAlign w:val="center"/>
          </w:tcPr>
          <w:p w14:paraId="4A58FB7B">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noWrap w:val="0"/>
            <w:tcMar>
              <w:left w:w="108" w:type="dxa"/>
              <w:right w:w="108" w:type="dxa"/>
            </w:tcMar>
            <w:vAlign w:val="center"/>
          </w:tcPr>
          <w:p w14:paraId="4D8906D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E26DE6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E38ABF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12B2809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77FC175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79D3F53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68E4C56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56FA0E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DA0BA63">
            <w:pPr>
              <w:rPr>
                <w:rFonts w:ascii="黑体" w:hAnsi="黑体" w:eastAsia="黑体"/>
                <w:szCs w:val="21"/>
              </w:rPr>
            </w:pPr>
          </w:p>
        </w:tc>
        <w:tc>
          <w:tcPr>
            <w:tcW w:w="1701" w:type="dxa"/>
            <w:vMerge w:val="continue"/>
            <w:noWrap w:val="0"/>
            <w:tcMar>
              <w:left w:w="108" w:type="dxa"/>
              <w:right w:w="108" w:type="dxa"/>
            </w:tcMar>
            <w:vAlign w:val="center"/>
          </w:tcPr>
          <w:p w14:paraId="6098CC99">
            <w:pPr>
              <w:spacing w:line="200" w:lineRule="exact"/>
              <w:rPr>
                <w:rFonts w:ascii="黑体" w:hAnsi="黑体" w:eastAsia="黑体"/>
                <w:szCs w:val="21"/>
              </w:rPr>
            </w:pPr>
          </w:p>
        </w:tc>
        <w:tc>
          <w:tcPr>
            <w:tcW w:w="2976" w:type="dxa"/>
            <w:noWrap w:val="0"/>
            <w:tcMar>
              <w:left w:w="108" w:type="dxa"/>
              <w:right w:w="108" w:type="dxa"/>
            </w:tcMar>
            <w:vAlign w:val="center"/>
          </w:tcPr>
          <w:p w14:paraId="6D745034">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noWrap w:val="0"/>
            <w:tcMar>
              <w:left w:w="108" w:type="dxa"/>
              <w:right w:w="108" w:type="dxa"/>
            </w:tcMar>
            <w:vAlign w:val="center"/>
          </w:tcPr>
          <w:p w14:paraId="53ABFBC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43060F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052B128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1CAB023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22E1258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75876E9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492CA64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26D49D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228BB06">
            <w:pPr>
              <w:rPr>
                <w:rFonts w:ascii="黑体" w:hAnsi="黑体" w:eastAsia="黑体"/>
                <w:szCs w:val="21"/>
              </w:rPr>
            </w:pPr>
          </w:p>
        </w:tc>
        <w:tc>
          <w:tcPr>
            <w:tcW w:w="1701" w:type="dxa"/>
            <w:vMerge w:val="restart"/>
            <w:noWrap w:val="0"/>
            <w:tcMar>
              <w:left w:w="108" w:type="dxa"/>
              <w:right w:w="108" w:type="dxa"/>
            </w:tcMar>
            <w:vAlign w:val="center"/>
          </w:tcPr>
          <w:p w14:paraId="6DFAE56F">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14:paraId="02C7DEBF">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noWrap w:val="0"/>
            <w:tcMar>
              <w:left w:w="108" w:type="dxa"/>
              <w:right w:w="108" w:type="dxa"/>
            </w:tcMar>
            <w:vAlign w:val="center"/>
          </w:tcPr>
          <w:p w14:paraId="2647E49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0D854A1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7BB3567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6AE99C7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2CF8A88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5CB42DA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34B6631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541FF9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130C8E76">
            <w:pPr>
              <w:rPr>
                <w:rFonts w:ascii="黑体" w:hAnsi="黑体" w:eastAsia="黑体"/>
                <w:szCs w:val="21"/>
              </w:rPr>
            </w:pPr>
          </w:p>
        </w:tc>
        <w:tc>
          <w:tcPr>
            <w:tcW w:w="1701" w:type="dxa"/>
            <w:vMerge w:val="continue"/>
            <w:noWrap w:val="0"/>
            <w:tcMar>
              <w:left w:w="108" w:type="dxa"/>
              <w:right w:w="108" w:type="dxa"/>
            </w:tcMar>
            <w:vAlign w:val="center"/>
          </w:tcPr>
          <w:p w14:paraId="5C3B640B">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14:paraId="50B9D727">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noWrap w:val="0"/>
            <w:tcMar>
              <w:left w:w="108" w:type="dxa"/>
              <w:right w:w="108" w:type="dxa"/>
            </w:tcMar>
            <w:vAlign w:val="center"/>
          </w:tcPr>
          <w:p w14:paraId="2877BA5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09D4B8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7254AEE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2412C38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158A011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387D5CC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648AE03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269C1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012F1FB">
            <w:pPr>
              <w:rPr>
                <w:rFonts w:ascii="黑体" w:hAnsi="黑体" w:eastAsia="黑体"/>
                <w:szCs w:val="21"/>
              </w:rPr>
            </w:pPr>
          </w:p>
        </w:tc>
        <w:tc>
          <w:tcPr>
            <w:tcW w:w="1701" w:type="dxa"/>
            <w:vMerge w:val="continue"/>
            <w:noWrap w:val="0"/>
            <w:tcMar>
              <w:left w:w="108" w:type="dxa"/>
              <w:right w:w="108" w:type="dxa"/>
            </w:tcMar>
            <w:vAlign w:val="center"/>
          </w:tcPr>
          <w:p w14:paraId="6399EA2B">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14:paraId="479ACE5A">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noWrap w:val="0"/>
            <w:tcMar>
              <w:left w:w="108" w:type="dxa"/>
              <w:right w:w="108" w:type="dxa"/>
            </w:tcMar>
            <w:vAlign w:val="center"/>
          </w:tcPr>
          <w:p w14:paraId="14D7B1A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1274CFD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2AFE2D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6EC6E8C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745E5BF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2F03D26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0221441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21C0FE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53C4550A">
            <w:pPr>
              <w:rPr>
                <w:rFonts w:ascii="黑体" w:hAnsi="黑体" w:eastAsia="黑体"/>
                <w:szCs w:val="21"/>
              </w:rPr>
            </w:pPr>
          </w:p>
        </w:tc>
        <w:tc>
          <w:tcPr>
            <w:tcW w:w="1701" w:type="dxa"/>
            <w:vMerge w:val="restart"/>
            <w:noWrap w:val="0"/>
            <w:tcMar>
              <w:left w:w="108" w:type="dxa"/>
              <w:right w:w="108" w:type="dxa"/>
            </w:tcMar>
            <w:vAlign w:val="center"/>
          </w:tcPr>
          <w:p w14:paraId="66FCBF7A">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14:paraId="66BF5D4C">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noWrap w:val="0"/>
            <w:tcMar>
              <w:left w:w="108" w:type="dxa"/>
              <w:right w:w="108" w:type="dxa"/>
            </w:tcMar>
            <w:vAlign w:val="center"/>
          </w:tcPr>
          <w:p w14:paraId="40A5E65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1843920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12F575C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1907744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7D69ED6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7747BB1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11E0FDA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415E8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17F84B56">
            <w:pPr>
              <w:rPr>
                <w:rFonts w:ascii="黑体" w:hAnsi="黑体" w:eastAsia="黑体"/>
                <w:szCs w:val="21"/>
              </w:rPr>
            </w:pPr>
          </w:p>
        </w:tc>
        <w:tc>
          <w:tcPr>
            <w:tcW w:w="1701" w:type="dxa"/>
            <w:vMerge w:val="continue"/>
            <w:noWrap w:val="0"/>
            <w:tcMar>
              <w:left w:w="108" w:type="dxa"/>
              <w:right w:w="108" w:type="dxa"/>
            </w:tcMar>
            <w:vAlign w:val="center"/>
          </w:tcPr>
          <w:p w14:paraId="6A812C7A">
            <w:pPr>
              <w:spacing w:line="200" w:lineRule="exact"/>
              <w:rPr>
                <w:rFonts w:ascii="黑体" w:hAnsi="黑体" w:eastAsia="黑体"/>
                <w:szCs w:val="21"/>
              </w:rPr>
            </w:pPr>
          </w:p>
        </w:tc>
        <w:tc>
          <w:tcPr>
            <w:tcW w:w="2976" w:type="dxa"/>
            <w:noWrap w:val="0"/>
            <w:tcMar>
              <w:left w:w="108" w:type="dxa"/>
              <w:right w:w="108" w:type="dxa"/>
            </w:tcMar>
            <w:vAlign w:val="center"/>
          </w:tcPr>
          <w:p w14:paraId="00171ACF">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noWrap w:val="0"/>
            <w:tcMar>
              <w:left w:w="108" w:type="dxa"/>
              <w:right w:w="108" w:type="dxa"/>
            </w:tcMar>
            <w:vAlign w:val="center"/>
          </w:tcPr>
          <w:p w14:paraId="6D845A2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B2EB1D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4929BDF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522A265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411E155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067E2D3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7016288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64AF50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66E4C48">
            <w:pPr>
              <w:rPr>
                <w:rFonts w:ascii="黑体" w:hAnsi="黑体" w:eastAsia="黑体"/>
                <w:szCs w:val="21"/>
              </w:rPr>
            </w:pPr>
          </w:p>
        </w:tc>
        <w:tc>
          <w:tcPr>
            <w:tcW w:w="1701" w:type="dxa"/>
            <w:vMerge w:val="continue"/>
            <w:noWrap w:val="0"/>
            <w:tcMar>
              <w:left w:w="108" w:type="dxa"/>
              <w:right w:w="108" w:type="dxa"/>
            </w:tcMar>
            <w:vAlign w:val="center"/>
          </w:tcPr>
          <w:p w14:paraId="72EFBEAA">
            <w:pPr>
              <w:spacing w:line="200" w:lineRule="exact"/>
              <w:rPr>
                <w:rFonts w:ascii="黑体" w:hAnsi="黑体" w:eastAsia="黑体"/>
                <w:szCs w:val="21"/>
              </w:rPr>
            </w:pPr>
          </w:p>
        </w:tc>
        <w:tc>
          <w:tcPr>
            <w:tcW w:w="2976" w:type="dxa"/>
            <w:noWrap w:val="0"/>
            <w:tcMar>
              <w:left w:w="108" w:type="dxa"/>
              <w:right w:w="108" w:type="dxa"/>
            </w:tcMar>
            <w:vAlign w:val="center"/>
          </w:tcPr>
          <w:p w14:paraId="181744B9">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noWrap w:val="0"/>
            <w:tcMar>
              <w:left w:w="108" w:type="dxa"/>
              <w:right w:w="108" w:type="dxa"/>
            </w:tcMar>
            <w:vAlign w:val="center"/>
          </w:tcPr>
          <w:p w14:paraId="306395B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EA44C8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12E19EA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3003A99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7363BF1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5FEE3E7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273BD19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4F6914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59326C2E">
            <w:pPr>
              <w:rPr>
                <w:rFonts w:ascii="黑体" w:hAnsi="黑体" w:eastAsia="黑体"/>
                <w:szCs w:val="21"/>
              </w:rPr>
            </w:pPr>
          </w:p>
        </w:tc>
        <w:tc>
          <w:tcPr>
            <w:tcW w:w="1701" w:type="dxa"/>
            <w:vMerge w:val="continue"/>
            <w:noWrap w:val="0"/>
            <w:tcMar>
              <w:left w:w="108" w:type="dxa"/>
              <w:right w:w="108" w:type="dxa"/>
            </w:tcMar>
            <w:vAlign w:val="center"/>
          </w:tcPr>
          <w:p w14:paraId="38937658">
            <w:pPr>
              <w:spacing w:line="200" w:lineRule="exact"/>
              <w:rPr>
                <w:rFonts w:ascii="黑体" w:hAnsi="黑体" w:eastAsia="黑体"/>
                <w:szCs w:val="21"/>
              </w:rPr>
            </w:pPr>
          </w:p>
        </w:tc>
        <w:tc>
          <w:tcPr>
            <w:tcW w:w="2976" w:type="dxa"/>
            <w:noWrap w:val="0"/>
            <w:tcMar>
              <w:left w:w="108" w:type="dxa"/>
              <w:right w:w="108" w:type="dxa"/>
            </w:tcMar>
            <w:vAlign w:val="center"/>
          </w:tcPr>
          <w:p w14:paraId="19932EB4">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noWrap w:val="0"/>
            <w:tcMar>
              <w:left w:w="108" w:type="dxa"/>
              <w:right w:w="108" w:type="dxa"/>
            </w:tcMar>
            <w:vAlign w:val="center"/>
          </w:tcPr>
          <w:p w14:paraId="374978A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0139741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116E18A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73B32D8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3B585FF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398E2B4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101CDB4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13076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2F2C8AE3">
            <w:pPr>
              <w:rPr>
                <w:rFonts w:ascii="黑体" w:hAnsi="黑体" w:eastAsia="黑体"/>
                <w:szCs w:val="21"/>
              </w:rPr>
            </w:pPr>
          </w:p>
        </w:tc>
        <w:tc>
          <w:tcPr>
            <w:tcW w:w="1701" w:type="dxa"/>
            <w:vMerge w:val="continue"/>
            <w:noWrap w:val="0"/>
            <w:tcMar>
              <w:left w:w="108" w:type="dxa"/>
              <w:right w:w="108" w:type="dxa"/>
            </w:tcMar>
            <w:vAlign w:val="center"/>
          </w:tcPr>
          <w:p w14:paraId="0F4D3DA8">
            <w:pPr>
              <w:spacing w:line="200" w:lineRule="exact"/>
              <w:rPr>
                <w:rFonts w:ascii="黑体" w:hAnsi="黑体" w:eastAsia="黑体"/>
                <w:szCs w:val="21"/>
              </w:rPr>
            </w:pPr>
          </w:p>
        </w:tc>
        <w:tc>
          <w:tcPr>
            <w:tcW w:w="2976" w:type="dxa"/>
            <w:noWrap w:val="0"/>
            <w:tcMar>
              <w:left w:w="108" w:type="dxa"/>
              <w:right w:w="108" w:type="dxa"/>
            </w:tcMar>
            <w:vAlign w:val="center"/>
          </w:tcPr>
          <w:p w14:paraId="2DA38968">
            <w:pPr>
              <w:widowControl/>
              <w:spacing w:line="300" w:lineRule="exact"/>
              <w:ind w:firstLine="420" w:firstLineChars="200"/>
              <w:rPr>
                <w:rFonts w:ascii="仿宋_GB2312" w:hAnsi="黑体" w:eastAsia="仿宋_GB2312"/>
                <w:kern w:val="0"/>
                <w:szCs w:val="21"/>
              </w:rPr>
            </w:pPr>
            <w:r>
              <w:rPr>
                <w:rFonts w:hint="eastAsia" w:ascii="仿宋_GB2312" w:hAnsi="黑体" w:eastAsia="仿宋_GB2312"/>
                <w:kern w:val="0"/>
                <w:szCs w:val="21"/>
              </w:rPr>
              <w:t>5.要求行政机关确认或重新</w:t>
            </w:r>
          </w:p>
          <w:p w14:paraId="058796B9">
            <w:pPr>
              <w:widowControl/>
              <w:spacing w:line="300" w:lineRule="exact"/>
              <w:ind w:firstLine="420" w:firstLineChars="200"/>
              <w:rPr>
                <w:rFonts w:ascii="仿宋_GB2312" w:hAnsi="黑体" w:eastAsia="仿宋_GB2312"/>
                <w:szCs w:val="21"/>
              </w:rPr>
            </w:pPr>
            <w:r>
              <w:rPr>
                <w:rFonts w:hint="eastAsia" w:ascii="仿宋_GB2312" w:hAnsi="黑体" w:eastAsia="仿宋_GB2312"/>
                <w:kern w:val="0"/>
                <w:szCs w:val="21"/>
              </w:rPr>
              <w:t>出具已获取信息</w:t>
            </w:r>
          </w:p>
        </w:tc>
        <w:tc>
          <w:tcPr>
            <w:tcW w:w="747" w:type="dxa"/>
            <w:noWrap w:val="0"/>
            <w:tcMar>
              <w:left w:w="108" w:type="dxa"/>
              <w:right w:w="108" w:type="dxa"/>
            </w:tcMar>
            <w:vAlign w:val="center"/>
          </w:tcPr>
          <w:p w14:paraId="045C190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333EF80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18BB9E0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60BB13D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22D5658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38DCC12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3233197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3B3EE7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389E69F4">
            <w:pPr>
              <w:rPr>
                <w:rFonts w:ascii="黑体" w:hAnsi="黑体" w:eastAsia="黑体"/>
                <w:szCs w:val="21"/>
              </w:rPr>
            </w:pPr>
          </w:p>
        </w:tc>
        <w:tc>
          <w:tcPr>
            <w:tcW w:w="1701" w:type="dxa"/>
            <w:vMerge w:val="restart"/>
            <w:noWrap w:val="0"/>
            <w:tcMar>
              <w:left w:w="108" w:type="dxa"/>
              <w:right w:w="108" w:type="dxa"/>
            </w:tcMar>
            <w:vAlign w:val="center"/>
          </w:tcPr>
          <w:p w14:paraId="2579D9FF">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14:paraId="66C35841">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noWrap w:val="0"/>
            <w:tcMar>
              <w:left w:w="108" w:type="dxa"/>
              <w:right w:w="108" w:type="dxa"/>
            </w:tcMar>
            <w:vAlign w:val="center"/>
          </w:tcPr>
          <w:p w14:paraId="52296FE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4873672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525C843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78FF9F7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6625228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4A775EE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597AE2A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6CD7F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392F3783">
            <w:pPr>
              <w:rPr>
                <w:rFonts w:ascii="黑体" w:hAnsi="黑体" w:eastAsia="黑体"/>
                <w:szCs w:val="21"/>
              </w:rPr>
            </w:pPr>
          </w:p>
        </w:tc>
        <w:tc>
          <w:tcPr>
            <w:tcW w:w="1701" w:type="dxa"/>
            <w:vMerge w:val="continue"/>
            <w:noWrap w:val="0"/>
            <w:tcMar>
              <w:left w:w="108" w:type="dxa"/>
              <w:right w:w="108" w:type="dxa"/>
            </w:tcMar>
            <w:vAlign w:val="center"/>
          </w:tcPr>
          <w:p w14:paraId="04769633">
            <w:pPr>
              <w:widowControl/>
              <w:spacing w:line="300" w:lineRule="exact"/>
              <w:rPr>
                <w:rFonts w:ascii="黑体" w:hAnsi="黑体" w:eastAsia="黑体"/>
                <w:kern w:val="0"/>
                <w:szCs w:val="21"/>
              </w:rPr>
            </w:pPr>
          </w:p>
        </w:tc>
        <w:tc>
          <w:tcPr>
            <w:tcW w:w="2976" w:type="dxa"/>
            <w:noWrap w:val="0"/>
            <w:vAlign w:val="center"/>
          </w:tcPr>
          <w:p w14:paraId="360A1CB7">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noWrap w:val="0"/>
            <w:tcMar>
              <w:left w:w="108" w:type="dxa"/>
              <w:right w:w="108" w:type="dxa"/>
            </w:tcMar>
            <w:vAlign w:val="center"/>
          </w:tcPr>
          <w:p w14:paraId="2038A35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027040E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3578C48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379A906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2E434D4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10EA3C0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763481F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470584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07F3EE66">
            <w:pPr>
              <w:rPr>
                <w:rFonts w:ascii="黑体" w:hAnsi="黑体" w:eastAsia="黑体"/>
                <w:szCs w:val="21"/>
              </w:rPr>
            </w:pPr>
          </w:p>
        </w:tc>
        <w:tc>
          <w:tcPr>
            <w:tcW w:w="1701" w:type="dxa"/>
            <w:vMerge w:val="continue"/>
            <w:noWrap w:val="0"/>
            <w:tcMar>
              <w:left w:w="108" w:type="dxa"/>
              <w:right w:w="108" w:type="dxa"/>
            </w:tcMar>
            <w:vAlign w:val="center"/>
          </w:tcPr>
          <w:p w14:paraId="12B8FEDA">
            <w:pPr>
              <w:widowControl/>
              <w:spacing w:line="300" w:lineRule="exact"/>
              <w:rPr>
                <w:rFonts w:ascii="黑体" w:hAnsi="黑体" w:eastAsia="黑体"/>
                <w:kern w:val="0"/>
                <w:szCs w:val="21"/>
              </w:rPr>
            </w:pPr>
          </w:p>
        </w:tc>
        <w:tc>
          <w:tcPr>
            <w:tcW w:w="2976" w:type="dxa"/>
            <w:noWrap w:val="0"/>
            <w:vAlign w:val="center"/>
          </w:tcPr>
          <w:p w14:paraId="2880E2F5">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noWrap w:val="0"/>
            <w:tcMar>
              <w:left w:w="108" w:type="dxa"/>
              <w:right w:w="108" w:type="dxa"/>
            </w:tcMar>
            <w:vAlign w:val="center"/>
          </w:tcPr>
          <w:p w14:paraId="737B8B5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0FA2C89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6FF8019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64D889D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777959F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5523D9A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5E47836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328C49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22E71844">
            <w:pPr>
              <w:rPr>
                <w:rFonts w:ascii="黑体" w:hAnsi="黑体" w:eastAsia="黑体"/>
                <w:szCs w:val="21"/>
              </w:rPr>
            </w:pPr>
          </w:p>
        </w:tc>
        <w:tc>
          <w:tcPr>
            <w:tcW w:w="4677" w:type="dxa"/>
            <w:gridSpan w:val="2"/>
            <w:noWrap w:val="0"/>
            <w:tcMar>
              <w:left w:w="108" w:type="dxa"/>
              <w:right w:w="108" w:type="dxa"/>
            </w:tcMar>
            <w:vAlign w:val="center"/>
          </w:tcPr>
          <w:p w14:paraId="605E7AB3">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noWrap w:val="0"/>
            <w:tcMar>
              <w:left w:w="108" w:type="dxa"/>
              <w:right w:w="108" w:type="dxa"/>
            </w:tcMar>
            <w:vAlign w:val="center"/>
          </w:tcPr>
          <w:p w14:paraId="5C79974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31C3F87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07AD583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55AECDD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3A0DB23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45562BF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29B88B9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0A77B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14:paraId="423878D1">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noWrap w:val="0"/>
            <w:tcMar>
              <w:left w:w="108" w:type="dxa"/>
              <w:right w:w="108" w:type="dxa"/>
            </w:tcMar>
            <w:vAlign w:val="center"/>
          </w:tcPr>
          <w:p w14:paraId="3CD4D3F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19E5DED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0435695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3E3E97F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20F7FC2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611E949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436EF34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bl>
    <w:p w14:paraId="72F1BE76">
      <w:pPr>
        <w:widowControl/>
        <w:jc w:val="left"/>
        <w:rPr>
          <w:rFonts w:hint="eastAsia" w:ascii="仿宋_GB2312" w:hAnsi="Calibri" w:eastAsia="仿宋_GB2312" w:cs="Calibri"/>
          <w:color w:val="FF0000"/>
          <w:kern w:val="0"/>
          <w:szCs w:val="21"/>
          <w:lang w:val="en-US" w:eastAsia="zh-CN"/>
        </w:rPr>
      </w:pPr>
    </w:p>
    <w:p w14:paraId="0E4A6410">
      <w:pPr>
        <w:ind w:firstLine="640" w:firstLineChars="200"/>
        <w:rPr>
          <w:rFonts w:ascii="仿宋_GB2312" w:eastAsia="仿宋_GB2312"/>
          <w:sz w:val="32"/>
          <w:szCs w:val="32"/>
        </w:rPr>
      </w:pPr>
      <w:r>
        <w:rPr>
          <w:rFonts w:hint="eastAsia" w:ascii="黑体" w:hAnsi="黑体" w:eastAsia="黑体" w:cs="黑体"/>
          <w:b w:val="0"/>
          <w:bCs/>
          <w:i w:val="0"/>
          <w:caps w:val="0"/>
          <w:color w:val="333333"/>
          <w:spacing w:val="0"/>
          <w:kern w:val="0"/>
          <w:sz w:val="32"/>
          <w:szCs w:val="32"/>
          <w:shd w:val="clear" w:color="auto" w:fill="FFFFFF"/>
          <w:lang w:val="en-US" w:eastAsia="zh-CN" w:bidi="ar"/>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78DD41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1D39FB0">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7047E56E">
            <w:pPr>
              <w:widowControl/>
              <w:jc w:val="center"/>
              <w:rPr>
                <w:rFonts w:ascii="黑体" w:hAnsi="黑体" w:eastAsia="黑体"/>
              </w:rPr>
            </w:pPr>
            <w:r>
              <w:rPr>
                <w:rFonts w:ascii="黑体" w:hAnsi="黑体" w:eastAsia="黑体"/>
                <w:kern w:val="0"/>
                <w:sz w:val="20"/>
                <w:szCs w:val="20"/>
              </w:rPr>
              <w:t>行政诉讼</w:t>
            </w:r>
          </w:p>
        </w:tc>
      </w:tr>
      <w:tr w14:paraId="2CBBED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33F20F16">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14:paraId="788129CF">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5C75DA96">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006F72E0">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3BC8C344">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14:paraId="6756C5B7">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2DE69A68">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34D9B1B4">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190B8A58">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2AC0B506">
            <w:pPr>
              <w:widowControl/>
              <w:jc w:val="center"/>
              <w:rPr>
                <w:rFonts w:ascii="黑体" w:hAnsi="黑体" w:eastAsia="黑体"/>
              </w:rPr>
            </w:pPr>
            <w:r>
              <w:rPr>
                <w:rFonts w:ascii="黑体" w:hAnsi="黑体" w:eastAsia="黑体"/>
                <w:kern w:val="0"/>
                <w:sz w:val="20"/>
                <w:szCs w:val="20"/>
              </w:rPr>
              <w:t>复议后起诉</w:t>
            </w:r>
          </w:p>
        </w:tc>
      </w:tr>
      <w:tr w14:paraId="243044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B0995AB">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5111ED94">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21F1EDE6">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0B2BFF24">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5F09FC54">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66C8192C">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D9EE620">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A13875A">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14:paraId="0B9AA0CE">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9F468B8">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14:paraId="060DCDAC">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B0F6A15">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11C556D">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D5AC58B">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14:paraId="166C4E8B">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CD368A4">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14:paraId="601EA80A">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1803D8A">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9EBA269">
            <w:pPr>
              <w:widowControl/>
              <w:jc w:val="center"/>
              <w:rPr>
                <w:rFonts w:ascii="黑体" w:hAnsi="黑体" w:eastAsia="黑体"/>
              </w:rPr>
            </w:pPr>
            <w:r>
              <w:rPr>
                <w:rFonts w:ascii="黑体" w:hAnsi="黑体" w:eastAsia="黑体"/>
                <w:kern w:val="0"/>
                <w:sz w:val="20"/>
                <w:szCs w:val="20"/>
              </w:rPr>
              <w:t>总计</w:t>
            </w:r>
          </w:p>
        </w:tc>
      </w:tr>
      <w:tr w14:paraId="5236FB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E977AD9">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7E782D0C">
            <w:pPr>
              <w:widowControl/>
              <w:spacing w:after="180"/>
              <w:jc w:val="center"/>
              <w:rPr>
                <w:rFonts w:ascii="Times New Roman" w:hAnsi="Times New Roma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364A00DF">
            <w:pPr>
              <w:widowControl/>
              <w:spacing w:after="180"/>
              <w:jc w:val="center"/>
              <w:rPr>
                <w:rFonts w:ascii="Times New Roman" w:hAnsi="Times New Roma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1490483C">
            <w:pPr>
              <w:widowControl/>
              <w:spacing w:after="180"/>
              <w:jc w:val="center"/>
              <w:rPr>
                <w:rFonts w:ascii="Times New Roman" w:hAnsi="Times New Roma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23916D5D">
            <w:pPr>
              <w:widowControl/>
              <w:spacing w:after="180"/>
              <w:jc w:val="center"/>
              <w:rPr>
                <w:rFonts w:ascii="Times New Roman" w:hAnsi="Times New Roma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4378B300">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291D9149">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49E7DA9">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73601F7">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D9012A3">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F90FE76">
            <w:pPr>
              <w:widowControl/>
              <w:spacing w:after="180"/>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767F06F">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2EF5BB2">
            <w:pPr>
              <w:widowControl/>
              <w:spacing w:after="180"/>
              <w:jc w:val="center"/>
              <w:rPr>
                <w:rFonts w:ascii="Times New Roman" w:hAnsi="Times New Roma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6484D907">
            <w:pPr>
              <w:widowControl/>
              <w:spacing w:after="180"/>
              <w:jc w:val="center"/>
              <w:rPr>
                <w:rFonts w:ascii="Times New Roman" w:hAnsi="Times New Roma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4C017521">
            <w:pPr>
              <w:widowControl/>
              <w:spacing w:after="180"/>
              <w:jc w:val="center"/>
              <w:rPr>
                <w:rFonts w:ascii="Times New Roman" w:hAnsi="Times New Roman"/>
              </w:rPr>
            </w:pPr>
            <w:r>
              <w:rPr>
                <w:rFonts w:hint="eastAsia" w:ascii="Times New Roman" w:hAnsi="Times New Roman"/>
                <w:lang w:val="en-US" w:eastAsia="zh-CN"/>
              </w:rPr>
              <w:t>0</w:t>
            </w:r>
          </w:p>
        </w:tc>
      </w:tr>
    </w:tbl>
    <w:p w14:paraId="0E5E996F">
      <w:pPr>
        <w:widowControl/>
        <w:jc w:val="left"/>
        <w:rPr>
          <w:rFonts w:hint="eastAsia" w:ascii="仿宋_GB2312" w:hAnsi="Calibri" w:eastAsia="仿宋_GB2312" w:cs="Calibri"/>
          <w:color w:val="FF0000"/>
          <w:kern w:val="0"/>
          <w:szCs w:val="21"/>
          <w:lang w:val="en-US" w:eastAsia="zh-CN"/>
        </w:rPr>
      </w:pPr>
    </w:p>
    <w:p w14:paraId="7D4595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黑体" w:hAnsi="黑体" w:eastAsia="黑体" w:cs="黑体"/>
          <w:b w:val="0"/>
          <w:bCs/>
          <w:i w:val="0"/>
          <w:caps w:val="0"/>
          <w:color w:val="333333"/>
          <w:spacing w:val="0"/>
          <w:kern w:val="0"/>
          <w:sz w:val="32"/>
          <w:szCs w:val="32"/>
          <w:shd w:val="clear" w:color="auto" w:fill="FFFFFF"/>
          <w:lang w:val="en-US" w:eastAsia="zh-CN" w:bidi="ar"/>
        </w:rPr>
      </w:pPr>
      <w:r>
        <w:rPr>
          <w:rFonts w:hint="eastAsia" w:ascii="黑体" w:hAnsi="黑体" w:eastAsia="黑体" w:cs="黑体"/>
          <w:b w:val="0"/>
          <w:bCs/>
          <w:i w:val="0"/>
          <w:caps w:val="0"/>
          <w:color w:val="333333"/>
          <w:spacing w:val="0"/>
          <w:kern w:val="0"/>
          <w:sz w:val="32"/>
          <w:szCs w:val="32"/>
          <w:shd w:val="clear" w:color="auto" w:fill="FFFFFF"/>
          <w:lang w:val="en-US" w:eastAsia="zh-CN" w:bidi="ar"/>
        </w:rPr>
        <w:t>五、存在的主要问题及改进情况</w:t>
      </w:r>
    </w:p>
    <w:p w14:paraId="2258D404">
      <w:pPr>
        <w:keepNext w:val="0"/>
        <w:keepLines w:val="0"/>
        <w:pageBreakBefore w:val="0"/>
        <w:widowControl/>
        <w:kinsoku/>
        <w:wordWrap/>
        <w:overflowPunct/>
        <w:topLinePunct w:val="0"/>
        <w:autoSpaceDE/>
        <w:autoSpaceDN/>
        <w:bidi w:val="0"/>
        <w:adjustRightInd/>
        <w:snapToGrid/>
        <w:spacing w:line="576" w:lineRule="exact"/>
        <w:ind w:firstLine="630"/>
        <w:jc w:val="left"/>
        <w:textAlignment w:val="auto"/>
        <w:rPr>
          <w:rFonts w:hint="default" w:ascii="仿宋_GB2312" w:hAnsi="宋体" w:eastAsia="仿宋_GB2312" w:cs="仿宋_GB2312"/>
          <w:i w:val="0"/>
          <w:iCs w:val="0"/>
          <w:caps w:val="0"/>
          <w:color w:val="000000"/>
          <w:spacing w:val="0"/>
          <w:sz w:val="31"/>
          <w:szCs w:val="31"/>
          <w:shd w:val="clear" w:fill="FFFFFF"/>
          <w:lang w:val="en-US" w:eastAsia="zh-CN"/>
        </w:rPr>
      </w:pPr>
      <w:r>
        <w:rPr>
          <w:rFonts w:hint="eastAsia" w:ascii="仿宋_GB2312" w:eastAsia="仿宋_GB2312"/>
          <w:b/>
          <w:bCs/>
          <w:sz w:val="32"/>
          <w:szCs w:val="32"/>
          <w:lang w:val="en-US" w:eastAsia="zh-CN"/>
        </w:rPr>
        <w:t>存在的主要问题：</w:t>
      </w:r>
      <w:r>
        <w:rPr>
          <w:rFonts w:hint="eastAsia" w:ascii="仿宋_GB2312" w:eastAsia="仿宋_GB2312"/>
          <w:sz w:val="32"/>
          <w:szCs w:val="32"/>
          <w:lang w:val="en-US" w:eastAsia="zh-CN"/>
        </w:rPr>
        <w:t>2024年，源泉镇政务公开工作取得新成效，但</w:t>
      </w:r>
      <w:r>
        <w:rPr>
          <w:rFonts w:hint="eastAsia" w:ascii="仿宋_GB2312" w:hAnsi="Calibri" w:eastAsia="仿宋_GB2312" w:cs="Times New Roman"/>
          <w:kern w:val="2"/>
          <w:sz w:val="32"/>
          <w:szCs w:val="32"/>
          <w:lang w:val="en-US" w:eastAsia="zh-CN" w:bidi="ar-SA"/>
        </w:rPr>
        <w:t>在开展政务公开工作过程中存在按部就班推动的多</w:t>
      </w:r>
      <w:r>
        <w:rPr>
          <w:rFonts w:hint="eastAsia" w:ascii="仿宋_GB2312"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政务公开创新性不够</w:t>
      </w:r>
      <w:r>
        <w:rPr>
          <w:rFonts w:hint="eastAsia" w:ascii="仿宋_GB2312" w:eastAsia="仿宋_GB2312" w:cs="Times New Roman"/>
          <w:kern w:val="2"/>
          <w:sz w:val="32"/>
          <w:szCs w:val="32"/>
          <w:lang w:val="en-US" w:eastAsia="zh-CN" w:bidi="ar-SA"/>
        </w:rPr>
        <w:t>、</w:t>
      </w:r>
      <w:r>
        <w:rPr>
          <w:rFonts w:ascii="仿宋_GB2312" w:hAnsi="宋体" w:eastAsia="仿宋_GB2312" w:cs="仿宋_GB2312"/>
          <w:i w:val="0"/>
          <w:iCs w:val="0"/>
          <w:caps w:val="0"/>
          <w:color w:val="000000"/>
          <w:spacing w:val="0"/>
          <w:sz w:val="31"/>
          <w:szCs w:val="31"/>
          <w:shd w:val="clear" w:fill="FFFFFF"/>
        </w:rPr>
        <w:t>政策解读</w:t>
      </w:r>
      <w:r>
        <w:rPr>
          <w:rFonts w:hint="eastAsia" w:ascii="仿宋_GB2312" w:hAnsi="宋体" w:eastAsia="仿宋_GB2312" w:cs="仿宋_GB2312"/>
          <w:i w:val="0"/>
          <w:iCs w:val="0"/>
          <w:caps w:val="0"/>
          <w:color w:val="000000"/>
          <w:spacing w:val="0"/>
          <w:sz w:val="31"/>
          <w:szCs w:val="31"/>
          <w:shd w:val="clear" w:fill="FFFFFF"/>
          <w:lang w:val="en-US" w:eastAsia="zh-CN"/>
        </w:rPr>
        <w:t>质效不高等问题。</w:t>
      </w:r>
    </w:p>
    <w:p w14:paraId="44DA5CDA">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仿宋_GB2312" w:eastAsia="仿宋_GB2312"/>
          <w:sz w:val="32"/>
          <w:szCs w:val="32"/>
          <w:lang w:val="en-US" w:eastAsia="zh-CN"/>
        </w:rPr>
      </w:pPr>
      <w:r>
        <w:rPr>
          <w:rFonts w:hint="eastAsia" w:ascii="仿宋_GB2312" w:eastAsia="仿宋_GB2312"/>
          <w:b/>
          <w:bCs/>
          <w:sz w:val="32"/>
          <w:szCs w:val="32"/>
          <w:lang w:val="en-US" w:eastAsia="zh-CN"/>
        </w:rPr>
        <w:t>改进情况：</w:t>
      </w:r>
      <w:r>
        <w:rPr>
          <w:rFonts w:hint="eastAsia" w:ascii="仿宋_GB2312" w:eastAsia="仿宋_GB2312"/>
          <w:sz w:val="32"/>
          <w:szCs w:val="32"/>
          <w:lang w:val="en-US" w:eastAsia="zh-CN"/>
        </w:rPr>
        <w:t>一是加强对政务公开工作人员的业务培训，将理论与实际工作结合，提升创新意识，鼓励创新工作，从工作机制、解读形式等方面实现创新突破。二是</w:t>
      </w:r>
      <w:r>
        <w:rPr>
          <w:rFonts w:hint="eastAsia" w:ascii="仿宋_GB2312" w:hAnsi="Calibri" w:eastAsia="仿宋_GB2312" w:cs="Times New Roman"/>
          <w:kern w:val="2"/>
          <w:sz w:val="32"/>
          <w:szCs w:val="32"/>
          <w:lang w:val="en-US" w:eastAsia="zh-CN" w:bidi="ar-SA"/>
        </w:rPr>
        <w:t>注重对政策背景、出台目的、重要举措等方面的实质性解读，以及政策发布后的延伸解读，全面提升解读工作质量，让群众更便捷地获取信息，真正看得懂、记得住、用得上。</w:t>
      </w:r>
    </w:p>
    <w:p w14:paraId="6A66D4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0000FF"/>
          <w:spacing w:val="0"/>
          <w:kern w:val="2"/>
          <w:sz w:val="24"/>
          <w:szCs w:val="24"/>
          <w:shd w:val="clear" w:color="auto" w:fill="FFFFFF"/>
          <w:lang w:val="en-US" w:eastAsia="zh-CN" w:bidi="ar-SA"/>
        </w:rPr>
      </w:pPr>
    </w:p>
    <w:p w14:paraId="3BAEBE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640" w:firstLineChars="200"/>
        <w:jc w:val="both"/>
        <w:textAlignment w:val="auto"/>
        <w:rPr>
          <w:rFonts w:hint="eastAsia" w:ascii="黑体" w:hAnsi="黑体" w:eastAsia="黑体" w:cs="黑体"/>
          <w:b w:val="0"/>
          <w:bCs/>
          <w:i w:val="0"/>
          <w:caps w:val="0"/>
          <w:color w:val="333333"/>
          <w:spacing w:val="0"/>
          <w:kern w:val="0"/>
          <w:sz w:val="32"/>
          <w:szCs w:val="32"/>
          <w:shd w:val="clear" w:color="auto" w:fill="FFFFFF"/>
          <w:lang w:val="en-US" w:eastAsia="zh-CN" w:bidi="ar"/>
        </w:rPr>
      </w:pPr>
      <w:r>
        <w:rPr>
          <w:rFonts w:hint="eastAsia" w:ascii="黑体" w:hAnsi="黑体" w:eastAsia="黑体" w:cs="黑体"/>
          <w:b w:val="0"/>
          <w:bCs/>
          <w:i w:val="0"/>
          <w:caps w:val="0"/>
          <w:color w:val="333333"/>
          <w:spacing w:val="0"/>
          <w:kern w:val="0"/>
          <w:sz w:val="32"/>
          <w:szCs w:val="32"/>
          <w:shd w:val="clear" w:color="auto" w:fill="FFFFFF"/>
          <w:lang w:val="en-US" w:eastAsia="zh-CN" w:bidi="ar"/>
        </w:rPr>
        <w:t>六、其他需要报告的事项</w:t>
      </w:r>
    </w:p>
    <w:p w14:paraId="21570A7E">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ascii="仿宋_GB2312" w:eastAsia="仿宋_GB2312"/>
          <w:sz w:val="32"/>
          <w:szCs w:val="32"/>
        </w:rPr>
      </w:pPr>
      <w:r>
        <w:rPr>
          <w:rFonts w:hint="eastAsia" w:ascii="楷体_GB2312" w:hAnsi="楷体_GB2312" w:eastAsia="楷体_GB2312" w:cs="楷体_GB2312"/>
          <w:color w:val="000000"/>
          <w:sz w:val="32"/>
          <w:szCs w:val="32"/>
          <w:lang w:val="en-US" w:eastAsia="zh-CN"/>
        </w:rPr>
        <w:t>1.依申请公开信息处理费收费情况</w:t>
      </w:r>
      <w:r>
        <w:rPr>
          <w:rFonts w:hint="eastAsia" w:ascii="仿宋_GB2312" w:eastAsia="仿宋_GB2312" w:cs="Times New Roman"/>
          <w:sz w:val="32"/>
          <w:szCs w:val="32"/>
          <w:lang w:val="en-US" w:eastAsia="zh-CN"/>
        </w:rPr>
        <w:t>。</w:t>
      </w:r>
      <w:r>
        <w:rPr>
          <w:rFonts w:hint="eastAsia" w:ascii="仿宋_GB2312" w:eastAsia="仿宋_GB2312"/>
          <w:sz w:val="32"/>
          <w:szCs w:val="32"/>
          <w:lang w:eastAsia="zh-CN"/>
        </w:rPr>
        <w:t>今年</w:t>
      </w:r>
      <w:r>
        <w:rPr>
          <w:rFonts w:hint="eastAsia" w:ascii="仿宋_GB2312" w:eastAsia="仿宋_GB2312"/>
          <w:sz w:val="32"/>
          <w:szCs w:val="32"/>
          <w:lang w:val="en-US" w:eastAsia="zh-CN"/>
        </w:rPr>
        <w:t>我镇无收取信息处理费的情况。</w:t>
      </w:r>
    </w:p>
    <w:p w14:paraId="327A494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宋体" w:hAnsi="宋体" w:eastAsia="宋体" w:cs="宋体"/>
          <w:i w:val="0"/>
          <w:caps w:val="0"/>
          <w:color w:val="0000FF"/>
          <w:spacing w:val="0"/>
          <w:kern w:val="2"/>
          <w:sz w:val="24"/>
          <w:szCs w:val="24"/>
          <w:shd w:val="clear" w:color="auto" w:fill="FFFFFF"/>
          <w:lang w:val="en-US" w:eastAsia="zh-CN" w:bidi="ar-SA"/>
        </w:rPr>
      </w:pPr>
      <w:r>
        <w:rPr>
          <w:rFonts w:hint="eastAsia" w:ascii="楷体_GB2312" w:hAnsi="楷体_GB2312" w:eastAsia="楷体_GB2312" w:cs="楷体_GB2312"/>
          <w:color w:val="000000"/>
          <w:sz w:val="32"/>
          <w:szCs w:val="32"/>
          <w:lang w:val="en-US" w:eastAsia="zh-CN"/>
        </w:rPr>
        <w:t>2.人大代表建议和政协提案办理结果公开情况。</w:t>
      </w:r>
      <w:r>
        <w:rPr>
          <w:rFonts w:ascii="仿宋_GB2312" w:hAnsi="宋体" w:eastAsia="仿宋_GB2312" w:cs="仿宋_GB2312"/>
          <w:i w:val="0"/>
          <w:iCs w:val="0"/>
          <w:caps w:val="0"/>
          <w:color w:val="000000"/>
          <w:spacing w:val="0"/>
          <w:sz w:val="32"/>
          <w:szCs w:val="32"/>
          <w:shd w:val="clear" w:color="auto" w:fill="FFFFFF"/>
        </w:rPr>
        <w:t>本年度，承办人大代表建议</w:t>
      </w:r>
      <w:r>
        <w:rPr>
          <w:rFonts w:hint="eastAsia" w:ascii="仿宋_GB2312" w:hAnsi="宋体" w:eastAsia="仿宋_GB2312" w:cs="仿宋_GB2312"/>
          <w:i w:val="0"/>
          <w:iCs w:val="0"/>
          <w:caps w:val="0"/>
          <w:color w:val="000000"/>
          <w:spacing w:val="0"/>
          <w:sz w:val="32"/>
          <w:szCs w:val="32"/>
          <w:shd w:val="clear" w:color="auto" w:fill="FFFFFF"/>
        </w:rPr>
        <w:t>1件，承办政协提案0件。针对人大代表建议源泉镇政府</w:t>
      </w:r>
      <w:r>
        <w:rPr>
          <w:rFonts w:hint="eastAsia" w:ascii="仿宋_GB2312" w:hAnsi="宋体" w:eastAsia="仿宋_GB2312" w:cs="仿宋_GB2312"/>
          <w:i w:val="0"/>
          <w:iCs w:val="0"/>
          <w:caps w:val="0"/>
          <w:color w:val="000000"/>
          <w:spacing w:val="0"/>
          <w:sz w:val="32"/>
          <w:szCs w:val="32"/>
          <w:shd w:val="clear" w:color="auto" w:fill="FFFFFF"/>
          <w:lang w:val="en-US" w:eastAsia="zh-CN"/>
        </w:rPr>
        <w:t>与</w:t>
      </w:r>
      <w:r>
        <w:rPr>
          <w:rFonts w:hint="eastAsia" w:ascii="仿宋_GB2312" w:hAnsi="仿宋_GB2312" w:eastAsia="仿宋_GB2312" w:cs="仿宋_GB2312"/>
          <w:sz w:val="32"/>
          <w:szCs w:val="32"/>
        </w:rPr>
        <w:t>临临高速公路博山段工程建设指挥部</w:t>
      </w:r>
      <w:r>
        <w:rPr>
          <w:rFonts w:hint="eastAsia" w:ascii="仿宋_GB2312" w:hAnsi="宋体" w:eastAsia="仿宋_GB2312" w:cs="仿宋_GB2312"/>
          <w:i w:val="0"/>
          <w:iCs w:val="0"/>
          <w:caps w:val="0"/>
          <w:color w:val="000000"/>
          <w:spacing w:val="0"/>
          <w:sz w:val="32"/>
          <w:szCs w:val="32"/>
          <w:shd w:val="clear" w:color="auto" w:fill="FFFFFF"/>
          <w:lang w:val="en-US" w:eastAsia="zh-CN"/>
        </w:rPr>
        <w:t>积极对接</w:t>
      </w:r>
      <w:r>
        <w:rPr>
          <w:rFonts w:hint="eastAsia" w:ascii="仿宋_GB2312" w:hAnsi="宋体" w:eastAsia="仿宋_GB2312" w:cs="仿宋_GB2312"/>
          <w:i w:val="0"/>
          <w:iCs w:val="0"/>
          <w:caps w:val="0"/>
          <w:color w:val="000000"/>
          <w:spacing w:val="0"/>
          <w:sz w:val="32"/>
          <w:szCs w:val="32"/>
          <w:shd w:val="clear" w:color="auto" w:fill="FFFFFF"/>
          <w:lang w:eastAsia="zh-CN"/>
        </w:rPr>
        <w:t>仲临路岳西路口</w:t>
      </w:r>
      <w:r>
        <w:rPr>
          <w:rFonts w:hint="eastAsia" w:ascii="仿宋_GB2312" w:hAnsi="宋体" w:eastAsia="仿宋_GB2312" w:cs="仿宋_GB2312"/>
          <w:i w:val="0"/>
          <w:iCs w:val="0"/>
          <w:caps w:val="0"/>
          <w:color w:val="000000"/>
          <w:spacing w:val="0"/>
          <w:sz w:val="32"/>
          <w:szCs w:val="32"/>
          <w:shd w:val="clear" w:color="auto" w:fill="FFFFFF"/>
          <w:lang w:val="en-US" w:eastAsia="zh-CN"/>
        </w:rPr>
        <w:t>提升改造项目，并增设相关安全保障设施，</w:t>
      </w:r>
      <w:r>
        <w:rPr>
          <w:rFonts w:hint="eastAsia" w:ascii="仿宋_GB2312" w:eastAsia="仿宋_GB2312"/>
          <w:sz w:val="32"/>
          <w:szCs w:val="32"/>
          <w:lang w:val="en-US" w:eastAsia="zh-CN"/>
        </w:rPr>
        <w:t>充分发挥属地作用，协调有关部门各项工作有序进行开展。</w:t>
      </w:r>
      <w:r>
        <w:rPr>
          <w:rFonts w:hint="eastAsia" w:ascii="仿宋_GB2312" w:hAnsi="宋体" w:eastAsia="仿宋_GB2312" w:cs="仿宋_GB2312"/>
          <w:i w:val="0"/>
          <w:iCs w:val="0"/>
          <w:caps w:val="0"/>
          <w:color w:val="000000"/>
          <w:spacing w:val="0"/>
          <w:sz w:val="32"/>
          <w:szCs w:val="32"/>
          <w:shd w:val="clear" w:color="auto" w:fill="FFFFFF"/>
        </w:rPr>
        <w:t>按照程序答复人大代表，</w:t>
      </w:r>
      <w:r>
        <w:rPr>
          <w:rFonts w:hint="eastAsia" w:ascii="仿宋_GB2312" w:eastAsia="仿宋_GB2312"/>
          <w:sz w:val="32"/>
          <w:szCs w:val="32"/>
          <w:lang w:val="en-US" w:eastAsia="zh-CN"/>
        </w:rPr>
        <w:t>并</w:t>
      </w:r>
      <w:r>
        <w:rPr>
          <w:rFonts w:hint="eastAsia" w:ascii="仿宋_GB2312" w:hAnsi="宋体" w:eastAsia="仿宋_GB2312" w:cs="仿宋_GB2312"/>
          <w:i w:val="0"/>
          <w:iCs w:val="0"/>
          <w:caps w:val="0"/>
          <w:color w:val="000000"/>
          <w:spacing w:val="0"/>
          <w:sz w:val="32"/>
          <w:szCs w:val="32"/>
          <w:shd w:val="clear" w:color="auto" w:fill="FFFFFF"/>
        </w:rPr>
        <w:t>对答复表示满意</w:t>
      </w:r>
      <w:r>
        <w:rPr>
          <w:rFonts w:hint="eastAsia" w:ascii="仿宋_GB2312" w:hAnsi="宋体" w:eastAsia="仿宋_GB2312" w:cs="仿宋_GB2312"/>
          <w:i w:val="0"/>
          <w:iCs w:val="0"/>
          <w:caps w:val="0"/>
          <w:color w:val="000000"/>
          <w:spacing w:val="0"/>
          <w:sz w:val="32"/>
          <w:szCs w:val="32"/>
          <w:shd w:val="clear" w:color="auto" w:fill="FFFFFF"/>
          <w:lang w:eastAsia="zh-CN"/>
        </w:rPr>
        <w:t>。</w:t>
      </w:r>
      <w:r>
        <w:rPr>
          <w:rFonts w:hint="eastAsia" w:ascii="仿宋_GB2312" w:eastAsia="仿宋_GB2312"/>
          <w:sz w:val="32"/>
          <w:szCs w:val="32"/>
          <w:lang w:val="en-US" w:eastAsia="zh-CN"/>
        </w:rPr>
        <w:t>将办理结果通过政府网站对外公开</w:t>
      </w:r>
      <w:r>
        <w:rPr>
          <w:rFonts w:hint="eastAsia" w:ascii="仿宋_GB2312" w:hAnsi="宋体" w:eastAsia="仿宋_GB2312" w:cs="仿宋_GB2312"/>
          <w:i w:val="0"/>
          <w:iCs w:val="0"/>
          <w:caps w:val="0"/>
          <w:color w:val="000000"/>
          <w:spacing w:val="0"/>
          <w:sz w:val="32"/>
          <w:szCs w:val="32"/>
          <w:shd w:val="clear" w:color="auto" w:fill="FFFFFF"/>
        </w:rPr>
        <w:t>。</w:t>
      </w:r>
    </w:p>
    <w:p w14:paraId="6BE8B563">
      <w:pPr>
        <w:keepNext w:val="0"/>
        <w:keepLines w:val="0"/>
        <w:pageBreakBefore w:val="0"/>
        <w:numPr>
          <w:ilvl w:val="0"/>
          <w:numId w:val="0"/>
        </w:numPr>
        <w:kinsoku/>
        <w:wordWrap/>
        <w:overflowPunct/>
        <w:topLinePunct w:val="0"/>
        <w:autoSpaceDE/>
        <w:autoSpaceDN/>
        <w:bidi w:val="0"/>
        <w:spacing w:line="576" w:lineRule="exact"/>
        <w:ind w:firstLine="640" w:firstLineChars="200"/>
        <w:textAlignment w:val="auto"/>
        <w:rPr>
          <w:rFonts w:hint="eastAsia" w:ascii="宋体" w:hAnsi="宋体" w:eastAsia="宋体" w:cs="宋体"/>
          <w:i w:val="0"/>
          <w:caps w:val="0"/>
          <w:color w:val="0000FF"/>
          <w:spacing w:val="0"/>
          <w:kern w:val="2"/>
          <w:sz w:val="24"/>
          <w:szCs w:val="24"/>
          <w:shd w:val="clear" w:color="auto" w:fill="FFFFFF"/>
          <w:lang w:val="en-US" w:eastAsia="zh-CN" w:bidi="ar-SA"/>
        </w:rPr>
      </w:pPr>
      <w:r>
        <w:rPr>
          <w:rFonts w:hint="eastAsia" w:ascii="楷体_GB2312" w:hAnsi="楷体_GB2312" w:eastAsia="楷体_GB2312" w:cs="楷体_GB2312"/>
          <w:color w:val="000000"/>
          <w:sz w:val="32"/>
          <w:szCs w:val="32"/>
          <w:lang w:val="en-US" w:eastAsia="zh-CN"/>
        </w:rPr>
        <w:t>3.本部门在政务公开制度、内容、形式和平台建设方面的创新实践情况。</w:t>
      </w:r>
      <w:r>
        <w:rPr>
          <w:rFonts w:hint="eastAsia" w:ascii="仿宋_GB2312" w:hAnsi="Calibri" w:eastAsia="仿宋_GB2312" w:cs="Times New Roman"/>
          <w:kern w:val="2"/>
          <w:sz w:val="32"/>
          <w:szCs w:val="32"/>
          <w:lang w:val="en-US" w:eastAsia="zh-CN" w:bidi="ar-SA"/>
        </w:rPr>
        <w:t>积极探索政务公开“新模式”，不断增强政务服务的广度和精度，保障群众知情权。源泉镇围绕镇中心工作，聚焦群众关心关切和重大民生实事，采取实地参观和座谈交流相结合的方式进行，让群众在参观镇便民服务大厅过程中了解</w:t>
      </w:r>
      <w:r>
        <w:rPr>
          <w:rFonts w:hint="eastAsia" w:ascii="仿宋_GB2312" w:eastAsia="仿宋_GB2312" w:cs="Times New Roman"/>
          <w:kern w:val="2"/>
          <w:sz w:val="32"/>
          <w:szCs w:val="32"/>
          <w:lang w:val="en-US" w:eastAsia="zh-CN" w:bidi="ar-SA"/>
        </w:rPr>
        <w:t>镇</w:t>
      </w:r>
      <w:r>
        <w:rPr>
          <w:rFonts w:hint="eastAsia" w:ascii="仿宋_GB2312" w:hAnsi="Calibri" w:eastAsia="仿宋_GB2312" w:cs="Times New Roman"/>
          <w:kern w:val="2"/>
          <w:sz w:val="32"/>
          <w:szCs w:val="32"/>
          <w:lang w:val="en-US" w:eastAsia="zh-CN" w:bidi="ar-SA"/>
        </w:rPr>
        <w:t>政务公开建设及大厅窗口设置、业务范围等情况。</w:t>
      </w:r>
    </w:p>
    <w:p w14:paraId="65FE8E83">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楷体_GB2312" w:hAnsi="楷体_GB2312" w:eastAsia="楷体_GB2312" w:cs="楷体_GB2312"/>
          <w:color w:val="000000"/>
          <w:sz w:val="32"/>
          <w:szCs w:val="32"/>
          <w:lang w:val="en-US" w:eastAsia="zh-CN"/>
        </w:rPr>
        <w:t>4.《2024年博山区政务公开工作方案》落实情况。</w:t>
      </w:r>
      <w:r>
        <w:rPr>
          <w:rFonts w:hint="eastAsia" w:ascii="仿宋_GB2312" w:hAnsi="宋体" w:eastAsia="仿宋_GB2312" w:cs="仿宋_GB2312"/>
          <w:i w:val="0"/>
          <w:iCs w:val="0"/>
          <w:caps w:val="0"/>
          <w:color w:val="000000"/>
          <w:spacing w:val="0"/>
          <w:sz w:val="32"/>
          <w:szCs w:val="32"/>
          <w:shd w:val="clear" w:color="auto" w:fill="FFFFFF"/>
          <w:lang w:val="en-US" w:eastAsia="zh-CN"/>
        </w:rPr>
        <w:t>严格落实《2024年博山区政务公开工作方案》</w:t>
      </w:r>
      <w:r>
        <w:rPr>
          <w:rFonts w:hint="eastAsia" w:ascii="仿宋_GB2312" w:eastAsia="仿宋_GB2312"/>
          <w:sz w:val="32"/>
          <w:szCs w:val="32"/>
          <w:highlight w:val="none"/>
          <w:lang w:val="en-US" w:eastAsia="zh-CN"/>
        </w:rPr>
        <w:t>信息公开工作有关要求，围绕</w:t>
      </w:r>
      <w:r>
        <w:rPr>
          <w:rFonts w:hint="eastAsia" w:ascii="仿宋_GB2312" w:eastAsia="仿宋_GB2312"/>
          <w:b w:val="0"/>
          <w:bCs w:val="0"/>
          <w:sz w:val="32"/>
          <w:szCs w:val="32"/>
          <w:lang w:val="en-US" w:eastAsia="zh-CN"/>
        </w:rPr>
        <w:t>社会救助、</w:t>
      </w:r>
      <w:r>
        <w:rPr>
          <w:rFonts w:hint="eastAsia" w:ascii="仿宋_GB2312" w:eastAsia="仿宋_GB2312"/>
          <w:sz w:val="32"/>
          <w:szCs w:val="32"/>
          <w:highlight w:val="none"/>
          <w:lang w:val="en-US" w:eastAsia="zh-CN"/>
        </w:rPr>
        <w:t>养老</w:t>
      </w:r>
      <w:r>
        <w:rPr>
          <w:rFonts w:hint="eastAsia" w:ascii="仿宋_GB2312" w:eastAsia="仿宋_GB2312"/>
          <w:b w:val="0"/>
          <w:bCs w:val="0"/>
          <w:sz w:val="32"/>
          <w:szCs w:val="32"/>
          <w:lang w:val="en-US" w:eastAsia="zh-CN"/>
        </w:rPr>
        <w:t>服务</w:t>
      </w:r>
      <w:r>
        <w:rPr>
          <w:rFonts w:hint="eastAsia" w:ascii="仿宋_GB2312" w:eastAsia="仿宋_GB2312"/>
          <w:sz w:val="32"/>
          <w:szCs w:val="32"/>
          <w:highlight w:val="none"/>
          <w:lang w:val="en-US" w:eastAsia="zh-CN"/>
        </w:rPr>
        <w:t>、医保、教育等</w:t>
      </w:r>
      <w:r>
        <w:rPr>
          <w:rFonts w:hint="eastAsia" w:ascii="仿宋_GB2312" w:eastAsia="仿宋_GB2312"/>
          <w:b w:val="0"/>
          <w:bCs w:val="0"/>
          <w:sz w:val="32"/>
          <w:szCs w:val="32"/>
          <w:lang w:val="en-US" w:eastAsia="zh-CN"/>
        </w:rPr>
        <w:t>民生保障</w:t>
      </w:r>
      <w:r>
        <w:rPr>
          <w:rFonts w:hint="eastAsia" w:ascii="仿宋_GB2312" w:eastAsia="仿宋_GB2312"/>
          <w:sz w:val="32"/>
          <w:szCs w:val="32"/>
          <w:highlight w:val="none"/>
          <w:lang w:val="en-US" w:eastAsia="zh-CN"/>
        </w:rPr>
        <w:t>领域，</w:t>
      </w:r>
      <w:r>
        <w:rPr>
          <w:rFonts w:hint="eastAsia" w:ascii="仿宋_GB2312" w:eastAsia="仿宋_GB2312"/>
          <w:b w:val="0"/>
          <w:bCs w:val="0"/>
          <w:sz w:val="32"/>
          <w:szCs w:val="32"/>
          <w:lang w:val="en-US" w:eastAsia="zh-CN"/>
        </w:rPr>
        <w:t>加大信息公开力度，细化公开内容</w:t>
      </w:r>
      <w:r>
        <w:rPr>
          <w:rFonts w:hint="eastAsia" w:ascii="仿宋_GB2312" w:eastAsia="仿宋_GB2312"/>
          <w:sz w:val="32"/>
          <w:szCs w:val="32"/>
          <w:highlight w:val="none"/>
          <w:lang w:val="en-US" w:eastAsia="zh-CN"/>
        </w:rPr>
        <w:t>。强化政务公开工作组织领导，指定专人负责，</w:t>
      </w:r>
      <w:r>
        <w:rPr>
          <w:rFonts w:ascii="仿宋_GB2312" w:hAnsi="宋体" w:eastAsia="仿宋_GB2312" w:cs="仿宋_GB2312"/>
          <w:i w:val="0"/>
          <w:iCs w:val="0"/>
          <w:caps w:val="0"/>
          <w:color w:val="000000"/>
          <w:spacing w:val="0"/>
          <w:sz w:val="32"/>
          <w:szCs w:val="32"/>
          <w:shd w:val="clear" w:color="auto" w:fill="FFFFFF"/>
        </w:rPr>
        <w:t>全面做好政务公开工作</w:t>
      </w:r>
      <w:r>
        <w:rPr>
          <w:rFonts w:hint="eastAsia" w:ascii="仿宋_GB2312" w:eastAsia="仿宋_GB2312"/>
          <w:sz w:val="32"/>
          <w:szCs w:val="32"/>
          <w:highlight w:val="none"/>
          <w:lang w:val="en-US" w:eastAsia="zh-CN"/>
        </w:rPr>
        <w:t>。</w:t>
      </w:r>
    </w:p>
    <w:p w14:paraId="5773E0B9">
      <w:pPr>
        <w:keepNext w:val="0"/>
        <w:keepLines w:val="0"/>
        <w:pageBreakBefore w:val="0"/>
        <w:kinsoku/>
        <w:wordWrap/>
        <w:overflowPunct/>
        <w:topLinePunct w:val="0"/>
        <w:autoSpaceDE/>
        <w:autoSpaceDN/>
        <w:bidi w:val="0"/>
        <w:spacing w:line="576" w:lineRule="exact"/>
        <w:textAlignment w:val="auto"/>
      </w:pPr>
    </w:p>
    <w:p w14:paraId="1365367C">
      <w:pPr>
        <w:keepNext w:val="0"/>
        <w:keepLines w:val="0"/>
        <w:pageBreakBefore w:val="0"/>
        <w:kinsoku/>
        <w:wordWrap/>
        <w:overflowPunct/>
        <w:topLinePunct w:val="0"/>
        <w:autoSpaceDE/>
        <w:autoSpaceDN/>
        <w:bidi w:val="0"/>
        <w:spacing w:line="576"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055A5"/>
    <w:rsid w:val="306E533B"/>
    <w:rsid w:val="33BE0F59"/>
    <w:rsid w:val="39DC713E"/>
    <w:rsid w:val="3F034C62"/>
    <w:rsid w:val="52132286"/>
    <w:rsid w:val="5E3B6766"/>
    <w:rsid w:val="6238312F"/>
    <w:rsid w:val="6ECB2625"/>
    <w:rsid w:val="7091330C"/>
    <w:rsid w:val="74312FE1"/>
    <w:rsid w:val="749063DC"/>
    <w:rsid w:val="75241FEA"/>
    <w:rsid w:val="77764653"/>
    <w:rsid w:val="7F8F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2685</Words>
  <Characters>2790</Characters>
  <Lines>0</Lines>
  <Paragraphs>0</Paragraphs>
  <TotalTime>13</TotalTime>
  <ScaleCrop>false</ScaleCrop>
  <LinksUpToDate>false</LinksUpToDate>
  <CharactersWithSpaces>2790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2025-01-10T06:59:00Z</dcterms:created>
  <dc:creator>Administrator</dc:creator>
  <cp:lastModifiedBy>Administrator</cp:lastModifiedBy>
  <dcterms:modified xsi:type="dcterms:W3CDTF">2025-01-21T07:08:59Z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eyJoZGlkIjoiYTBkMmM5ZmZjNzZmZjQ3NWVjNzVlYWVkYjc2OTc2NzcifQ==</vt:lpwstr>
  </property>
  <property fmtid="{D5CDD505-2E9C-101B-9397-08002B2CF9AE}" pid="4" name="ICV">
    <vt:lpwstr>CEBD2E1B1FAC4FD1A985F6C58371209E_13</vt:lpwstr>
  </property>
</Properties>
</file>