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N/>
        <w:bidi w:val="0"/>
        <w:adjustRightInd/>
        <w:snapToGrid/>
        <w:spacing w:before="0" w:beforeLines="0" w:beforeAutospacing="0" w:after="0" w:afterLines="0" w:afterAutospacing="0" w:line="576" w:lineRule="exact"/>
        <w:jc w:val="center"/>
        <w:textAlignment w:val="auto"/>
        <w:rPr>
          <w:rFonts w:hint="eastAsia"/>
        </w:rPr>
      </w:pPr>
      <w:r>
        <w:rPr>
          <w:rFonts w:hint="eastAsia"/>
        </w:rPr>
        <w:t>源泉镇202</w:t>
      </w:r>
      <w:r>
        <w:rPr>
          <w:rFonts w:hint="eastAsia"/>
          <w:lang w:val="en-US" w:eastAsia="zh-CN"/>
        </w:rPr>
        <w:t>1</w:t>
      </w:r>
      <w:r>
        <w:rPr>
          <w:rFonts w:hint="eastAsia"/>
        </w:rPr>
        <w:t>年政府信息公开年度报告</w:t>
      </w:r>
    </w:p>
    <w:p>
      <w:pPr>
        <w:pageBreakBefore w:val="0"/>
        <w:kinsoku/>
        <w:wordWrap/>
        <w:overflowPunct/>
        <w:topLinePunct w:val="0"/>
        <w:autoSpaceDN/>
        <w:bidi w:val="0"/>
        <w:adjustRightInd/>
        <w:snapToGrid/>
        <w:spacing w:beforeAutospacing="0" w:afterAutospacing="0" w:line="576" w:lineRule="exact"/>
        <w:textAlignment w:val="auto"/>
      </w:pP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firstLine="640" w:firstLineChars="200"/>
        <w:textAlignment w:val="auto"/>
      </w:pPr>
      <w:r>
        <w:rPr>
          <w:rFonts w:ascii="仿宋_GB2312" w:eastAsia="仿宋_GB2312" w:cs="仿宋_GB2312"/>
          <w:sz w:val="32"/>
          <w:szCs w:val="32"/>
        </w:rPr>
        <w:t>根据《中华人民共和国政府信息公开条例》和《博山区人民政府办公室关于编制和公布</w:t>
      </w: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年政府信息公开工作年度报告的通知》要求,特编制博山区源泉镇人民政府202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年政府信息公开年度报告。本报告中所列数据的统计时限为202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年1月1日至202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年12月31日。本报告可通过博山区政府门户网站（http://www.boshan.gov.cn/gongkai）查阅或下载。</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firstLine="640" w:firstLineChars="200"/>
        <w:textAlignment w:val="auto"/>
      </w:pPr>
      <w:r>
        <w:rPr>
          <w:rFonts w:ascii="黑体" w:hAnsi="宋体" w:eastAsia="黑体" w:cs="黑体"/>
          <w:sz w:val="32"/>
          <w:szCs w:val="32"/>
        </w:rPr>
        <w:t>一、总体情况</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firstLine="643" w:firstLineChars="200"/>
        <w:textAlignment w:val="auto"/>
        <w:rPr>
          <w:rFonts w:hint="eastAsia" w:ascii="宋体" w:hAnsi="宋体" w:eastAsia="宋体" w:cs="宋体"/>
          <w:sz w:val="24"/>
          <w:szCs w:val="24"/>
          <w:lang w:eastAsia="zh-CN"/>
        </w:rPr>
      </w:pPr>
      <w:r>
        <w:rPr>
          <w:rStyle w:val="6"/>
          <w:rFonts w:ascii="楷体_GB2312" w:eastAsia="楷体_GB2312" w:cs="楷体_GB2312"/>
          <w:sz w:val="32"/>
          <w:szCs w:val="32"/>
        </w:rPr>
        <w:t>（一）主动公开情况。</w:t>
      </w: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年，源泉镇政府充分利用博山区政府门户网站主动公开政府信息1</w:t>
      </w:r>
      <w:r>
        <w:rPr>
          <w:rFonts w:hint="eastAsia" w:ascii="仿宋_GB2312" w:eastAsia="仿宋_GB2312" w:cs="仿宋_GB2312"/>
          <w:sz w:val="32"/>
          <w:szCs w:val="32"/>
          <w:lang w:val="en-US" w:eastAsia="zh-CN"/>
        </w:rPr>
        <w:t>39</w:t>
      </w:r>
      <w:r>
        <w:rPr>
          <w:rFonts w:hint="eastAsia" w:ascii="仿宋_GB2312" w:eastAsia="仿宋_GB2312" w:cs="仿宋_GB2312"/>
          <w:sz w:val="32"/>
          <w:szCs w:val="32"/>
        </w:rPr>
        <w:t>条，内容涵盖农林、环保、扶贫、教育、卫计、文旅等工作，确保公众及时、全面、便捷地获取信息，增强信息公开实效，切实提高群众对全镇工作的知晓率。</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firstLine="643" w:firstLineChars="200"/>
        <w:textAlignment w:val="auto"/>
      </w:pPr>
      <w:r>
        <w:rPr>
          <w:rStyle w:val="6"/>
          <w:rFonts w:hint="eastAsia" w:ascii="楷体_GB2312" w:eastAsia="楷体_GB2312" w:cs="楷体_GB2312"/>
          <w:sz w:val="32"/>
          <w:szCs w:val="32"/>
        </w:rPr>
        <w:t>（二）依申请公开情况。</w:t>
      </w: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年我镇未收到政府信息公开申请。</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firstLine="643" w:firstLineChars="200"/>
        <w:textAlignment w:val="auto"/>
      </w:pPr>
      <w:r>
        <w:rPr>
          <w:rStyle w:val="6"/>
          <w:rFonts w:hint="eastAsia" w:ascii="楷体_GB2312" w:eastAsia="楷体_GB2312" w:cs="楷体_GB2312"/>
          <w:sz w:val="32"/>
          <w:szCs w:val="32"/>
        </w:rPr>
        <w:t>（三）政府信息管理情况。</w:t>
      </w:r>
      <w:r>
        <w:rPr>
          <w:rFonts w:hint="eastAsia" w:ascii="仿宋_GB2312" w:eastAsia="仿宋_GB2312" w:cs="仿宋_GB2312"/>
          <w:sz w:val="32"/>
          <w:szCs w:val="32"/>
        </w:rPr>
        <w:t>成立政府信息公开工作领导小组，由分管领导主抓，镇党政办工作人员具体负责政府信息公开工作，各委办人员相互配合，各负其责，确保政府信息公开工作顺利开展。</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firstLine="643" w:firstLineChars="200"/>
        <w:textAlignment w:val="auto"/>
      </w:pPr>
      <w:r>
        <w:rPr>
          <w:rStyle w:val="6"/>
          <w:rFonts w:hint="eastAsia" w:ascii="楷体_GB2312" w:eastAsia="楷体_GB2312" w:cs="楷体_GB2312"/>
          <w:sz w:val="32"/>
          <w:szCs w:val="32"/>
        </w:rPr>
        <w:t>（四）平台建设情况。</w:t>
      </w:r>
      <w:r>
        <w:rPr>
          <w:rFonts w:hint="eastAsia" w:ascii="仿宋_GB2312" w:eastAsia="仿宋_GB2312" w:cs="仿宋_GB2312"/>
          <w:sz w:val="32"/>
          <w:szCs w:val="32"/>
        </w:rPr>
        <w:t>依托博山区人民政府网站，统一由专人将各委办按规定应该向社会公开的信息上传镇政府门户网站的政府信息公开资源库，方便社会公众获取相关信息。通过“秀美山川幸福源泉”和“源泉镇欢迎您”微信公众平台，及时公开与人民群众生产生活相关的信息。</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firstLine="643" w:firstLineChars="200"/>
        <w:textAlignment w:val="auto"/>
      </w:pPr>
      <w:r>
        <w:rPr>
          <w:rStyle w:val="6"/>
          <w:rFonts w:hint="eastAsia" w:ascii="楷体_GB2312" w:eastAsia="楷体_GB2312" w:cs="楷体_GB2312"/>
          <w:sz w:val="32"/>
          <w:szCs w:val="32"/>
        </w:rPr>
        <w:t>（五）监督保障情况。</w:t>
      </w:r>
      <w:r>
        <w:rPr>
          <w:rFonts w:hint="eastAsia" w:ascii="仿宋_GB2312" w:eastAsia="仿宋_GB2312" w:cs="仿宋_GB2312"/>
          <w:sz w:val="32"/>
          <w:szCs w:val="32"/>
        </w:rPr>
        <w:t>严格按照《保密法》及相关规定，严格执行政府信息公开前保密审查制度，明确审查工作程序和责任，确保“上网信息不涉密，涉密信息不上网”，确保全镇政府信息公开工作规范化、标准化。</w:t>
      </w:r>
    </w:p>
    <w:p>
      <w:pPr>
        <w:pStyle w:val="3"/>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76" w:lineRule="exact"/>
        <w:ind w:left="0" w:firstLine="640"/>
        <w:textAlignment w:val="auto"/>
      </w:pPr>
      <w:r>
        <w:rPr>
          <w:rFonts w:hint="eastAsia" w:ascii="黑体" w:hAnsi="宋体" w:eastAsia="黑体" w:cs="黑体"/>
          <w:sz w:val="32"/>
          <w:szCs w:val="32"/>
        </w:rPr>
        <w:t>二、主动公开政府信息情况</w:t>
      </w:r>
    </w:p>
    <w:tbl>
      <w:tblPr>
        <w:tblStyle w:val="4"/>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w:t>
            </w:r>
            <w:r>
              <w:rPr>
                <w:rFonts w:ascii="Calibri" w:hAnsi="Calibri" w:cs="Calibri" w:eastAsiaTheme="minorEastAsia"/>
                <w:color w:val="000000"/>
                <w:kern w:val="0"/>
                <w:sz w:val="20"/>
                <w:szCs w:val="20"/>
                <w:lang w:val="en-US" w:eastAsia="zh-CN" w:bidi="ar"/>
              </w:rPr>
              <w:t>制</w:t>
            </w:r>
            <w:r>
              <w:rPr>
                <w:rFonts w:hint="eastAsia" w:ascii="宋体" w:hAnsi="宋体" w:eastAsia="宋体" w:cs="宋体"/>
                <w:color w:val="000000"/>
                <w:kern w:val="0"/>
                <w:sz w:val="20"/>
                <w:szCs w:val="20"/>
                <w:lang w:val="en-US" w:eastAsia="zh-CN" w:bidi="ar"/>
              </w:rPr>
              <w:t>发件</w:t>
            </w:r>
            <w:r>
              <w:rPr>
                <w:rFonts w:hint="default" w:ascii="Calibri" w:hAnsi="Calibri" w:cs="Calibri" w:eastAsiaTheme="minorEastAsia"/>
                <w:color w:val="000000"/>
                <w:kern w:val="0"/>
                <w:sz w:val="20"/>
                <w:szCs w:val="20"/>
                <w:lang w:val="en-US" w:eastAsia="zh-CN" w:bidi="ar"/>
              </w:rPr>
              <w:t>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现行有效件</w:t>
            </w:r>
            <w:r>
              <w:rPr>
                <w:rFonts w:hint="default" w:ascii="Calibri" w:hAnsi="Calibri" w:cs="Calibri" w:eastAsiaTheme="minorEastAsia"/>
                <w:color w:val="000000"/>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2</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1"/>
                <w:szCs w:val="21"/>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Calibri" w:hAnsi="Calibri" w:cs="Calibri"/>
                <w:color w:val="000000"/>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E6F4FF"/>
            <w:tcMar>
              <w:top w:w="0" w:type="dxa"/>
              <w:left w:w="57" w:type="dxa"/>
              <w:bottom w:w="0" w:type="dxa"/>
              <w:right w:w="57" w:type="dxa"/>
            </w:tcMar>
            <w:vAlign w:val="center"/>
          </w:tcPr>
          <w:p>
            <w:pPr>
              <w:jc w:val="cente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p>
        </w:tc>
      </w:tr>
    </w:tbl>
    <w:p>
      <w:pPr>
        <w:pStyle w:val="3"/>
        <w:keepNext w:val="0"/>
        <w:keepLines w:val="0"/>
        <w:pageBreakBefore w:val="0"/>
        <w:widowControl/>
        <w:numPr>
          <w:ilvl w:val="0"/>
          <w:numId w:val="1"/>
        </w:numPr>
        <w:suppressLineNumbers w:val="0"/>
        <w:kinsoku/>
        <w:wordWrap/>
        <w:overflowPunct/>
        <w:topLinePunct w:val="0"/>
        <w:autoSpaceDE w:val="0"/>
        <w:autoSpaceDN/>
        <w:bidi w:val="0"/>
        <w:adjustRightInd/>
        <w:snapToGrid/>
        <w:spacing w:beforeAutospacing="0" w:afterAutospacing="0" w:line="576" w:lineRule="exact"/>
        <w:ind w:left="0" w:firstLine="640" w:firstLineChars="200"/>
        <w:textAlignment w:val="auto"/>
        <w:rPr>
          <w:rFonts w:hint="eastAsia" w:ascii="黑体" w:hAnsi="宋体" w:eastAsia="黑体" w:cs="黑体"/>
          <w:sz w:val="32"/>
          <w:szCs w:val="32"/>
        </w:rPr>
      </w:pPr>
      <w:r>
        <w:rPr>
          <w:rFonts w:hint="eastAsia" w:ascii="黑体" w:hAnsi="宋体" w:eastAsia="黑体" w:cs="黑体"/>
          <w:sz w:val="32"/>
          <w:szCs w:val="32"/>
        </w:rPr>
        <w:t>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楷体" w:hAnsi="楷体" w:eastAsia="楷体" w:cs="楷体"/>
                <w:color w:val="000000"/>
                <w:kern w:val="0"/>
                <w:sz w:val="20"/>
                <w:szCs w:val="20"/>
                <w:lang w:val="en-US" w:eastAsia="zh-CN" w:bidi="ar"/>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714" w:type="dxa"/>
            <w:vMerge w:val="restart"/>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自然人</w:t>
            </w:r>
          </w:p>
        </w:tc>
        <w:tc>
          <w:tcPr>
            <w:tcW w:w="3570" w:type="dxa"/>
            <w:gridSpan w:val="5"/>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法人或其他组织</w:t>
            </w:r>
          </w:p>
        </w:tc>
        <w:tc>
          <w:tcPr>
            <w:tcW w:w="714" w:type="dxa"/>
            <w:vMerge w:val="restart"/>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vMerge w:val="continue"/>
            <w:tcBorders>
              <w:top w:val="single" w:color="auto" w:sz="8" w:space="0"/>
              <w:left w:val="single" w:color="auto" w:sz="8" w:space="0"/>
              <w:bottom w:val="outset"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714" w:type="dxa"/>
            <w:vMerge w:val="continue"/>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企业</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机构</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社会公益组织</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法律服务机构</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宋体" w:hAnsi="宋体" w:eastAsia="宋体" w:cs="宋体"/>
                <w:color w:val="000000"/>
                <w:kern w:val="0"/>
                <w:sz w:val="20"/>
                <w:szCs w:val="20"/>
                <w:lang w:val="en-US" w:eastAsia="zh-CN" w:bidi="ar"/>
              </w:rPr>
              <w:t>其他</w:t>
            </w:r>
          </w:p>
        </w:tc>
        <w:tc>
          <w:tcPr>
            <w:tcW w:w="714" w:type="dxa"/>
            <w:vMerge w:val="continue"/>
            <w:tcBorders>
              <w:top w:val="single"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一、本年新收政府信息公开申请数量</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color w:val="000000"/>
                <w:lang w:val="en-US"/>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二、上年结转政府信息公开申请数量</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restart"/>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三、本年度办理结果</w:t>
            </w:r>
          </w:p>
        </w:tc>
        <w:tc>
          <w:tcPr>
            <w:tcW w:w="4365"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（一）予以公开</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4365"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（二）部分公开</w:t>
            </w:r>
            <w:r>
              <w:rPr>
                <w:rFonts w:hint="eastAsia" w:ascii="楷体" w:hAnsi="楷体" w:eastAsia="楷体" w:cs="楷体"/>
                <w:color w:val="000000"/>
                <w:kern w:val="0"/>
                <w:sz w:val="20"/>
                <w:szCs w:val="20"/>
                <w:lang w:val="en-US" w:eastAsia="zh-CN" w:bidi="ar"/>
              </w:rPr>
              <w:t>（区分处理的，只计这一情形，不计其他情形）</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（三）不予公开</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1.属于国家秘密</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single" w:color="auto" w:sz="8" w:space="0"/>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2.其他法律行政法规禁止公开</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3.危及“三安全一稳定”</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4.保护第三方合法权益</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5.属于三类内部事务信息</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6.属于四类过程性信息</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7.属于行政执法案卷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8.属于行政查询事项</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（四）无法提供</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1.本机关不掌握相关政府信息</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2.没有现成信息需要另行制作</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3.补正后申请内容仍不明确</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restart"/>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（五）不予处理</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1.信访举报投诉类申请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2.重复申请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3.要求提供公开出版物</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4.无正当理由大量反复申请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779" w:hRule="atLeast"/>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5.要求行政机关确认或重新出具已获取信息</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outset"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restart"/>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（六）其他处理</w:t>
            </w: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1.申请人无正当理由逾期不补正、行政机关不再处理其政府信息公开申请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color w:val="000000"/>
              </w:rPr>
            </w:pPr>
            <w:r>
              <w:rPr>
                <w:rFonts w:hint="eastAsia" w:ascii="宋体" w:hAnsi="宋体" w:eastAsia="宋体" w:cs="宋体"/>
                <w:color w:val="000000"/>
                <w:kern w:val="0"/>
                <w:sz w:val="20"/>
                <w:szCs w:val="20"/>
                <w:lang w:val="en-US" w:eastAsia="zh-CN" w:bidi="ar"/>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959" w:type="dxa"/>
            <w:vMerge w:val="continue"/>
            <w:tcBorders>
              <w:top w:val="outset" w:color="auto" w:sz="8" w:space="0"/>
              <w:left w:val="nil"/>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3406"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3.其他</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785" w:type="dxa"/>
            <w:vMerge w:val="continue"/>
            <w:tcBorders>
              <w:top w:val="nil"/>
              <w:left w:val="single" w:color="auto" w:sz="8" w:space="0"/>
              <w:bottom w:val="outset" w:color="auto" w:sz="8" w:space="0"/>
              <w:right w:val="single" w:color="auto" w:sz="8" w:space="0"/>
            </w:tcBorders>
            <w:shd w:val="clear" w:color="auto" w:fill="E6F4FF"/>
            <w:tcMar>
              <w:top w:w="0" w:type="dxa"/>
              <w:left w:w="57" w:type="dxa"/>
              <w:bottom w:w="0" w:type="dxa"/>
              <w:right w:w="57" w:type="dxa"/>
            </w:tcMar>
            <w:vAlign w:val="center"/>
          </w:tcPr>
          <w:p>
            <w:pPr>
              <w:rPr>
                <w:rFonts w:hint="eastAsia" w:ascii="宋体"/>
                <w:color w:val="000000"/>
                <w:sz w:val="24"/>
                <w:szCs w:val="24"/>
              </w:rPr>
            </w:pPr>
          </w:p>
        </w:tc>
        <w:tc>
          <w:tcPr>
            <w:tcW w:w="4365" w:type="dxa"/>
            <w:gridSpan w:val="2"/>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（七）总计</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000000"/>
              </w:rPr>
            </w:pPr>
            <w:r>
              <w:rPr>
                <w:rFonts w:hint="eastAsia" w:ascii="宋体" w:hAnsi="宋体" w:eastAsia="宋体" w:cs="宋体"/>
                <w:color w:val="000000"/>
                <w:kern w:val="0"/>
                <w:sz w:val="20"/>
                <w:szCs w:val="20"/>
                <w:lang w:val="en-US" w:eastAsia="zh-CN" w:bidi="ar"/>
              </w:rPr>
              <w:t>四、结转下年度继续办理</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default" w:ascii="Calibri" w:hAnsi="Calibri" w:cs="Calibri" w:eastAsiaTheme="minorEastAsia"/>
                <w:color w:val="000000"/>
                <w:kern w:val="0"/>
                <w:sz w:val="20"/>
                <w:szCs w:val="20"/>
                <w:lang w:val="en-US" w:eastAsia="zh-CN" w:bidi="ar"/>
              </w:rPr>
              <w:t> </w:t>
            </w:r>
            <w:r>
              <w:rPr>
                <w:rFonts w:hint="eastAsia" w:ascii="Calibri" w:hAnsi="Calibri" w:cs="Calibri"/>
                <w:color w:val="000000"/>
                <w:kern w:val="0"/>
                <w:sz w:val="20"/>
                <w:szCs w:val="20"/>
                <w:lang w:val="en-US" w:eastAsia="zh-CN" w:bidi="ar"/>
              </w:rPr>
              <w:t>0</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000000"/>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c>
          <w:tcPr>
            <w:tcW w:w="714" w:type="dxa"/>
            <w:tcBorders>
              <w:top w:val="nil"/>
              <w:left w:val="nil"/>
              <w:bottom w:val="single" w:color="auto" w:sz="8" w:space="0"/>
              <w:right w:val="single" w:color="auto" w:sz="8" w:space="0"/>
            </w:tcBorders>
            <w:shd w:val="clear" w:color="auto" w:fill="E6F4FF"/>
            <w:tcMar>
              <w:top w:w="0" w:type="dxa"/>
              <w:left w:w="57" w:type="dxa"/>
              <w:bottom w:w="0"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color w:val="000000"/>
                <w:sz w:val="24"/>
                <w:szCs w:val="24"/>
              </w:rPr>
            </w:pPr>
            <w:r>
              <w:rPr>
                <w:rFonts w:hint="eastAsia" w:ascii="Calibri" w:hAnsi="Calibri" w:cs="Calibri"/>
                <w:color w:val="000000"/>
                <w:kern w:val="0"/>
                <w:sz w:val="20"/>
                <w:szCs w:val="20"/>
                <w:lang w:val="en-US" w:eastAsia="zh-CN" w:bidi="ar"/>
              </w:rPr>
              <w:t>0</w:t>
            </w:r>
            <w:r>
              <w:rPr>
                <w:rFonts w:hint="default" w:ascii="Calibri" w:hAnsi="Calibri" w:cs="Calibri" w:eastAsiaTheme="minorEastAsia"/>
                <w:color w:val="000000"/>
                <w:kern w:val="0"/>
                <w:sz w:val="20"/>
                <w:szCs w:val="20"/>
                <w:lang w:val="en-US" w:eastAsia="zh-CN" w:bidi="ar"/>
              </w:rPr>
              <w:t> </w:t>
            </w:r>
          </w:p>
        </w:tc>
      </w:tr>
    </w:tbl>
    <w:p>
      <w:pPr>
        <w:pStyle w:val="3"/>
        <w:keepNext w:val="0"/>
        <w:keepLines w:val="0"/>
        <w:pageBreakBefore w:val="0"/>
        <w:widowControl/>
        <w:numPr>
          <w:numId w:val="0"/>
        </w:numPr>
        <w:suppressLineNumbers w:val="0"/>
        <w:kinsoku/>
        <w:wordWrap/>
        <w:overflowPunct/>
        <w:topLinePunct w:val="0"/>
        <w:autoSpaceDE w:val="0"/>
        <w:autoSpaceDN/>
        <w:bidi w:val="0"/>
        <w:adjustRightInd/>
        <w:snapToGrid/>
        <w:spacing w:beforeAutospacing="0" w:afterAutospacing="0" w:line="576" w:lineRule="exact"/>
        <w:ind w:right="0" w:rightChars="0" w:firstLine="640" w:firstLineChars="200"/>
        <w:jc w:val="both"/>
        <w:textAlignment w:val="auto"/>
        <w:rPr>
          <w:rFonts w:hint="eastAsia" w:ascii="黑体" w:hAnsi="宋体" w:eastAsia="黑体" w:cs="黑体"/>
          <w:sz w:val="32"/>
          <w:szCs w:val="32"/>
        </w:rPr>
      </w:pPr>
      <w:r>
        <w:rPr>
          <w:rFonts w:hint="eastAsia" w:ascii="黑体" w:hAnsi="宋体" w:eastAsia="黑体" w:cs="黑体"/>
          <w:sz w:val="32"/>
          <w:szCs w:val="32"/>
          <w:lang w:eastAsia="zh-CN"/>
        </w:rPr>
        <w:t>四、</w:t>
      </w:r>
      <w:r>
        <w:rPr>
          <w:rFonts w:hint="eastAsia" w:ascii="黑体" w:hAnsi="宋体" w:eastAsia="黑体" w:cs="黑体"/>
          <w:sz w:val="32"/>
          <w:szCs w:val="32"/>
        </w:rPr>
        <w:t>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16"/>
        <w:gridCol w:w="816"/>
        <w:gridCol w:w="816"/>
        <w:gridCol w:w="816"/>
        <w:gridCol w:w="516"/>
        <w:gridCol w:w="816"/>
        <w:gridCol w:w="816"/>
        <w:gridCol w:w="816"/>
        <w:gridCol w:w="816"/>
        <w:gridCol w:w="516"/>
        <w:gridCol w:w="816"/>
        <w:gridCol w:w="816"/>
        <w:gridCol w:w="816"/>
        <w:gridCol w:w="816"/>
        <w:gridCol w:w="41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42"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color w:val="000000"/>
                <w:sz w:val="24"/>
                <w:szCs w:val="24"/>
              </w:rPr>
            </w:pP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维持</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维持</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结果 纠正</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其他 结果</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尚未 审结</w:t>
            </w:r>
          </w:p>
        </w:tc>
        <w:tc>
          <w:tcPr>
            <w:tcW w:w="643" w:type="dxa"/>
            <w:tcBorders>
              <w:top w:val="single" w:color="auto" w:sz="8" w:space="0"/>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ascii="黑体" w:hAnsi="宋体" w:eastAsia="黑体" w:cs="黑体"/>
                <w:color w:val="000000"/>
                <w:kern w:val="0"/>
                <w:sz w:val="20"/>
                <w:szCs w:val="20"/>
                <w:lang w:val="en-US" w:eastAsia="zh-CN" w:bidi="ar"/>
              </w:rPr>
              <w:t> </w:t>
            </w:r>
            <w:r>
              <w:rPr>
                <w:rFonts w:hint="eastAsia" w:ascii="黑体" w:hAnsi="宋体" w:eastAsia="黑体" w:cs="黑体"/>
                <w:color w:val="000000"/>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color w:val="000000"/>
                <w:lang w:val="en-US"/>
              </w:rPr>
            </w:pPr>
            <w:r>
              <w:rPr>
                <w:rFonts w:hint="eastAsia" w:ascii="黑体" w:hAnsi="宋体" w:eastAsia="黑体" w:cs="黑体"/>
                <w:color w:val="000000"/>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000000"/>
              </w:rPr>
            </w:pPr>
            <w:r>
              <w:rPr>
                <w:rFonts w:hint="eastAsia" w:ascii="黑体" w:hAnsi="宋体" w:eastAsia="黑体" w:cs="黑体"/>
                <w:color w:val="000000"/>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shd w:val="clear" w:color="auto" w:fill="E6F4FF"/>
            <w:tcMar>
              <w:top w:w="0" w:type="dxa"/>
              <w:left w:w="108" w:type="dxa"/>
              <w:bottom w:w="0" w:type="dxa"/>
              <w:right w:w="108" w:type="dxa"/>
            </w:tcMar>
            <w:vAlign w:val="center"/>
          </w:tcPr>
          <w:p>
            <w:pPr>
              <w:rPr>
                <w:rFonts w:hint="eastAsia" w:ascii="宋体" w:eastAsiaTheme="minorEastAsia"/>
                <w:color w:val="000000"/>
                <w:sz w:val="24"/>
                <w:szCs w:val="24"/>
                <w:lang w:val="en-US" w:eastAsia="zh-CN"/>
              </w:rPr>
            </w:pPr>
            <w:r>
              <w:rPr>
                <w:rFonts w:hint="eastAsia" w:ascii="宋体"/>
                <w:color w:val="000000"/>
                <w:sz w:val="24"/>
                <w:szCs w:val="24"/>
                <w:lang w:val="en-US" w:eastAsia="zh-CN"/>
              </w:rPr>
              <w:t>0</w:t>
            </w:r>
            <w:bookmarkStart w:id="0" w:name="_GoBack"/>
            <w:bookmarkEnd w:id="0"/>
          </w:p>
        </w:tc>
      </w:tr>
    </w:tbl>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firstLine="640" w:firstLineChars="200"/>
        <w:textAlignment w:val="auto"/>
      </w:pPr>
      <w:r>
        <w:rPr>
          <w:rFonts w:hint="eastAsia" w:ascii="黑体" w:hAnsi="宋体" w:eastAsia="黑体" w:cs="黑体"/>
          <w:sz w:val="32"/>
          <w:szCs w:val="32"/>
        </w:rPr>
        <w:t>五、存在的主要问题及改进情况</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firstLineChars="200"/>
        <w:textAlignment w:val="auto"/>
      </w:pPr>
      <w:r>
        <w:rPr>
          <w:rFonts w:hint="eastAsia" w:ascii="仿宋_GB2312" w:eastAsia="仿宋_GB2312" w:cs="仿宋_GB2312"/>
          <w:sz w:val="32"/>
          <w:szCs w:val="32"/>
        </w:rPr>
        <w:t>202</w:t>
      </w:r>
      <w:r>
        <w:rPr>
          <w:rFonts w:hint="eastAsia" w:ascii="仿宋_GB2312" w:eastAsia="仿宋_GB2312" w:cs="仿宋_GB2312"/>
          <w:sz w:val="32"/>
          <w:szCs w:val="32"/>
          <w:lang w:val="en-US" w:eastAsia="zh-CN"/>
        </w:rPr>
        <w:t>1</w:t>
      </w:r>
      <w:r>
        <w:rPr>
          <w:rFonts w:hint="eastAsia" w:ascii="仿宋_GB2312" w:eastAsia="仿宋_GB2312" w:cs="仿宋_GB2312"/>
          <w:sz w:val="32"/>
          <w:szCs w:val="32"/>
        </w:rPr>
        <w:t>年我镇政府信息公开工作总体上能按照《中华人民共和国政府信息公开条例》和区政府的要求有效开展，并取得一定成效。但仍存在一些问题：一是政府信息公开意识不强，公开时效性、公开内容质量有待加强；二是政府信息公开形式单一，有待加强宣传推广；三是基层政务公开工作人员业务水平和工作积极性不高。</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firstLineChars="200"/>
        <w:textAlignment w:val="auto"/>
      </w:pPr>
      <w:r>
        <w:rPr>
          <w:rFonts w:hint="eastAsia" w:ascii="仿宋_GB2312" w:eastAsia="仿宋_GB2312" w:cs="仿宋_GB2312"/>
          <w:sz w:val="32"/>
          <w:szCs w:val="32"/>
        </w:rPr>
        <w:t>在接下来的工作中我镇将从以下几方面对信息公开工作加以改进：一是充实政府信息公开内容，突出重点、热点和难点问题，切实发挥好信息公开平台的桥梁作用；二是充分利用区政府网站、微信公众号、公示公开栏等渠道主动公开政府信息，提高群众对全镇工作的知晓率；三是组织全镇机关工作人员，尤其是具体承办人员加强政府信息公开工作的学习和培训，规范政府信息公开工作。</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firstLineChars="200"/>
        <w:textAlignment w:val="auto"/>
      </w:pPr>
      <w:r>
        <w:rPr>
          <w:rFonts w:hint="eastAsia" w:ascii="黑体" w:hAnsi="宋体" w:eastAsia="黑体" w:cs="黑体"/>
          <w:sz w:val="32"/>
          <w:szCs w:val="32"/>
        </w:rPr>
        <w:t>六、其他需要报告的事项</w:t>
      </w:r>
    </w:p>
    <w:p>
      <w:pPr>
        <w:pStyle w:val="3"/>
        <w:keepNext w:val="0"/>
        <w:keepLines w:val="0"/>
        <w:pageBreakBefore w:val="0"/>
        <w:widowControl/>
        <w:suppressLineNumbers w:val="0"/>
        <w:kinsoku/>
        <w:wordWrap/>
        <w:overflowPunct/>
        <w:topLinePunct w:val="0"/>
        <w:autoSpaceDE w:val="0"/>
        <w:autoSpaceDN/>
        <w:bidi w:val="0"/>
        <w:adjustRightInd/>
        <w:snapToGrid/>
        <w:spacing w:beforeAutospacing="0" w:afterAutospacing="0" w:line="576" w:lineRule="exact"/>
        <w:ind w:left="0" w:firstLine="640" w:firstLineChars="200"/>
        <w:textAlignment w:val="auto"/>
      </w:pPr>
      <w:r>
        <w:rPr>
          <w:rFonts w:hint="eastAsia" w:ascii="仿宋_GB2312" w:eastAsia="仿宋_GB2312" w:cs="仿宋_GB2312"/>
          <w:sz w:val="32"/>
          <w:szCs w:val="32"/>
        </w:rPr>
        <w:t>本年度无其他需要说明的事项。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FDDA0"/>
    <w:multiLevelType w:val="singleLevel"/>
    <w:tmpl w:val="4ECFDDA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F20FA6"/>
    <w:rsid w:val="422D1D86"/>
    <w:rsid w:val="4B311236"/>
    <w:rsid w:val="55C61759"/>
    <w:rsid w:val="5D2D7A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2022-01-20T06:29:36Z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