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center"/>
        <w:textAlignment w:val="auto"/>
        <w:rPr>
          <w:rFonts w:hint="eastAsia" w:ascii="方正小标宋简体" w:hAnsi="方正小标宋简体" w:eastAsia="方正小标宋简体" w:cs="方正小标宋简体"/>
          <w:spacing w:val="-23"/>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lang w:val="en-US" w:eastAsia="zh-CN"/>
        </w:rPr>
        <w:t>博政管办发〔2024〕2号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区政务服务管理办公室   区行政审批服务局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印发《关于深化政务增值服务赋能博山建设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的行动方案》的通知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各镇人民政府、街道办事处，区直各有关部门：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现将《关于深化政务增值服务赋能博山建设的行动方案》印发给你们，请认真贯彻执行。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博山区政务服务管理办公室</w:t>
      </w:r>
    </w:p>
    <w:p>
      <w:pPr>
        <w:keepNext w:val="0"/>
        <w:keepLines w:val="0"/>
        <w:pageBreakBefore w:val="0"/>
        <w:widowControl w:val="0"/>
        <w:kinsoku/>
        <w:wordWrap/>
        <w:overflowPunct/>
        <w:topLinePunct w:val="0"/>
        <w:bidi w:val="0"/>
        <w:adjustRightInd/>
        <w:snapToGrid/>
        <w:spacing w:line="576" w:lineRule="exact"/>
        <w:ind w:firstLine="4656" w:firstLineChars="1200"/>
        <w:jc w:val="both"/>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34"/>
          <w:sz w:val="32"/>
          <w:szCs w:val="32"/>
          <w:lang w:val="en-US" w:eastAsia="zh-CN"/>
        </w:rPr>
        <w:t>博山区行政审批服务局</w:t>
      </w:r>
    </w:p>
    <w:p>
      <w:pPr>
        <w:keepNext w:val="0"/>
        <w:keepLines w:val="0"/>
        <w:pageBreakBefore w:val="0"/>
        <w:widowControl w:val="0"/>
        <w:kinsoku/>
        <w:wordWrap/>
        <w:overflowPunct/>
        <w:topLinePunct w:val="0"/>
        <w:bidi w:val="0"/>
        <w:adjustRightInd/>
        <w:snapToGrid/>
        <w:spacing w:line="576" w:lineRule="exact"/>
        <w:ind w:firstLine="5440" w:firstLineChars="17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lang w:val="en-US" w:eastAsia="zh-CN"/>
        </w:rPr>
        <w:t>日</w:t>
      </w:r>
    </w:p>
    <w:p>
      <w:pPr>
        <w:rPr>
          <w:rFonts w:hint="eastAsia" w:ascii="方正小标宋简体" w:hAnsi="方正小标宋简体" w:eastAsia="方正小标宋简体" w:cs="方正小标宋简体"/>
          <w:spacing w:val="-23"/>
          <w:sz w:val="44"/>
          <w:szCs w:val="44"/>
          <w:lang w:val="en-US" w:eastAsia="zh-CN"/>
        </w:rPr>
      </w:pPr>
      <w:r>
        <w:rPr>
          <w:rFonts w:hint="eastAsia" w:ascii="方正小标宋简体" w:hAnsi="方正小标宋简体" w:eastAsia="方正小标宋简体" w:cs="方正小标宋简体"/>
          <w:spacing w:val="-23"/>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spacing w:val="-23"/>
          <w:sz w:val="44"/>
          <w:szCs w:val="44"/>
          <w:lang w:val="en-US" w:eastAsia="zh-CN"/>
        </w:rPr>
      </w:pPr>
      <w:r>
        <w:rPr>
          <w:rFonts w:hint="eastAsia" w:ascii="方正小标宋简体" w:hAnsi="方正小标宋简体" w:eastAsia="方正小标宋简体" w:cs="方正小标宋简体"/>
          <w:spacing w:val="-23"/>
          <w:sz w:val="44"/>
          <w:szCs w:val="44"/>
          <w:lang w:val="en-US" w:eastAsia="zh-CN"/>
        </w:rPr>
        <w:t>博山区政务服务管理办公室 博山区行政审批服务局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关于深化政务增值服务赋能博山建设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楷体" w:hAnsi="楷体" w:eastAsia="楷体" w:cs="楷体"/>
          <w:b w:val="0"/>
          <w:bCs w:val="0"/>
          <w:color w:val="auto"/>
          <w:kern w:val="2"/>
          <w:sz w:val="32"/>
          <w:szCs w:val="32"/>
          <w:lang w:val="en-US" w:eastAsia="zh-CN" w:bidi="ar-SA"/>
        </w:rPr>
      </w:pPr>
      <w:r>
        <w:rPr>
          <w:rFonts w:hint="eastAsia" w:ascii="方正小标宋简体" w:hAnsi="方正小标宋简体" w:eastAsia="方正小标宋简体" w:cs="方正小标宋简体"/>
          <w:sz w:val="44"/>
          <w:szCs w:val="44"/>
          <w:lang w:val="en-US" w:eastAsia="zh-CN"/>
        </w:rPr>
        <w:t>的行动方案</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为全面贯彻落实市委、市政府“服务淄博”要求，继续突出发展和民生两大主题，扎实推动政务服务从便捷服务向增值服务迭代升级，现就深化政务增值服务赋能博山建设，制定本行动方案。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numPr>
          <w:ilvl w:val="0"/>
          <w:numId w:val="0"/>
        </w:numPr>
        <w:tabs>
          <w:tab w:val="left" w:pos="5740"/>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以习近平新时代中国特色社会主义思想为指导，以“高效办成一件事”为牵引，立足企业群众视角，锚定</w:t>
      </w:r>
      <w:r>
        <w:rPr>
          <w:rFonts w:hint="eastAsia" w:ascii="仿宋_GB2312" w:hAnsi="仿宋_GB2312" w:eastAsia="仿宋_GB2312" w:cs="仿宋_GB2312"/>
          <w:b w:val="0"/>
          <w:bCs w:val="0"/>
          <w:spacing w:val="0"/>
          <w:sz w:val="32"/>
          <w:szCs w:val="32"/>
          <w:lang w:val="en-US" w:eastAsia="zh-CN"/>
        </w:rPr>
        <w:t>“产业振兴、环境优美、群众满意”三大目标</w:t>
      </w:r>
      <w:r>
        <w:rPr>
          <w:rFonts w:hint="eastAsia" w:ascii="仿宋_GB2312" w:hAnsi="仿宋_GB2312" w:eastAsia="仿宋_GB2312" w:cs="仿宋_GB2312"/>
          <w:b w:val="0"/>
          <w:bCs w:val="0"/>
          <w:color w:val="auto"/>
          <w:sz w:val="32"/>
          <w:szCs w:val="32"/>
          <w:lang w:val="en-US" w:eastAsia="zh-CN"/>
        </w:rPr>
        <w:t>，坚持思想转变、制度创新、数字化发展，开展政务服务、园区项目建设、助企暖企、数字赋能增值服务行动，推动</w:t>
      </w:r>
      <w:r>
        <w:rPr>
          <w:rFonts w:hint="eastAsia" w:ascii="仿宋_GB2312" w:hAnsi="仿宋_GB2312" w:eastAsia="仿宋_GB2312" w:cs="仿宋_GB2312"/>
          <w:sz w:val="32"/>
          <w:szCs w:val="32"/>
          <w:lang w:val="en-US" w:eastAsia="zh-CN"/>
        </w:rPr>
        <w:t>政务服务从“能办”向“好办”转变，</w:t>
      </w:r>
      <w:r>
        <w:rPr>
          <w:rFonts w:hint="eastAsia" w:ascii="仿宋_GB2312" w:hAnsi="仿宋_GB2312" w:eastAsia="仿宋_GB2312" w:cs="仿宋_GB2312"/>
          <w:b w:val="0"/>
          <w:bCs w:val="0"/>
          <w:color w:val="auto"/>
          <w:sz w:val="32"/>
          <w:szCs w:val="32"/>
          <w:lang w:val="en-US" w:eastAsia="zh-CN"/>
        </w:rPr>
        <w:t>构建形成</w:t>
      </w:r>
      <w:r>
        <w:rPr>
          <w:rFonts w:hint="default" w:ascii="仿宋_GB2312" w:hAnsi="宋体" w:eastAsia="仿宋_GB2312" w:cs="仿宋_GB2312"/>
          <w:color w:val="000000"/>
          <w:kern w:val="0"/>
          <w:sz w:val="32"/>
          <w:szCs w:val="32"/>
          <w:lang w:val="en-US" w:eastAsia="zh-CN" w:bidi="ar"/>
        </w:rPr>
        <w:t>全链条、全要素、全周期、全天候、全品牌、全满意</w:t>
      </w:r>
      <w:r>
        <w:rPr>
          <w:rFonts w:hint="eastAsia" w:ascii="仿宋_GB2312" w:hAnsi="仿宋_GB2312" w:eastAsia="仿宋_GB2312" w:cs="仿宋_GB2312"/>
          <w:b w:val="0"/>
          <w:bCs w:val="0"/>
          <w:color w:val="auto"/>
          <w:sz w:val="32"/>
          <w:szCs w:val="32"/>
          <w:lang w:val="en-US" w:eastAsia="zh-CN"/>
        </w:rPr>
        <w:t>的高效政务服务新生态。</w:t>
      </w:r>
    </w:p>
    <w:p>
      <w:pPr>
        <w:keepNext w:val="0"/>
        <w:keepLines w:val="0"/>
        <w:pageBreakBefore w:val="0"/>
        <w:widowControl w:val="0"/>
        <w:numPr>
          <w:ilvl w:val="0"/>
          <w:numId w:val="0"/>
        </w:numPr>
        <w:tabs>
          <w:tab w:val="left" w:pos="5740"/>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r>
        <w:rPr>
          <w:rFonts w:hint="eastAsia" w:ascii="黑体" w:hAnsi="黑体" w:eastAsia="黑体" w:cs="黑体"/>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聚焦产业项目振兴发展，</w:t>
      </w:r>
      <w:r>
        <w:rPr>
          <w:rFonts w:hint="eastAsia" w:ascii="楷体_GB2312" w:hAnsi="楷体_GB2312" w:eastAsia="楷体_GB2312" w:cs="楷体_GB2312"/>
          <w:sz w:val="32"/>
          <w:szCs w:val="32"/>
        </w:rPr>
        <w:t>实施项目</w:t>
      </w:r>
      <w:r>
        <w:rPr>
          <w:rFonts w:hint="eastAsia" w:ascii="楷体_GB2312" w:hAnsi="楷体_GB2312" w:eastAsia="楷体_GB2312" w:cs="楷体_GB2312"/>
          <w:sz w:val="32"/>
          <w:szCs w:val="32"/>
          <w:lang w:val="en-US" w:eastAsia="zh-CN"/>
        </w:rPr>
        <w:t>审批</w:t>
      </w:r>
      <w:r>
        <w:rPr>
          <w:rFonts w:hint="eastAsia" w:ascii="楷体_GB2312" w:hAnsi="楷体_GB2312" w:eastAsia="楷体_GB2312" w:cs="楷体_GB2312"/>
          <w:sz w:val="32"/>
          <w:szCs w:val="32"/>
        </w:rPr>
        <w:t>增值</w:t>
      </w:r>
      <w:r>
        <w:rPr>
          <w:rFonts w:hint="eastAsia" w:ascii="楷体_GB2312" w:hAnsi="楷体_GB2312" w:eastAsia="楷体_GB2312" w:cs="楷体_GB2312"/>
          <w:sz w:val="32"/>
          <w:szCs w:val="32"/>
          <w:lang w:val="en-US" w:eastAsia="zh-CN"/>
        </w:rPr>
        <w:t>行动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Times New Roman"/>
          <w:sz w:val="32"/>
          <w:lang w:val="en-US" w:eastAsia="zh-CN" w:bidi="ar-SA"/>
        </w:rPr>
      </w:pPr>
      <w:r>
        <w:rPr>
          <w:rFonts w:hint="eastAsia" w:ascii="Times New Roman" w:hAnsi="Times New Roman"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val="en-US" w:eastAsia="zh-CN"/>
        </w:rPr>
        <w:t>.关口前移推动项目快落地。</w:t>
      </w:r>
      <w:r>
        <w:rPr>
          <w:rFonts w:hint="eastAsia" w:ascii="仿宋_GB2312" w:hAnsi="仿宋_GB2312" w:eastAsia="仿宋_GB2312" w:cs="Times New Roman"/>
          <w:sz w:val="32"/>
          <w:lang w:val="en-US" w:eastAsia="zh-CN" w:bidi="ar-SA"/>
        </w:rPr>
        <w:t>探索开展工程建设项目“预审批”，在投资项目土地手续办理期内，联合规划、住建等部门，将后续审批工作窗口前移，为项目开展“预审批”，提前化解项目相关问题和困难，待项目前置手续完成后，实现建设项目施工许可“秒批秒办”。推深做实</w:t>
      </w:r>
      <w:r>
        <w:rPr>
          <w:rFonts w:hint="eastAsia" w:ascii="仿宋_GB2312" w:hAnsi="仿宋_GB2312" w:eastAsia="仿宋_GB2312" w:cs="仿宋_GB2312"/>
          <w:sz w:val="32"/>
          <w:szCs w:val="32"/>
          <w:lang w:val="en-US" w:eastAsia="zh-CN"/>
        </w:rPr>
        <w:t>项目批前服务，利用智慧批前辅导小程序破解项目立项开工中疑难问题；推出批前惠企服务，为项目、企业提供一对一“立项+惠资”“立项+惠贷”“立项+惠税”“立项+惠电”批前辅导。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lang w:val="en-US" w:eastAsia="zh-CN"/>
        </w:rPr>
        <w:t>.集成服务降低项目开工行政成本。</w:t>
      </w:r>
      <w:r>
        <w:rPr>
          <w:rFonts w:hint="eastAsia" w:ascii="仿宋_GB2312" w:hAnsi="仿宋_GB2312" w:eastAsia="仿宋_GB2312" w:cs="仿宋_GB2312"/>
          <w:sz w:val="32"/>
          <w:szCs w:val="32"/>
          <w:lang w:val="en-US" w:eastAsia="zh-CN"/>
        </w:rPr>
        <w:t>深化系统集成改革，优化项目审批各阶段并联办理协同机制，推进生态环境、安全、涉水、市政设施领域许可事项和工程规划、图审、施工许可、联合验收等项目全过程重要节点关联事项集成办理。打造市政公用服务协同报装接入“服务团队”，实行超前对接、全程服务，推进市政公用基础设施与主体工程同步设计、同步施工、同步验</w:t>
      </w:r>
      <w:r>
        <w:rPr>
          <w:rFonts w:hint="eastAsia" w:ascii="仿宋_GB2312" w:hAnsi="仿宋_GB2312" w:eastAsia="仿宋_GB2312" w:cs="仿宋_GB2312"/>
          <w:b w:val="0"/>
          <w:bCs w:val="0"/>
          <w:color w:val="000000"/>
          <w:sz w:val="32"/>
          <w:szCs w:val="32"/>
          <w:lang w:val="en-US" w:eastAsia="zh-CN"/>
        </w:rPr>
        <w:t>收后直接接入。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.简化流程推动项目快开工。</w:t>
      </w:r>
      <w:r>
        <w:rPr>
          <w:rFonts w:hint="eastAsia" w:ascii="仿宋_GB2312" w:hAnsi="仿宋_GB2312" w:eastAsia="仿宋_GB2312" w:cs="仿宋_GB2312"/>
          <w:b w:val="0"/>
          <w:bCs w:val="0"/>
          <w:color w:val="000000"/>
          <w:sz w:val="32"/>
          <w:szCs w:val="32"/>
          <w:lang w:val="en-US" w:eastAsia="zh-CN"/>
        </w:rPr>
        <w:t>落实租赁</w:t>
      </w:r>
      <w:r>
        <w:rPr>
          <w:rFonts w:hint="eastAsia" w:ascii="仿宋_GB2312" w:hAnsi="仿宋_GB2312" w:eastAsia="仿宋_GB2312" w:cs="仿宋_GB2312"/>
          <w:sz w:val="32"/>
          <w:szCs w:val="32"/>
          <w:lang w:val="en-US" w:eastAsia="zh-CN"/>
        </w:rPr>
        <w:t>土地工程建设项目办理手续改革经验，实行工程规划和施工手续“一站式”办理，将审批时限压减至15个工作日。对租赁厂房工业项目推行“租赁即开工”审批模式，审批时限压减至1个工作日。深化项目“分段施工、分期验收”改革，将分段施工优化提升为“基坑支护和土方开挖、桩基施工”“地下室”“±0.000以上”“装饰装修及室外附属工程”四个阶段。推行工程建设项目“验登合一”，联合住建、自然资源等部门，探索在工业类建设项目竣工阶段“数据共享、联合办理”，住建部门在竣工验收的同时，自然资源部门同步进行不动产登记，实现竣工验收、不动产登记并联办理，达到“竣工即发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聚焦市场主体提质增量，</w:t>
      </w:r>
      <w:r>
        <w:rPr>
          <w:rFonts w:hint="eastAsia" w:ascii="楷体_GB2312" w:hAnsi="楷体_GB2312" w:eastAsia="楷体_GB2312" w:cs="楷体_GB2312"/>
          <w:sz w:val="32"/>
          <w:szCs w:val="32"/>
        </w:rPr>
        <w:t>实施</w:t>
      </w:r>
      <w:r>
        <w:rPr>
          <w:rFonts w:hint="eastAsia" w:ascii="楷体_GB2312" w:hAnsi="楷体_GB2312" w:eastAsia="楷体_GB2312" w:cs="楷体_GB2312"/>
          <w:sz w:val="32"/>
          <w:szCs w:val="32"/>
          <w:lang w:val="en-US" w:eastAsia="zh-CN"/>
        </w:rPr>
        <w:t>助企暖企</w:t>
      </w:r>
      <w:r>
        <w:rPr>
          <w:rFonts w:hint="eastAsia" w:ascii="楷体_GB2312" w:hAnsi="楷体_GB2312" w:eastAsia="楷体_GB2312" w:cs="楷体_GB2312"/>
          <w:sz w:val="32"/>
          <w:szCs w:val="32"/>
        </w:rPr>
        <w:t>增值</w:t>
      </w:r>
      <w:r>
        <w:rPr>
          <w:rFonts w:hint="eastAsia" w:ascii="楷体_GB2312" w:hAnsi="楷体_GB2312" w:eastAsia="楷体_GB2312" w:cs="楷体_GB2312"/>
          <w:sz w:val="32"/>
          <w:szCs w:val="32"/>
          <w:lang w:val="en-US" w:eastAsia="zh-CN"/>
        </w:rPr>
        <w:t>行动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bCs/>
          <w:sz w:val="32"/>
          <w:szCs w:val="32"/>
          <w:u w:val="none"/>
          <w:lang w:val="en-US" w:eastAsia="zh-CN"/>
        </w:rPr>
        <w:t>1</w:t>
      </w:r>
      <w:r>
        <w:rPr>
          <w:rFonts w:hint="eastAsia" w:ascii="仿宋_GB2312" w:hAnsi="仿宋_GB2312" w:eastAsia="仿宋_GB2312" w:cs="仿宋_GB2312"/>
          <w:b/>
          <w:bCs/>
          <w:sz w:val="32"/>
          <w:szCs w:val="32"/>
          <w:u w:val="none"/>
          <w:lang w:val="en-US" w:eastAsia="zh-CN"/>
        </w:rPr>
        <w:t>.园区服务中心升级实现涉企服务一站式办结。</w:t>
      </w:r>
      <w:r>
        <w:rPr>
          <w:rFonts w:hint="eastAsia" w:ascii="仿宋_GB2312" w:hAnsi="仿宋_GB2312" w:eastAsia="仿宋_GB2312" w:cs="仿宋_GB2312"/>
          <w:b w:val="0"/>
          <w:bCs w:val="0"/>
          <w:sz w:val="32"/>
          <w:szCs w:val="32"/>
          <w:lang w:val="en-US" w:eastAsia="zh-CN"/>
        </w:rPr>
        <w:t>升级完善企业服务中心功能，</w:t>
      </w:r>
      <w:r>
        <w:rPr>
          <w:rFonts w:hint="eastAsia" w:ascii="仿宋_GB2312" w:hAnsi="仿宋_GB2312" w:eastAsia="仿宋_GB2312" w:cs="仿宋_GB2312"/>
          <w:sz w:val="32"/>
          <w:szCs w:val="32"/>
          <w:lang w:val="en-US" w:eastAsia="zh-CN"/>
        </w:rPr>
        <w:t>搭建“企业全生命周期集成服务工作室”，</w:t>
      </w:r>
      <w:r>
        <w:rPr>
          <w:rFonts w:hint="eastAsia" w:ascii="仿宋_GB2312" w:hAnsi="仿宋_GB2312" w:eastAsia="仿宋_GB2312" w:cs="仿宋_GB2312"/>
          <w:b w:val="0"/>
          <w:bCs w:val="0"/>
          <w:sz w:val="32"/>
          <w:szCs w:val="32"/>
          <w:lang w:val="en-US" w:eastAsia="zh-CN"/>
        </w:rPr>
        <w:t>一站式开展企业需求受理、流转、督办、反馈；整合涉企服务事项，编制涉企服务清单，提供企业准入准营、运营发展、退出市场全生命周期所需公共服务。打造多功能、集约化、个性化园区政务服务中心（站点），提升“园区事园区办”服务质效。搭建</w:t>
      </w:r>
      <w:r>
        <w:rPr>
          <w:rFonts w:hint="eastAsia" w:ascii="仿宋_GB2312" w:hAnsi="仿宋_GB2312" w:eastAsia="仿宋_GB2312" w:cs="仿宋_GB2312"/>
          <w:sz w:val="32"/>
          <w:szCs w:val="32"/>
          <w:lang w:val="en-US" w:eastAsia="zh-CN"/>
        </w:rPr>
        <w:t>“创业会客厅”，</w:t>
      </w:r>
      <w:r>
        <w:rPr>
          <w:rFonts w:hint="eastAsia" w:ascii="仿宋_GB2312" w:hAnsi="仿宋_GB2312" w:eastAsia="仿宋_GB2312" w:cs="仿宋_GB2312"/>
          <w:b w:val="0"/>
          <w:bCs w:val="0"/>
          <w:sz w:val="32"/>
          <w:szCs w:val="32"/>
          <w:lang w:val="en-US" w:eastAsia="zh-CN"/>
        </w:rPr>
        <w:t>组建“创新创业陪跑员”队伍，为初创企业提供政策法规咨询、政务服务全程帮办跟办服务。推广应用“企业码”，以电子营业执照“企业码”为载体，关联归集展示企业相关信息数据，实现企业办事“一码通行、一码通展、一码通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.准入机制精准放宽激发市场主体活力。</w:t>
      </w:r>
      <w:r>
        <w:rPr>
          <w:rFonts w:hint="eastAsia" w:ascii="仿宋_GB2312" w:hAnsi="仿宋_GB2312" w:eastAsia="仿宋_GB2312" w:cs="仿宋_GB2312"/>
          <w:sz w:val="32"/>
          <w:szCs w:val="32"/>
          <w:lang w:val="en-US" w:eastAsia="zh-CN"/>
        </w:rPr>
        <w:t>全面实施市场准入负面清单，定期组织开展市场准入壁垒排查清理。深化“准入准营”改革，推动降低市场主体准入成本。推深做实支持市场主体发展35条措施，深化落实企业“一照多址”“一证多址”改革措施，降低证照手续管理成本。扩大企业“集群注册登记”类型，推广席位注册、共享办公等形式，规范经营范围和住所表述方式，帮助初创企业降低办公场所租用成本。畅通市场主体退出渠道，建立完善市场主体退出机制，提升简易注销业务占比，推进企业强制退出试点工作，释放企业名称等各类社会资源，激发市场主体活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.全流程服务保障市场主体健康发展。</w:t>
      </w:r>
      <w:r>
        <w:rPr>
          <w:rFonts w:hint="eastAsia" w:ascii="仿宋_GB2312" w:hAnsi="仿宋_GB2312" w:eastAsia="仿宋_GB2312" w:cs="仿宋_GB2312"/>
          <w:b w:val="0"/>
          <w:bCs w:val="0"/>
          <w:sz w:val="32"/>
          <w:szCs w:val="32"/>
          <w:highlight w:val="none"/>
          <w:lang w:val="en-US" w:eastAsia="zh-CN"/>
        </w:rPr>
        <w:t>梳理归集企业关注度高、需求量大、关联度强的服务事项，分领域制定医疗、食品、文旅、教育等行业企业“一类事”服务清单，拓展事前、事中、事后服务场景。</w:t>
      </w:r>
      <w:r>
        <w:rPr>
          <w:rFonts w:hint="eastAsia" w:ascii="仿宋_GB2312" w:hAnsi="仿宋_GB2312" w:eastAsia="仿宋_GB2312"/>
          <w:sz w:val="32"/>
          <w:szCs w:val="32"/>
          <w:highlight w:val="none"/>
          <w:lang w:val="en-US" w:eastAsia="zh-CN"/>
        </w:rPr>
        <w:t>推行政务服务“园长制”，专任园长园丁负责园区全方位政务服务事项办理，结合产业链发展特</w:t>
      </w:r>
      <w:r>
        <w:rPr>
          <w:rFonts w:hint="eastAsia" w:ascii="仿宋_GB2312" w:hAnsi="仿宋_GB2312" w:eastAsia="仿宋_GB2312"/>
          <w:sz w:val="32"/>
          <w:szCs w:val="32"/>
          <w:lang w:val="en-US" w:eastAsia="zh-CN"/>
        </w:rPr>
        <w:t>点制定产业要素保障“导引图”。</w:t>
      </w:r>
      <w:r>
        <w:rPr>
          <w:rFonts w:hint="eastAsia" w:ascii="仿宋_GB2312" w:hAnsi="仿宋_GB2312" w:eastAsia="仿宋_GB2312" w:cs="仿宋_GB2312"/>
          <w:sz w:val="32"/>
          <w:szCs w:val="32"/>
          <w:lang w:val="en-US" w:eastAsia="zh-CN"/>
        </w:rPr>
        <w:t>推出市场主体“证后服务”。针对市场主体准入、准营后相关证照办理情况，进一步梳理“证后”事项，形成“证后清单”，为市场主体量身定制服务提醒函，在颁证同时为市场主体发放。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聚焦群众满意度提升，</w:t>
      </w:r>
      <w:r>
        <w:rPr>
          <w:rFonts w:hint="eastAsia" w:ascii="楷体_GB2312" w:hAnsi="楷体_GB2312" w:eastAsia="楷体_GB2312" w:cs="楷体_GB2312"/>
          <w:sz w:val="32"/>
          <w:szCs w:val="32"/>
        </w:rPr>
        <w:t>实施</w:t>
      </w:r>
      <w:r>
        <w:rPr>
          <w:rFonts w:hint="eastAsia" w:ascii="楷体_GB2312" w:hAnsi="楷体_GB2312" w:eastAsia="楷体_GB2312" w:cs="楷体_GB2312"/>
          <w:sz w:val="32"/>
          <w:szCs w:val="32"/>
          <w:lang w:val="en-US" w:eastAsia="zh-CN"/>
        </w:rPr>
        <w:t>政务服务</w:t>
      </w:r>
      <w:r>
        <w:rPr>
          <w:rFonts w:hint="eastAsia" w:ascii="楷体_GB2312" w:hAnsi="楷体_GB2312" w:eastAsia="楷体_GB2312" w:cs="楷体_GB2312"/>
          <w:sz w:val="32"/>
          <w:szCs w:val="32"/>
        </w:rPr>
        <w:t>增值</w:t>
      </w:r>
      <w:r>
        <w:rPr>
          <w:rFonts w:hint="eastAsia" w:ascii="楷体_GB2312" w:hAnsi="楷体_GB2312" w:eastAsia="楷体_GB2312" w:cs="楷体_GB2312"/>
          <w:sz w:val="32"/>
          <w:szCs w:val="32"/>
          <w:lang w:val="en-US" w:eastAsia="zh-CN"/>
        </w:rPr>
        <w:t>行动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b w:val="0"/>
          <w:bCs w:val="0"/>
          <w:sz w:val="32"/>
          <w:lang w:val="en-US" w:eastAsia="zh-CN" w:bidi="ar-SA"/>
        </w:rPr>
      </w:pPr>
      <w:r>
        <w:rPr>
          <w:rFonts w:hint="eastAsia" w:ascii="Times New Roman" w:hAnsi="Times New Roman"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val="en-US" w:eastAsia="zh-CN"/>
        </w:rPr>
        <w:t>.打造多元化政务服务圈，实现群众办事不出“圈”。</w:t>
      </w:r>
      <w:r>
        <w:rPr>
          <w:rFonts w:hint="eastAsia" w:ascii="仿宋_GB2312" w:hAnsi="仿宋_GB2312" w:eastAsia="仿宋_GB2312" w:cs="仿宋_GB2312"/>
          <w:b w:val="0"/>
          <w:bCs w:val="0"/>
          <w:sz w:val="32"/>
          <w:szCs w:val="32"/>
          <w:highlight w:val="none"/>
          <w:lang w:val="en-US" w:eastAsia="zh-CN"/>
        </w:rPr>
        <w:t>深化线上线下“网厅融合”，提升各级政务服务场所“网上办事区”服务功能。深化基层服务“多元融合”，加强和规范政务服务社会合作网点建设，构建“</w:t>
      </w:r>
      <w:r>
        <w:rPr>
          <w:rFonts w:hint="eastAsia" w:ascii="Times New Roman" w:hAnsi="Times New Roman" w:eastAsia="仿宋_GB2312" w:cs="仿宋_GB2312"/>
          <w:b w:val="0"/>
          <w:bCs w:val="0"/>
          <w:sz w:val="32"/>
          <w:szCs w:val="32"/>
          <w:highlight w:val="none"/>
          <w:lang w:val="en-US" w:eastAsia="zh-CN"/>
        </w:rPr>
        <w:t>1530</w:t>
      </w:r>
      <w:r>
        <w:rPr>
          <w:rFonts w:hint="eastAsia" w:ascii="仿宋_GB2312" w:hAnsi="仿宋_GB2312" w:eastAsia="仿宋_GB2312" w:cs="仿宋_GB2312"/>
          <w:b w:val="0"/>
          <w:bCs w:val="0"/>
          <w:sz w:val="32"/>
          <w:szCs w:val="32"/>
          <w:highlight w:val="none"/>
          <w:lang w:val="en-US" w:eastAsia="zh-CN"/>
        </w:rPr>
        <w:t>”（主城区</w:t>
      </w:r>
      <w:r>
        <w:rPr>
          <w:rFonts w:hint="eastAsia" w:ascii="Times New Roman" w:hAnsi="Times New Roman" w:eastAsia="仿宋_GB2312" w:cs="仿宋_GB2312"/>
          <w:b w:val="0"/>
          <w:bCs w:val="0"/>
          <w:sz w:val="32"/>
          <w:szCs w:val="32"/>
          <w:highlight w:val="none"/>
          <w:lang w:val="en-US" w:eastAsia="zh-CN"/>
        </w:rPr>
        <w:t>15</w:t>
      </w:r>
      <w:r>
        <w:rPr>
          <w:rFonts w:hint="eastAsia" w:ascii="仿宋_GB2312" w:hAnsi="仿宋_GB2312" w:eastAsia="仿宋_GB2312" w:cs="仿宋_GB2312"/>
          <w:b w:val="0"/>
          <w:bCs w:val="0"/>
          <w:sz w:val="32"/>
          <w:szCs w:val="32"/>
          <w:highlight w:val="none"/>
          <w:lang w:val="en-US" w:eastAsia="zh-CN"/>
        </w:rPr>
        <w:t>分钟、乡村</w:t>
      </w:r>
      <w:r>
        <w:rPr>
          <w:rFonts w:hint="eastAsia" w:ascii="Times New Roman" w:hAnsi="Times New Roman" w:eastAsia="仿宋_GB2312" w:cs="仿宋_GB2312"/>
          <w:b w:val="0"/>
          <w:bCs w:val="0"/>
          <w:sz w:val="32"/>
          <w:szCs w:val="32"/>
          <w:highlight w:val="none"/>
          <w:lang w:val="en-US" w:eastAsia="zh-CN"/>
        </w:rPr>
        <w:t>30</w:t>
      </w:r>
      <w:r>
        <w:rPr>
          <w:rFonts w:hint="eastAsia" w:ascii="仿宋_GB2312" w:hAnsi="仿宋_GB2312" w:eastAsia="仿宋_GB2312" w:cs="仿宋_GB2312"/>
          <w:b w:val="0"/>
          <w:bCs w:val="0"/>
          <w:sz w:val="32"/>
          <w:szCs w:val="32"/>
          <w:highlight w:val="none"/>
          <w:lang w:val="en-US" w:eastAsia="zh-CN"/>
        </w:rPr>
        <w:t>分钟）政务服务圈。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b w:val="0"/>
          <w:bCs w:val="0"/>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US" w:eastAsia="zh-CN"/>
        </w:rPr>
        <w:t>.打造规范化“兜底”服务模式，实现群众办事无“疑难”。</w:t>
      </w:r>
      <w:r>
        <w:rPr>
          <w:rFonts w:hint="eastAsia" w:ascii="仿宋_GB2312" w:hAnsi="仿宋_GB2312" w:eastAsia="仿宋_GB2312" w:cs="仿宋_GB2312"/>
          <w:b w:val="0"/>
          <w:bCs w:val="0"/>
          <w:sz w:val="32"/>
          <w:szCs w:val="32"/>
          <w:highlight w:val="none"/>
          <w:lang w:val="en-US" w:eastAsia="zh-CN"/>
        </w:rPr>
        <w:t>组建政务服务专家库，设立</w:t>
      </w:r>
      <w:r>
        <w:rPr>
          <w:rFonts w:hint="eastAsia" w:ascii="仿宋_GB2312" w:hAnsi="仿宋_GB2312" w:eastAsia="仿宋_GB2312" w:cs="仿宋_GB2312"/>
          <w:b w:val="0"/>
          <w:bCs w:val="0"/>
          <w:spacing w:val="0"/>
          <w:sz w:val="32"/>
          <w:szCs w:val="32"/>
          <w:highlight w:val="none"/>
          <w:vertAlign w:val="baseline"/>
          <w:lang w:val="en-US" w:eastAsia="zh-CN"/>
        </w:rPr>
        <w:t>“政务服务首席专家工作室”，由业务骨干轮值，受理群众疑难办件，推动疑难问题在一线解决。打造博山区“跑团”帮办代办联盟，进一步完善三级“跑团”体系，在区级建立专家“跑手”队伍，完善“导办、帮办、代办、督办”四位一体工作运行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US" w:eastAsia="zh-CN"/>
        </w:rPr>
        <w:t>.打造便利化政务服务模式，实现群众办事无“时差”。</w:t>
      </w:r>
      <w:r>
        <w:rPr>
          <w:rFonts w:hint="eastAsia" w:ascii="仿宋_GB2312" w:hAnsi="仿宋_GB2312" w:eastAsia="仿宋_GB2312" w:cs="仿宋_GB2312"/>
          <w:b w:val="0"/>
          <w:bCs w:val="0"/>
          <w:sz w:val="32"/>
          <w:szCs w:val="32"/>
          <w:highlight w:val="none"/>
          <w:lang w:val="en-US" w:eastAsia="zh-CN"/>
        </w:rPr>
        <w:t>深化关联事项“集成办”，创新打造更多</w:t>
      </w:r>
      <w:r>
        <w:rPr>
          <w:rFonts w:hint="eastAsia" w:ascii="仿宋_GB2312" w:hAnsi="仿宋_GB2312" w:eastAsia="仿宋_GB2312" w:cs="仿宋_GB2312"/>
          <w:b w:val="0"/>
          <w:bCs w:val="0"/>
          <w:sz w:val="32"/>
          <w:szCs w:val="32"/>
          <w:highlight w:val="none"/>
          <w:u w:val="none"/>
          <w:lang w:val="en-US" w:eastAsia="zh-CN"/>
        </w:rPr>
        <w:t>“一件事一次办”标杆场景。</w:t>
      </w:r>
      <w:r>
        <w:rPr>
          <w:rFonts w:hint="eastAsia" w:ascii="仿宋_GB2312" w:hAnsi="仿宋_GB2312" w:eastAsia="仿宋_GB2312" w:cs="仿宋_GB2312"/>
          <w:b w:val="0"/>
          <w:bCs w:val="0"/>
          <w:sz w:val="32"/>
          <w:szCs w:val="32"/>
          <w:highlight w:val="none"/>
          <w:lang w:val="en-US" w:eastAsia="zh-CN"/>
        </w:rPr>
        <w:t>推动异地事项“跨域办”，年内实现与全国300个区县签订跨域合作框架协议。升级政务服务“随时办”，深化延时错时预约办理模式，实现政务服务由“定时服务”向“全时段服务”转变。深化“鲁通码”应用，进一步丰富“一码办”事项清单，推行政务服务“一码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聚焦政务服务智慧化发展，</w:t>
      </w:r>
      <w:r>
        <w:rPr>
          <w:rFonts w:hint="eastAsia" w:ascii="楷体_GB2312" w:hAnsi="楷体_GB2312" w:eastAsia="楷体_GB2312" w:cs="楷体_GB2312"/>
          <w:sz w:val="32"/>
          <w:szCs w:val="32"/>
        </w:rPr>
        <w:t>实施数</w:t>
      </w:r>
      <w:r>
        <w:rPr>
          <w:rFonts w:hint="eastAsia" w:ascii="楷体_GB2312" w:hAnsi="楷体_GB2312" w:eastAsia="楷体_GB2312" w:cs="楷体_GB2312"/>
          <w:sz w:val="32"/>
          <w:szCs w:val="32"/>
          <w:lang w:val="en-US" w:eastAsia="zh-CN"/>
        </w:rPr>
        <w:t>字赋能</w:t>
      </w:r>
      <w:r>
        <w:rPr>
          <w:rFonts w:hint="eastAsia" w:ascii="楷体_GB2312" w:hAnsi="楷体_GB2312" w:eastAsia="楷体_GB2312" w:cs="楷体_GB2312"/>
          <w:sz w:val="32"/>
          <w:szCs w:val="32"/>
        </w:rPr>
        <w:t>增值</w:t>
      </w:r>
      <w:r>
        <w:rPr>
          <w:rFonts w:hint="eastAsia" w:ascii="楷体_GB2312" w:hAnsi="楷体_GB2312" w:eastAsia="楷体_GB2312" w:cs="楷体_GB2312"/>
          <w:sz w:val="32"/>
          <w:szCs w:val="32"/>
          <w:lang w:val="en-US" w:eastAsia="zh-CN"/>
        </w:rPr>
        <w:t>行动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.推出“数看园区”服务，实现审批赋能产业数字化发展。</w:t>
      </w:r>
      <w:r>
        <w:rPr>
          <w:rFonts w:hint="eastAsia" w:ascii="仿宋_GB2312" w:hAnsi="仿宋_GB2312" w:eastAsia="仿宋_GB2312" w:cs="仿宋_GB2312"/>
          <w:sz w:val="32"/>
          <w:szCs w:val="32"/>
          <w:lang w:val="en-US" w:eastAsia="zh-CN"/>
        </w:rPr>
        <w:t>进一步优化“数字厂长”服务程序，搭建园区政务服务模块，开通“园区直通车”板块，改变过去企业找服务状况，实现企业随时呼叫、园区服务中心即时响应、订制服务。搭建企业管理模块，实现园区企业订单全程有效跟踪、物料出入库跟踪及人机一体完整管理，园区服务中心可通过后台全面了解企业经营情况，为企业形成个性化政务服务清单，引导企业合法可持续经营发展。</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b w:val="0"/>
          <w:bCs w:val="0"/>
          <w:sz w:val="32"/>
          <w:lang w:val="en-US" w:eastAsia="zh-CN" w:bidi="ar-SA"/>
        </w:rPr>
      </w:pPr>
      <w:r>
        <w:rPr>
          <w:rFonts w:hint="eastAsia" w:ascii="Times New Roman" w:hAnsi="Times New Roman"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.优化</w:t>
      </w:r>
      <w:r>
        <w:rPr>
          <w:rFonts w:hint="eastAsia" w:ascii="仿宋_GB2312" w:hAnsi="仿宋_GB2312" w:eastAsia="仿宋_GB2312" w:cs="Times New Roman"/>
          <w:b/>
          <w:bCs/>
          <w:sz w:val="32"/>
          <w:lang w:val="en-US" w:eastAsia="zh-CN" w:bidi="ar-SA"/>
        </w:rPr>
        <w:t>“双码双进”政务服务</w:t>
      </w:r>
      <w:r>
        <w:rPr>
          <w:rFonts w:hint="eastAsia" w:ascii="仿宋_GB2312" w:hAnsi="仿宋_GB2312" w:eastAsia="仿宋_GB2312" w:cs="仿宋_GB2312"/>
          <w:b/>
          <w:bCs/>
          <w:sz w:val="32"/>
          <w:szCs w:val="32"/>
          <w:lang w:val="en-US" w:eastAsia="zh-CN"/>
        </w:rPr>
        <w:t>，满足企业、群众</w:t>
      </w:r>
      <w:r>
        <w:rPr>
          <w:rFonts w:hint="eastAsia" w:ascii="仿宋_GB2312" w:hAnsi="仿宋_GB2312" w:eastAsia="仿宋_GB2312" w:cs="Times New Roman"/>
          <w:b/>
          <w:bCs/>
          <w:kern w:val="2"/>
          <w:sz w:val="32"/>
          <w:szCs w:val="32"/>
          <w:lang w:val="en-US" w:eastAsia="zh-CN" w:bidi="ar-SA"/>
        </w:rPr>
        <w:t>个性化需求</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Times New Roman"/>
          <w:sz w:val="32"/>
          <w:lang w:val="en-US" w:eastAsia="zh-CN" w:bidi="ar-SA"/>
        </w:rPr>
        <w:t>按照企业、群众两类服务群体，梳理形成两类群体高频事项清单，并同步生成政务“红码”、“蓝码”，在</w:t>
      </w:r>
      <w:r>
        <w:rPr>
          <w:rFonts w:hint="eastAsia" w:ascii="仿宋_GB2312" w:hAnsi="仿宋_GB2312" w:eastAsia="仿宋_GB2312"/>
          <w:b w:val="0"/>
          <w:bCs w:val="0"/>
          <w:sz w:val="32"/>
          <w:lang w:val="en-US" w:eastAsia="zh-CN" w:bidi="ar-SA"/>
        </w:rPr>
        <w:t>小区和企业同步展示，</w:t>
      </w:r>
      <w:r>
        <w:rPr>
          <w:rFonts w:hint="eastAsia" w:ascii="仿宋_GB2312" w:hAnsi="仿宋_GB2312" w:eastAsia="仿宋_GB2312" w:cs="Times New Roman"/>
          <w:sz w:val="32"/>
          <w:lang w:val="en-US" w:eastAsia="zh-CN" w:bidi="ar-SA"/>
        </w:rPr>
        <w:t>群众企业在家门口根据个体需求扫码获取全生命周期事项服务指南以及专属“红蓝”管家联系方式，进一步满足群众个性化需求</w:t>
      </w:r>
      <w:r>
        <w:rPr>
          <w:rFonts w:hint="eastAsia" w:ascii="仿宋_GB2312" w:hAnsi="仿宋_GB2312" w:eastAsia="仿宋_GB2312"/>
          <w:b w:val="0"/>
          <w:bCs w:val="0"/>
          <w:sz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.完善数据归集应用机制，筑牢智慧政务基础。</w:t>
      </w:r>
      <w:r>
        <w:rPr>
          <w:rFonts w:hint="eastAsia" w:ascii="仿宋_GB2312" w:hAnsi="仿宋_GB2312" w:eastAsia="仿宋_GB2312" w:cs="仿宋_GB2312"/>
          <w:b w:val="0"/>
          <w:bCs w:val="0"/>
          <w:sz w:val="32"/>
          <w:szCs w:val="32"/>
          <w:lang w:val="en-US" w:eastAsia="zh-CN"/>
        </w:rPr>
        <w:t>巩固深化“数源提质”工作成果，推动行政审批服务系统电子证照“一证一源”“一数一源”制发归集全覆盖。</w:t>
      </w:r>
      <w:r>
        <w:rPr>
          <w:rFonts w:hint="eastAsia" w:ascii="仿宋_GB2312" w:hAnsi="仿宋_GB2312" w:eastAsia="仿宋_GB2312" w:cs="仿宋_GB2312"/>
          <w:sz w:val="32"/>
          <w:szCs w:val="32"/>
          <w:lang w:eastAsia="zh-CN"/>
        </w:rPr>
        <w:t>结合“用证”事项清单，强化“电子证照”在政务服务业务过程中的应用，</w:t>
      </w:r>
      <w:r>
        <w:rPr>
          <w:rFonts w:hint="eastAsia" w:ascii="仿宋_GB2312" w:hAnsi="仿宋_GB2312" w:eastAsia="仿宋_GB2312" w:cs="仿宋_GB2312"/>
          <w:sz w:val="32"/>
          <w:szCs w:val="32"/>
          <w:lang w:val="en-US" w:eastAsia="zh-CN"/>
        </w:rPr>
        <w:t>探索与济南、潍坊、临沂等地开展证照互通共享，进一步推动“免证办”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highlight w:val="none"/>
          <w:lang w:val="en-US" w:eastAsia="zh-CN"/>
        </w:rPr>
        <w:t>聚焦证照延续和变更等事项，</w:t>
      </w:r>
      <w:r>
        <w:rPr>
          <w:rFonts w:hint="eastAsia" w:ascii="仿宋_GB2312" w:hAnsi="仿宋_GB2312" w:eastAsia="仿宋_GB2312" w:cs="仿宋_GB2312"/>
          <w:sz w:val="32"/>
          <w:szCs w:val="32"/>
          <w:lang w:eastAsia="zh-CN"/>
        </w:rPr>
        <w:t>查找证照数据库中关联证照进行“智慧联办”“无感智办”</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（一）加强组织领导。</w:t>
      </w:r>
      <w:r>
        <w:rPr>
          <w:rFonts w:hint="eastAsia" w:ascii="仿宋_GB2312" w:hAnsi="仿宋_GB2312" w:eastAsia="仿宋_GB2312" w:cs="仿宋_GB2312"/>
          <w:b w:val="0"/>
          <w:bCs w:val="0"/>
          <w:kern w:val="2"/>
          <w:sz w:val="32"/>
          <w:szCs w:val="32"/>
          <w:lang w:val="en-US" w:eastAsia="zh-CN" w:bidi="ar-SA"/>
        </w:rPr>
        <w:t>区政务服务管理办公室发挥牵头作用，加强统筹谋划、协调调度、督促落实。各有关部门、单位扛牢主体责任，强化协同配合，凝聚工作合力。各镇（街道）结合实际，主动认领项目，细化目标任务，实化工作举措，加速释放改革红利。坚持问题导向、需求导向、目标导向，支持先行先试，严格落实容错纠错机制，推动各项任务落地见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kern w:val="2"/>
          <w:sz w:val="32"/>
          <w:szCs w:val="32"/>
          <w:lang w:val="en-US" w:eastAsia="zh-CN" w:bidi="ar-SA"/>
        </w:rPr>
        <w:t>（二）抓实政务服务基础提升。</w:t>
      </w:r>
      <w:r>
        <w:rPr>
          <w:rFonts w:hint="eastAsia" w:ascii="仿宋_GB2312" w:hAnsi="仿宋_GB2312" w:eastAsia="仿宋_GB2312" w:cs="仿宋_GB2312"/>
          <w:b w:val="0"/>
          <w:bCs w:val="0"/>
          <w:sz w:val="32"/>
          <w:szCs w:val="32"/>
          <w:highlight w:val="none"/>
          <w:lang w:val="en-US" w:eastAsia="zh-CN"/>
        </w:rPr>
        <w:t>深化线下办事“只进一门”，全面推进政务服务事项“三进”（即进大厅、进综合受理窗口、进综合出件窗口），实现统一受理和一站式办理。深化线上办事“一网通办”，推进政务服务事项“三上”（即上网、上平台、上中台），着力提升网办流畅度、便捷度。深化政务服务事项标准化成果全渠道输出和应用，实施受理标准、办理流程、办理时限、审查标准“四统一”，推动行政审批服务系统事项“同标优质”办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（三）科学评价评估。</w:t>
      </w:r>
      <w:r>
        <w:rPr>
          <w:rFonts w:hint="eastAsia" w:ascii="仿宋_GB2312" w:hAnsi="仿宋_GB2312" w:eastAsia="仿宋_GB2312" w:cs="仿宋_GB2312"/>
          <w:b w:val="0"/>
          <w:bCs w:val="0"/>
          <w:kern w:val="2"/>
          <w:sz w:val="32"/>
          <w:szCs w:val="32"/>
          <w:lang w:val="en-US" w:eastAsia="zh-CN" w:bidi="ar-SA"/>
        </w:rPr>
        <w:t>把企业群众的满意度作为重要评价标准，持续开展好“背靠背”评价，充分发挥“特邀监督员”“政务服务体验员”等社会监督作用，把评判权交给企业群众。</w:t>
      </w:r>
      <w:r>
        <w:rPr>
          <w:rFonts w:hint="eastAsia" w:ascii="仿宋_GB2312" w:hAnsi="仿宋_GB2312" w:eastAsia="仿宋_GB2312" w:cs="仿宋_GB2312"/>
          <w:b w:val="0"/>
          <w:bCs w:val="0"/>
          <w:kern w:val="2"/>
          <w:sz w:val="32"/>
          <w:szCs w:val="32"/>
          <w:u w:val="none"/>
          <w:lang w:val="en-US" w:eastAsia="zh-CN" w:bidi="ar-SA"/>
        </w:rPr>
        <w:t>综合运用“分层+分类”综合考核机制，</w:t>
      </w:r>
      <w:r>
        <w:rPr>
          <w:rFonts w:hint="eastAsia" w:ascii="仿宋_GB2312" w:hAnsi="仿宋_GB2312" w:eastAsia="仿宋_GB2312" w:cs="仿宋_GB2312"/>
          <w:b w:val="0"/>
          <w:bCs w:val="0"/>
          <w:kern w:val="2"/>
          <w:sz w:val="32"/>
          <w:szCs w:val="32"/>
          <w:lang w:val="en-US" w:eastAsia="zh-CN" w:bidi="ar-SA"/>
        </w:rPr>
        <w:t>加大增值服务改革任务在考核指标中的占比，用考核杠杆撬动改革成效。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（四）营造改革氛围。</w:t>
      </w:r>
      <w:r>
        <w:rPr>
          <w:rFonts w:hint="eastAsia" w:ascii="仿宋_GB2312" w:hAnsi="仿宋_GB2312" w:eastAsia="仿宋_GB2312" w:cs="仿宋_GB2312"/>
          <w:b w:val="0"/>
          <w:bCs w:val="0"/>
          <w:kern w:val="2"/>
          <w:sz w:val="32"/>
          <w:szCs w:val="32"/>
          <w:lang w:val="en-US" w:eastAsia="zh-CN" w:bidi="ar-SA"/>
        </w:rPr>
        <w:t>迭代升级增值服务改革理念，充分运用调查研究及激励机制，在全区行政审批服务系统开展</w:t>
      </w:r>
      <w:r>
        <w:rPr>
          <w:rFonts w:hint="eastAsia" w:ascii="仿宋_GB2312" w:hAnsi="仿宋_GB2312" w:eastAsia="仿宋_GB2312" w:cs="仿宋_GB2312"/>
          <w:sz w:val="32"/>
          <w:szCs w:val="32"/>
          <w:highlight w:val="none"/>
          <w:lang w:val="en-US" w:eastAsia="zh-CN"/>
        </w:rPr>
        <w:t>“进园区、进项目、进企业、进厂房”的“四进”</w:t>
      </w:r>
      <w:r>
        <w:rPr>
          <w:rFonts w:hint="eastAsia" w:ascii="仿宋_GB2312" w:hAnsi="仿宋_GB2312" w:eastAsia="仿宋_GB2312" w:cs="仿宋_GB2312"/>
          <w:b w:val="0"/>
          <w:bCs w:val="0"/>
          <w:kern w:val="2"/>
          <w:sz w:val="32"/>
          <w:szCs w:val="32"/>
          <w:lang w:val="en-US" w:eastAsia="zh-CN" w:bidi="ar-SA"/>
        </w:rPr>
        <w:t>调研活动，及时总结行之有效的经验做法，集中培育选树、宣传推介优秀典型案例和特色亮点，打造形成一批务实管用的“博山模式”，努力营造企业获得感强、群众满意度高的良好氛围。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spacing w:val="-6"/>
          <w:kern w:val="2"/>
          <w:sz w:val="32"/>
          <w:szCs w:val="32"/>
          <w:lang w:val="en-US" w:eastAsia="zh-CN" w:bidi="ar-SA"/>
        </w:rPr>
        <w:sectPr>
          <w:footerReference r:id="rId3" w:type="default"/>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b w:val="0"/>
          <w:bCs w:val="0"/>
          <w:kern w:val="2"/>
          <w:sz w:val="32"/>
          <w:szCs w:val="32"/>
          <w:lang w:val="en-US" w:eastAsia="zh-CN" w:bidi="ar-SA"/>
        </w:rPr>
        <w:t>附件：</w:t>
      </w:r>
      <w:r>
        <w:rPr>
          <w:rFonts w:hint="eastAsia" w:ascii="Times New Roman" w:hAnsi="Times New Roman" w:eastAsia="仿宋_GB2312" w:cs="仿宋_GB2312"/>
          <w:b w:val="0"/>
          <w:bCs w:val="0"/>
          <w:spacing w:val="-6"/>
          <w:kern w:val="2"/>
          <w:sz w:val="32"/>
          <w:szCs w:val="32"/>
          <w:lang w:val="en-US" w:eastAsia="zh-CN" w:bidi="ar-SA"/>
        </w:rPr>
        <w:t>2024</w:t>
      </w:r>
      <w:r>
        <w:rPr>
          <w:rFonts w:hint="eastAsia" w:ascii="仿宋_GB2312" w:hAnsi="仿宋_GB2312" w:eastAsia="仿宋_GB2312" w:cs="仿宋_GB2312"/>
          <w:b w:val="0"/>
          <w:bCs w:val="0"/>
          <w:spacing w:val="-6"/>
          <w:kern w:val="2"/>
          <w:sz w:val="32"/>
          <w:szCs w:val="32"/>
          <w:lang w:val="en-US" w:eastAsia="zh-CN" w:bidi="ar-SA"/>
        </w:rPr>
        <w:t>年政务增值服务改革创新重点突破项目清单</w:t>
      </w: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b w:val="0"/>
          <w:bCs w:val="0"/>
          <w:lang w:val="en-US" w:eastAsia="zh-CN"/>
        </w:rPr>
      </w:pPr>
      <w:r>
        <w:rPr>
          <w:rFonts w:hint="eastAsia" w:ascii="方正小标宋简体" w:hAnsi="方正小标宋简体" w:eastAsia="方正小标宋简体" w:cs="方正小标宋简体"/>
          <w:b w:val="0"/>
          <w:bCs w:val="0"/>
          <w:sz w:val="44"/>
          <w:szCs w:val="44"/>
          <w:lang w:val="en-US" w:eastAsia="zh-CN"/>
        </w:rPr>
        <w:t>2024年政务增值服务改革创新重点突破项目清单</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b w:val="0"/>
          <w:bCs w:val="0"/>
          <w:sz w:val="20"/>
          <w:szCs w:val="22"/>
          <w:lang w:val="en-US" w:eastAsia="zh-CN"/>
        </w:rPr>
      </w:pPr>
    </w:p>
    <w:tbl>
      <w:tblPr>
        <w:tblStyle w:val="11"/>
        <w:tblW w:w="15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20"/>
        <w:gridCol w:w="1620"/>
        <w:gridCol w:w="1351"/>
        <w:gridCol w:w="5669"/>
        <w:gridCol w:w="1365"/>
        <w:gridCol w:w="1587"/>
        <w:gridCol w:w="133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blHeader/>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黑体" w:cs="黑体"/>
                <w:b w:val="0"/>
                <w:bCs w:val="0"/>
                <w:spacing w:val="0"/>
                <w:kern w:val="0"/>
                <w:sz w:val="28"/>
                <w:szCs w:val="28"/>
                <w:lang w:val="en-US" w:eastAsia="zh-CN"/>
              </w:rPr>
            </w:pPr>
            <w:r>
              <w:rPr>
                <w:rFonts w:hint="eastAsia" w:ascii="Times New Roman" w:hAnsi="Times New Roman" w:eastAsia="黑体" w:cs="黑体"/>
                <w:b w:val="0"/>
                <w:bCs w:val="0"/>
                <w:spacing w:val="0"/>
                <w:kern w:val="0"/>
                <w:sz w:val="28"/>
                <w:szCs w:val="28"/>
                <w:lang w:val="en-US" w:eastAsia="zh-CN"/>
              </w:rPr>
              <w:t>序号</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黑体" w:cs="黑体"/>
                <w:b w:val="0"/>
                <w:bCs w:val="0"/>
                <w:spacing w:val="0"/>
                <w:kern w:val="0"/>
                <w:sz w:val="28"/>
                <w:szCs w:val="28"/>
                <w:lang w:val="en-US" w:eastAsia="zh-CN"/>
              </w:rPr>
            </w:pPr>
            <w:r>
              <w:rPr>
                <w:rFonts w:hint="eastAsia" w:ascii="Times New Roman" w:hAnsi="Times New Roman" w:eastAsia="黑体" w:cs="黑体"/>
                <w:b w:val="0"/>
                <w:bCs w:val="0"/>
                <w:spacing w:val="0"/>
                <w:kern w:val="0"/>
                <w:sz w:val="28"/>
                <w:szCs w:val="28"/>
                <w:lang w:val="en-US" w:eastAsia="zh-CN"/>
              </w:rPr>
              <w:t>项目类别</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黑体" w:cs="黑体"/>
                <w:b w:val="0"/>
                <w:bCs w:val="0"/>
                <w:spacing w:val="0"/>
                <w:kern w:val="0"/>
                <w:sz w:val="28"/>
                <w:szCs w:val="28"/>
                <w:lang w:val="en-US" w:eastAsia="zh-CN"/>
              </w:rPr>
            </w:pPr>
            <w:r>
              <w:rPr>
                <w:rFonts w:hint="eastAsia" w:ascii="Times New Roman" w:hAnsi="Times New Roman" w:eastAsia="黑体" w:cs="黑体"/>
                <w:b w:val="0"/>
                <w:bCs w:val="0"/>
                <w:spacing w:val="0"/>
                <w:kern w:val="0"/>
                <w:sz w:val="28"/>
                <w:szCs w:val="28"/>
                <w:lang w:val="en-US" w:eastAsia="zh-CN"/>
              </w:rPr>
              <w:t>项目名称</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黑体" w:cs="黑体"/>
                <w:b w:val="0"/>
                <w:bCs w:val="0"/>
                <w:spacing w:val="0"/>
                <w:kern w:val="0"/>
                <w:sz w:val="28"/>
                <w:szCs w:val="28"/>
                <w:lang w:val="en-US" w:eastAsia="zh-CN"/>
              </w:rPr>
            </w:pPr>
            <w:r>
              <w:rPr>
                <w:rFonts w:hint="eastAsia" w:ascii="Times New Roman" w:hAnsi="Times New Roman" w:eastAsia="黑体" w:cs="黑体"/>
                <w:b w:val="0"/>
                <w:bCs w:val="0"/>
                <w:spacing w:val="0"/>
                <w:kern w:val="0"/>
                <w:sz w:val="28"/>
                <w:szCs w:val="28"/>
                <w:lang w:val="en-US" w:eastAsia="zh-CN"/>
              </w:rPr>
              <w:t>工作目标</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黑体" w:cs="黑体"/>
                <w:b w:val="0"/>
                <w:bCs w:val="0"/>
                <w:spacing w:val="0"/>
                <w:kern w:val="0"/>
                <w:sz w:val="28"/>
                <w:szCs w:val="28"/>
                <w:lang w:val="en-US" w:eastAsia="zh-CN"/>
              </w:rPr>
            </w:pPr>
            <w:r>
              <w:rPr>
                <w:rFonts w:hint="eastAsia" w:ascii="Times New Roman" w:hAnsi="Times New Roman" w:eastAsia="黑体" w:cs="黑体"/>
                <w:b w:val="0"/>
                <w:bCs w:val="0"/>
                <w:spacing w:val="0"/>
                <w:kern w:val="0"/>
                <w:sz w:val="28"/>
                <w:szCs w:val="28"/>
                <w:lang w:val="en-US" w:eastAsia="zh-CN"/>
              </w:rPr>
              <w:t>工作措施</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黑体" w:cs="黑体"/>
                <w:b w:val="0"/>
                <w:bCs w:val="0"/>
                <w:spacing w:val="0"/>
                <w:kern w:val="0"/>
                <w:sz w:val="28"/>
                <w:szCs w:val="28"/>
                <w:lang w:val="en-US" w:eastAsia="zh-CN"/>
              </w:rPr>
            </w:pPr>
            <w:r>
              <w:rPr>
                <w:rFonts w:hint="eastAsia" w:ascii="Times New Roman" w:hAnsi="Times New Roman" w:eastAsia="黑体" w:cs="黑体"/>
                <w:b w:val="0"/>
                <w:bCs w:val="0"/>
                <w:spacing w:val="0"/>
                <w:kern w:val="0"/>
                <w:sz w:val="28"/>
                <w:szCs w:val="28"/>
                <w:lang w:val="en-US" w:eastAsia="zh-CN"/>
              </w:rPr>
              <w:t>责任领导</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黑体" w:cs="黑体"/>
                <w:b w:val="0"/>
                <w:bCs w:val="0"/>
                <w:spacing w:val="0"/>
                <w:kern w:val="0"/>
                <w:sz w:val="28"/>
                <w:szCs w:val="28"/>
                <w:lang w:val="en-US" w:eastAsia="zh-CN"/>
              </w:rPr>
            </w:pPr>
            <w:r>
              <w:rPr>
                <w:rFonts w:hint="eastAsia" w:ascii="Times New Roman" w:hAnsi="Times New Roman" w:eastAsia="黑体" w:cs="黑体"/>
                <w:b w:val="0"/>
                <w:bCs w:val="0"/>
                <w:spacing w:val="0"/>
                <w:kern w:val="0"/>
                <w:sz w:val="28"/>
                <w:szCs w:val="28"/>
                <w:lang w:val="en-US" w:eastAsia="zh-CN"/>
              </w:rPr>
              <w:t>责任科室</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黑体" w:cs="黑体"/>
                <w:b w:val="0"/>
                <w:bCs w:val="0"/>
                <w:spacing w:val="0"/>
                <w:kern w:val="0"/>
                <w:sz w:val="28"/>
                <w:szCs w:val="28"/>
                <w:lang w:val="en-US" w:eastAsia="zh-CN"/>
              </w:rPr>
            </w:pPr>
            <w:r>
              <w:rPr>
                <w:rFonts w:hint="eastAsia" w:ascii="Times New Roman" w:hAnsi="Times New Roman" w:eastAsia="黑体" w:cs="黑体"/>
                <w:b w:val="0"/>
                <w:bCs w:val="0"/>
                <w:spacing w:val="0"/>
                <w:kern w:val="0"/>
                <w:sz w:val="28"/>
                <w:szCs w:val="28"/>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1</w:t>
            </w:r>
          </w:p>
        </w:tc>
        <w:tc>
          <w:tcPr>
            <w:tcW w:w="162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项目审批增值改革项目</w:t>
            </w:r>
          </w:p>
        </w:tc>
        <w:tc>
          <w:tcPr>
            <w:tcW w:w="16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工程建设项目“预审批”</w:t>
            </w:r>
          </w:p>
        </w:tc>
        <w:tc>
          <w:tcPr>
            <w:tcW w:w="13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经验做法在市级媒体刊发，在全市推广。</w:t>
            </w:r>
          </w:p>
        </w:tc>
        <w:tc>
          <w:tcPr>
            <w:tcW w:w="56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一是在未取得土地手续前，由规划、审批、住建等相关部门依次对项目资料场地等预先进行实质性审查，将各项服务工作和技术评估关口前移，把后期可能产生的问题和困难化解在前端，做好审批前的所有准备预判工作，填充窗口期等待时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二是待项目取得土地使用权达到审批条件后，启动预审批与正式审批无等待期衔接，实现正式审批文件秒审秒批秒出。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p>
        </w:tc>
        <w:tc>
          <w:tcPr>
            <w:tcW w:w="13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赵以伟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p>
        </w:tc>
        <w:tc>
          <w:tcPr>
            <w:tcW w:w="15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牵头科室：审批管理科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 xml:space="preserve">配合科室：投资项目科、建设工程科          </w:t>
            </w:r>
          </w:p>
        </w:tc>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2024年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2</w:t>
            </w:r>
          </w:p>
        </w:tc>
        <w:tc>
          <w:tcPr>
            <w:tcW w:w="162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p>
        </w:tc>
        <w:tc>
          <w:tcPr>
            <w:tcW w:w="16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工业工程建设项目“验登合一”</w:t>
            </w:r>
          </w:p>
        </w:tc>
        <w:tc>
          <w:tcPr>
            <w:tcW w:w="13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经验做法在市级媒体刊发，在全市推广。</w:t>
            </w:r>
          </w:p>
        </w:tc>
        <w:tc>
          <w:tcPr>
            <w:tcW w:w="56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一是梳理用地项目清单，找准“验登合一”改革的切入点和落脚点。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二是实现部门事项融合服务、联合办理。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三是打通系统数据壁垒，部门之间最大程度实现数据共享，让数据多跑腿。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p>
        </w:tc>
        <w:tc>
          <w:tcPr>
            <w:tcW w:w="13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赵以伟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p>
        </w:tc>
        <w:tc>
          <w:tcPr>
            <w:tcW w:w="15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 xml:space="preserve">牵头科室：建设工程科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 xml:space="preserve">配合科室：投资项目科、审批管理科      </w:t>
            </w:r>
          </w:p>
        </w:tc>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3</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项目审批增值改革项目</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打造项目审批全过程“一件事”集成办增值服务</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经验做法在省级以上媒体刊发，在全省推广。</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spacing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一是打造项目服务中心。组建首席专家、项目管家团队，完善机制，为项目提供全程专业化“批前辅导”和帮办服务。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二是推行事项集成办。梳理项目全流程事项，推行“批前清单”机制，推进能评、开工、市政设施类、涉水许可等集成化服务。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三是推进工作创新。针对项目所需，立足租赁土地工业项目办理、审批流程优化、帮办服务精准便利化等“小切口”进行探索突破。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spacing w:val="0"/>
                <w:sz w:val="28"/>
                <w:szCs w:val="28"/>
                <w:vertAlign w:val="baseline"/>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赵以伟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spacing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auto"/>
                <w:spacing w:val="0"/>
                <w:kern w:val="2"/>
                <w:sz w:val="28"/>
                <w:szCs w:val="28"/>
                <w:vertAlign w:val="baseline"/>
                <w:lang w:val="en-US" w:eastAsia="zh-CN" w:bidi="ar-SA"/>
              </w:rPr>
            </w:pP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rPr>
                <w:rFonts w:hint="eastAsia" w:ascii="仿宋_GB2312" w:hAnsi="仿宋_GB2312" w:eastAsia="仿宋_GB2312" w:cs="仿宋_GB2312"/>
                <w:b w:val="0"/>
                <w:bCs w:val="0"/>
                <w:spacing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 xml:space="preserve">牵头科室：审批管理科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rPr>
                <w:rFonts w:hint="eastAsia" w:ascii="仿宋_GB2312" w:hAnsi="仿宋_GB2312" w:eastAsia="仿宋_GB2312" w:cs="仿宋_GB2312"/>
                <w:b w:val="0"/>
                <w:bCs w:val="0"/>
                <w:color w:val="auto"/>
                <w:spacing w:val="-20"/>
                <w:kern w:val="0"/>
                <w:sz w:val="28"/>
                <w:szCs w:val="28"/>
                <w:lang w:val="en-US" w:eastAsia="zh-CN" w:bidi="ar-SA"/>
              </w:rPr>
            </w:pPr>
            <w:r>
              <w:rPr>
                <w:rFonts w:hint="eastAsia" w:ascii="仿宋_GB2312" w:hAnsi="仿宋_GB2312" w:eastAsia="仿宋_GB2312" w:cs="仿宋_GB2312"/>
                <w:b w:val="0"/>
                <w:bCs w:val="0"/>
                <w:spacing w:val="0"/>
                <w:sz w:val="28"/>
                <w:szCs w:val="28"/>
                <w:vertAlign w:val="baseline"/>
                <w:lang w:val="en-US" w:eastAsia="zh-CN"/>
              </w:rPr>
              <w:t xml:space="preserve">配合科室：投资项目科、建设工程科 </w:t>
            </w:r>
            <w:r>
              <w:rPr>
                <w:rFonts w:hint="eastAsia" w:ascii="仿宋_GB2312" w:hAnsi="仿宋_GB2312" w:eastAsia="仿宋_GB2312" w:cs="仿宋_GB2312"/>
                <w:color w:val="000000"/>
                <w:sz w:val="28"/>
                <w:szCs w:val="28"/>
                <w:u w:val="none"/>
              </w:rPr>
              <w:t xml:space="preserve">     </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rPr>
                <w:rFonts w:hint="eastAsia" w:ascii="仿宋_GB2312" w:hAnsi="仿宋_GB2312" w:eastAsia="仿宋_GB2312" w:cs="仿宋_GB2312"/>
                <w:b w:val="0"/>
                <w:spacing w:val="0"/>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rPr>
                <w:rFonts w:hint="eastAsia" w:ascii="仿宋_GB2312" w:hAnsi="仿宋_GB2312" w:eastAsia="仿宋_GB2312" w:cs="仿宋_GB2312"/>
                <w:b w:val="0"/>
                <w:spacing w:val="0"/>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spacing w:val="0"/>
                <w:sz w:val="28"/>
                <w:szCs w:val="28"/>
                <w:vertAlign w:val="baseline"/>
                <w:lang w:val="en-US" w:eastAsia="zh-CN" w:bidi="ar-SA"/>
              </w:rPr>
              <w:t>2024</w:t>
            </w:r>
            <w:r>
              <w:rPr>
                <w:rFonts w:hint="eastAsia" w:ascii="仿宋_GB2312" w:hAnsi="仿宋_GB2312" w:eastAsia="仿宋_GB2312" w:cs="仿宋_GB2312"/>
                <w:b w:val="0"/>
                <w:spacing w:val="0"/>
                <w:sz w:val="28"/>
                <w:szCs w:val="28"/>
                <w:u w:val="none"/>
                <w:vertAlign w:val="baseline"/>
                <w:lang w:val="en-US" w:eastAsia="zh-CN" w:bidi="ar-SA"/>
              </w:rPr>
              <w:t>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4</w:t>
            </w: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b w:val="0"/>
                <w:bCs w:val="0"/>
                <w:spacing w:val="0"/>
                <w:sz w:val="28"/>
                <w:szCs w:val="28"/>
                <w:vertAlign w:val="baseline"/>
                <w:lang w:val="en-US" w:eastAsia="zh-CN"/>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创建区域评估成果应用体系</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color w:val="auto"/>
                <w:spacing w:val="-17"/>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经验做法在省级媒体刊发，被上级部门推广。</w:t>
            </w:r>
          </w:p>
        </w:tc>
        <w:tc>
          <w:tcPr>
            <w:tcW w:w="56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一是简化项目手续审批。推广应用高新区、沂源经济开发区区域评估成果应用指南。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二是加快项目落地。协调配合自然资源和规划部门持续推进区域评估评审+“标准地”出让改革，助力项目降成本快落地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spacing w:val="0"/>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vertAlign w:val="baseline"/>
                <w:lang w:val="en-US" w:eastAsia="zh-CN"/>
              </w:rPr>
              <w:t>三是推进数字化应用。协同自然资源和规划部门，制定《“一张蓝图”区域评估地理空间数据成果汇交规范》省级地方标准，并推广应用。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spacing w:val="0"/>
                <w:kern w:val="0"/>
                <w:sz w:val="28"/>
                <w:szCs w:val="28"/>
                <w:vertAlign w:val="baseline"/>
                <w:lang w:val="en-US" w:eastAsia="zh-CN"/>
              </w:rPr>
            </w:pPr>
          </w:p>
        </w:tc>
        <w:tc>
          <w:tcPr>
            <w:tcW w:w="13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color w:val="auto"/>
                <w:spacing w:val="0"/>
                <w:kern w:val="0"/>
                <w:sz w:val="28"/>
                <w:szCs w:val="28"/>
                <w:vertAlign w:val="baseline"/>
                <w:lang w:val="en-US" w:eastAsia="zh-CN" w:bidi="ar-SA"/>
              </w:rPr>
            </w:pPr>
            <w:r>
              <w:rPr>
                <w:rFonts w:hint="eastAsia" w:ascii="仿宋_GB2312" w:hAnsi="仿宋_GB2312" w:eastAsia="仿宋_GB2312" w:cs="仿宋_GB2312"/>
                <w:b w:val="0"/>
                <w:bCs w:val="0"/>
                <w:spacing w:val="0"/>
                <w:kern w:val="0"/>
                <w:sz w:val="28"/>
                <w:szCs w:val="28"/>
                <w:vertAlign w:val="baseline"/>
                <w:lang w:val="en-US" w:eastAsia="zh-CN"/>
              </w:rPr>
              <w:t>赵以伟</w:t>
            </w:r>
          </w:p>
        </w:tc>
        <w:tc>
          <w:tcPr>
            <w:tcW w:w="15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color w:val="auto"/>
                <w:spacing w:val="0"/>
                <w:kern w:val="0"/>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牵头科室：</w:t>
            </w:r>
            <w:r>
              <w:rPr>
                <w:rFonts w:hint="eastAsia" w:ascii="仿宋_GB2312" w:hAnsi="仿宋_GB2312" w:eastAsia="仿宋_GB2312" w:cs="仿宋_GB2312"/>
                <w:b w:val="0"/>
                <w:bCs w:val="0"/>
                <w:spacing w:val="0"/>
                <w:kern w:val="0"/>
                <w:sz w:val="28"/>
                <w:szCs w:val="28"/>
                <w:vertAlign w:val="baseline"/>
                <w:lang w:val="en-US" w:eastAsia="zh-CN"/>
              </w:rPr>
              <w:t>审批管理科</w:t>
            </w:r>
          </w:p>
        </w:tc>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color w:val="auto"/>
                <w:spacing w:val="0"/>
                <w:kern w:val="0"/>
                <w:sz w:val="28"/>
                <w:szCs w:val="28"/>
                <w:vertAlign w:val="baseline"/>
                <w:lang w:val="en-US" w:eastAsia="zh-CN" w:bidi="ar-SA"/>
              </w:rPr>
            </w:pPr>
            <w:r>
              <w:rPr>
                <w:rFonts w:hint="eastAsia" w:ascii="仿宋_GB2312" w:hAnsi="仿宋_GB2312" w:eastAsia="仿宋_GB2312" w:cs="仿宋_GB2312"/>
                <w:b w:val="0"/>
                <w:bCs w:val="0"/>
                <w:spacing w:val="0"/>
                <w:kern w:val="0"/>
                <w:sz w:val="28"/>
                <w:szCs w:val="28"/>
                <w:vertAlign w:val="baseline"/>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5</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项目审批增值改革项目</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推行节能审查极简办</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经验做法在省级媒体刊发,被上级部门推广。</w:t>
            </w:r>
          </w:p>
        </w:tc>
        <w:tc>
          <w:tcPr>
            <w:tcW w:w="56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一是优化审批环节。根据项目能评类型，分类整合备案、意见征求、专家评审、节能评价等环节。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二是优化工作流程。实行“边评审边征求主管部门意见”的并联工作模式，缩短节能审查办理时间。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三是实施重点项目评前指导。在省、市、区重点项目报告编制阶段，提前提供技术咨询服务和审查，提高项目能评一次通过率。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spacing w:val="0"/>
                <w:sz w:val="28"/>
                <w:szCs w:val="28"/>
                <w:vertAlign w:val="baseline"/>
                <w:lang w:val="en-US" w:eastAsia="zh-CN"/>
              </w:rPr>
            </w:pPr>
          </w:p>
        </w:tc>
        <w:tc>
          <w:tcPr>
            <w:tcW w:w="13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赵以伟</w:t>
            </w:r>
          </w:p>
        </w:tc>
        <w:tc>
          <w:tcPr>
            <w:tcW w:w="15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投资项目科</w:t>
            </w:r>
          </w:p>
        </w:tc>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6</w:t>
            </w: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b w:val="0"/>
                <w:bCs w:val="0"/>
                <w:spacing w:val="0"/>
                <w:sz w:val="28"/>
                <w:szCs w:val="28"/>
                <w:vertAlign w:val="baseline"/>
                <w:lang w:val="en-US" w:eastAsia="zh-CN"/>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实施立项环节“批前辅导”+升级服务</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经验做法在省级媒体刊发,被上级部门推广。</w:t>
            </w:r>
          </w:p>
        </w:tc>
        <w:tc>
          <w:tcPr>
            <w:tcW w:w="56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一是做实服务进园区、进企业活动。与数字经济产业园等园区形成联动，把批前服务窗口前移到园区第一线。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二是拓展丰富批前服务内容。联合工信部门，实施立项阶段技改项目优惠政策辅导。落实好融资指引等增值服务。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三是实施“部门联动”。开展更多批前服务活动。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spacing w:val="0"/>
                <w:sz w:val="28"/>
                <w:szCs w:val="28"/>
                <w:vertAlign w:val="baseline"/>
                <w:lang w:val="en-US" w:eastAsia="zh-CN"/>
              </w:rPr>
            </w:pPr>
          </w:p>
        </w:tc>
        <w:tc>
          <w:tcPr>
            <w:tcW w:w="13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赵以伟</w:t>
            </w:r>
          </w:p>
        </w:tc>
        <w:tc>
          <w:tcPr>
            <w:tcW w:w="15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 xml:space="preserve">牵头科室：审批管理科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配合科室：投资项目科、建设工程科</w:t>
            </w:r>
          </w:p>
        </w:tc>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7</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项目审批增值改革项目</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推行建筑工程“我要开工”一次办</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经验做法在省级媒体刊发,被上级部门推广。</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一是事项集成办理。立足企业“高效办成一件事”需求，将建筑工程施工许可阶段关联性强、办事需求大的建筑工程施工许可、城市建筑垃圾处置核准等8个事项合并办理。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二是拓宽办理范围。探索将市政设施类审批等办事需求小的事项一并纳入，最大程度减材料、减时限。变企业群众“多头、多次跑”为一次全办结。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赵以伟</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建设工程科、交通城管科</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spacing w:val="0"/>
                <w:sz w:val="28"/>
                <w:szCs w:val="28"/>
                <w:vertAlign w:val="baseline"/>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8</w:t>
            </w: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b w:val="0"/>
                <w:bCs w:val="0"/>
                <w:color w:val="auto"/>
                <w:spacing w:val="0"/>
                <w:sz w:val="28"/>
                <w:szCs w:val="28"/>
                <w:vertAlign w:val="baseline"/>
                <w:lang w:val="en-US" w:eastAsia="zh-CN"/>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rPr>
              <w:t>打造乡村振兴涉农审批服务样板</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rPr>
              <w:t>典型经验做法被上级部门推广。</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一是规范审批流程。通过流程标准化梳理、批前辅导服务、涉农许可“一链办”等，使流程更简、材料更精、时效更短。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二是审管联动审批。积极对接农业农村部门，强化审管衔接，简化办事流程，优化审批服务，稳定全市农药经营市场秩序。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三是做好典型推广。及时总结典型经验，在全市推广应用。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赵汝军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rPr>
                <w:rFonts w:hint="eastAsia" w:ascii="仿宋_GB2312" w:hAnsi="仿宋_GB2312" w:eastAsia="仿宋_GB2312" w:cs="仿宋_GB2312"/>
                <w:b w:val="0"/>
                <w:bCs w:val="0"/>
                <w:spacing w:val="0"/>
                <w:sz w:val="28"/>
                <w:szCs w:val="28"/>
                <w:vertAlign w:val="baseline"/>
                <w:lang w:val="en-US" w:eastAsia="zh-CN"/>
              </w:rPr>
            </w:pPr>
            <w:r>
              <w:rPr>
                <w:rFonts w:hint="eastAsia" w:ascii="仿宋_GB2312" w:hAnsi="仿宋_GB2312" w:eastAsia="仿宋_GB2312" w:cs="仿宋_GB2312"/>
                <w:b w:val="0"/>
                <w:bCs w:val="0"/>
                <w:spacing w:val="0"/>
                <w:sz w:val="28"/>
                <w:szCs w:val="28"/>
                <w:vertAlign w:val="baseline"/>
                <w:lang w:val="en-US" w:eastAsia="zh-CN"/>
              </w:rPr>
              <w:t>农业事务科</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b w:val="0"/>
                <w:bCs w:val="0"/>
                <w:color w:val="auto"/>
                <w:spacing w:val="0"/>
                <w:kern w:val="2"/>
                <w:sz w:val="28"/>
                <w:szCs w:val="28"/>
                <w:vertAlign w:val="baseline"/>
                <w:lang w:val="en-US" w:eastAsia="zh-CN" w:bidi="ar-SA"/>
              </w:rPr>
            </w:pPr>
            <w:r>
              <w:rPr>
                <w:rFonts w:hint="eastAsia" w:ascii="仿宋_GB2312" w:hAnsi="仿宋_GB2312" w:eastAsia="仿宋_GB2312" w:cs="仿宋_GB2312"/>
                <w:b w:val="0"/>
                <w:bCs w:val="0"/>
                <w:color w:val="auto"/>
                <w:spacing w:val="0"/>
                <w:kern w:val="2"/>
                <w:sz w:val="28"/>
                <w:szCs w:val="28"/>
                <w:vertAlign w:val="baseline"/>
                <w:lang w:val="en-US" w:eastAsia="zh-CN" w:bidi="ar-SA"/>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9</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助企暖企增值改革项目</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构建一体化企业服务体系</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打造一体化企业服务模式，在省级以上媒体刊发经验做法。</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一是升级完善企业服务中心功能。整合涉企服务事项，深化企业全生命周期政务服务事项一站式办理。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二是完善园区企业服务站点建设。打造多功能、集约化、个性化园区企业服务中心（站点），实现企业服务“园区事园区办”。</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三是推广应用“企业码”。利用“企业码”关联归集展示企业相关信息数据，实现企业办事“一码通行、一码通展、一码通办”。</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李斌</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商事登记科科、政务服务管理科</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10</w:t>
            </w: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rPr>
              <w:t>持续便利市场主体准入退出</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rPr>
              <w:t>在</w:t>
            </w:r>
            <w:r>
              <w:rPr>
                <w:rFonts w:hint="eastAsia" w:ascii="仿宋_GB2312" w:hAnsi="仿宋_GB2312" w:eastAsia="仿宋_GB2312" w:cs="仿宋_GB2312"/>
                <w:b w:val="0"/>
                <w:bCs w:val="0"/>
                <w:spacing w:val="0"/>
                <w:sz w:val="28"/>
                <w:szCs w:val="28"/>
                <w:lang w:val="en-US" w:eastAsia="zh-CN"/>
              </w:rPr>
              <w:t>省级以上媒体刊发经验做法</w:t>
            </w:r>
            <w:r>
              <w:rPr>
                <w:rFonts w:hint="eastAsia" w:ascii="仿宋_GB2312" w:hAnsi="仿宋_GB2312" w:eastAsia="仿宋_GB2312" w:cs="仿宋_GB2312"/>
                <w:b w:val="0"/>
                <w:bCs w:val="0"/>
                <w:spacing w:val="0"/>
                <w:sz w:val="28"/>
                <w:szCs w:val="28"/>
              </w:rPr>
              <w:t>。</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rPr>
            </w:pPr>
            <w:r>
              <w:rPr>
                <w:rFonts w:hint="eastAsia" w:ascii="仿宋_GB2312" w:hAnsi="仿宋_GB2312" w:eastAsia="仿宋_GB2312" w:cs="仿宋_GB2312"/>
                <w:b w:val="0"/>
                <w:bCs w:val="0"/>
                <w:spacing w:val="0"/>
                <w:sz w:val="28"/>
                <w:szCs w:val="28"/>
                <w:lang w:val="en-US" w:eastAsia="zh-CN"/>
              </w:rPr>
              <w:t>一是</w:t>
            </w:r>
            <w:r>
              <w:rPr>
                <w:rFonts w:hint="eastAsia" w:ascii="仿宋_GB2312" w:hAnsi="仿宋_GB2312" w:eastAsia="仿宋_GB2312" w:cs="仿宋_GB2312"/>
                <w:b w:val="0"/>
                <w:bCs w:val="0"/>
                <w:spacing w:val="0"/>
                <w:sz w:val="28"/>
                <w:szCs w:val="28"/>
              </w:rPr>
              <w:t>拓展企业“一照多址”适用范围</w:t>
            </w:r>
            <w:r>
              <w:rPr>
                <w:rFonts w:hint="eastAsia" w:ascii="仿宋_GB2312" w:hAnsi="仿宋_GB2312" w:eastAsia="仿宋_GB2312" w:cs="仿宋_GB2312"/>
                <w:b w:val="0"/>
                <w:bCs w:val="0"/>
                <w:spacing w:val="0"/>
                <w:sz w:val="28"/>
                <w:szCs w:val="28"/>
                <w:lang w:eastAsia="zh-CN"/>
              </w:rPr>
              <w:t>。配合市局做好</w:t>
            </w:r>
            <w:r>
              <w:rPr>
                <w:rFonts w:hint="eastAsia" w:ascii="仿宋_GB2312" w:hAnsi="仿宋_GB2312" w:eastAsia="仿宋_GB2312" w:cs="仿宋_GB2312"/>
                <w:b w:val="0"/>
                <w:bCs w:val="0"/>
                <w:spacing w:val="0"/>
                <w:sz w:val="28"/>
                <w:szCs w:val="28"/>
              </w:rPr>
              <w:t>企业“一照多址”改革由县域拓展至市域</w:t>
            </w:r>
            <w:r>
              <w:rPr>
                <w:rFonts w:hint="eastAsia" w:ascii="仿宋_GB2312" w:hAnsi="仿宋_GB2312" w:eastAsia="仿宋_GB2312" w:cs="仿宋_GB2312"/>
                <w:b w:val="0"/>
                <w:bCs w:val="0"/>
                <w:spacing w:val="0"/>
                <w:sz w:val="28"/>
                <w:szCs w:val="28"/>
                <w:lang w:eastAsia="zh-CN"/>
              </w:rPr>
              <w:t>的工作</w:t>
            </w:r>
            <w:r>
              <w:rPr>
                <w:rFonts w:hint="eastAsia" w:ascii="仿宋_GB2312" w:hAnsi="仿宋_GB2312" w:eastAsia="仿宋_GB2312" w:cs="仿宋_GB2312"/>
                <w:b w:val="0"/>
                <w:bCs w:val="0"/>
                <w:spacing w:val="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rPr>
            </w:pPr>
            <w:r>
              <w:rPr>
                <w:rFonts w:hint="eastAsia" w:ascii="仿宋_GB2312" w:hAnsi="仿宋_GB2312" w:eastAsia="仿宋_GB2312" w:cs="仿宋_GB2312"/>
                <w:b w:val="0"/>
                <w:bCs w:val="0"/>
                <w:spacing w:val="0"/>
                <w:sz w:val="28"/>
                <w:szCs w:val="28"/>
                <w:lang w:val="en-US" w:eastAsia="zh-CN"/>
              </w:rPr>
              <w:t>二是</w:t>
            </w:r>
            <w:r>
              <w:rPr>
                <w:rFonts w:hint="eastAsia" w:ascii="仿宋_GB2312" w:hAnsi="仿宋_GB2312" w:eastAsia="仿宋_GB2312" w:cs="仿宋_GB2312"/>
                <w:b w:val="0"/>
                <w:bCs w:val="0"/>
                <w:spacing w:val="0"/>
                <w:sz w:val="28"/>
                <w:szCs w:val="28"/>
              </w:rPr>
              <w:t>扩大企业“集群注册登记”类型，推广席位注册、共享办公等形式，帮助初创企业降低办公场所租用成本。</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w:t>
            </w:r>
            <w:r>
              <w:rPr>
                <w:rFonts w:hint="eastAsia" w:ascii="仿宋_GB2312" w:hAnsi="仿宋_GB2312" w:eastAsia="仿宋_GB2312" w:cs="仿宋_GB2312"/>
                <w:b w:val="0"/>
                <w:bCs w:val="0"/>
                <w:spacing w:val="0"/>
                <w:sz w:val="28"/>
                <w:szCs w:val="28"/>
              </w:rPr>
              <w:t>畅通市场主体退出渠道，建立完善市场主体退出机制，</w:t>
            </w:r>
            <w:r>
              <w:rPr>
                <w:rFonts w:hint="eastAsia" w:ascii="仿宋_GB2312" w:hAnsi="仿宋_GB2312" w:eastAsia="仿宋_GB2312" w:cs="仿宋_GB2312"/>
                <w:b w:val="0"/>
                <w:bCs w:val="0"/>
                <w:spacing w:val="0"/>
                <w:sz w:val="28"/>
                <w:szCs w:val="28"/>
                <w:lang w:eastAsia="zh-CN"/>
              </w:rPr>
              <w:t>配合市局做好</w:t>
            </w:r>
            <w:r>
              <w:rPr>
                <w:rFonts w:hint="eastAsia" w:ascii="仿宋_GB2312" w:hAnsi="仿宋_GB2312" w:eastAsia="仿宋_GB2312" w:cs="仿宋_GB2312"/>
                <w:b w:val="0"/>
                <w:bCs w:val="0"/>
                <w:spacing w:val="0"/>
                <w:sz w:val="28"/>
                <w:szCs w:val="28"/>
              </w:rPr>
              <w:t>企业强制退出工作，释放企业名称等各类社会资源，激发市场主体活力。</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eastAsia="zh-CN"/>
              </w:rPr>
              <w:t>李斌</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商事登记科</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11</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助企暖企增值改革项目</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企业准入准营“一类事”增值化服务</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打造企业增值化服务全省样板，在省级以上媒体刊发经验做法。</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一是制定企业准入“一类事”服务清单。梳理归集企业准入事前、事中、事后服务事项，提供“套餐式”、“点餐式”集成化服务。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二是建立完善协同服务机制。整合联动各级政务服务实施机构，实现信息、数据、材料、证照等快速流转处理。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三是深化企业增值服务。充分发挥“跑团”作用，积极提供政策、法律、金融、人才、科创等衍生服务。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李斌</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商事登记科</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12</w:t>
            </w: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“园区”服务直通车</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经验做法在省级媒体刊发，打造有影响力的园区政务服务品牌。</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一是建立“园区”服务预约机制。制定标准，并争取市级试点。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二是组成“直通车”直达园区。企业通过“一号通”等多渠道预约办事需求，相关部门组成“直通车”，每周一次或根据企业需求定期进驻园区，实现“企业点单、服务上门”。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三是完善工作措施，在全市园区进行推广。</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孙兆杰</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牵头科室：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政务服务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管理科</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配合科室：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各业务科室</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13</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助企暖企增值改革项目</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推出市场主体“证后服务”</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在省级媒体刊发经验做法。</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一是制发工作方案。起草制定审批领域行政指导工作方案，与业务科室梳理行政指导事项、范围、方式、渠道等内容，规范业务科室批前辅导、批后提醒等工作；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二是编制指导材料。与业务科室共同制定、规范行政指导告知书、明白纸等，拓展行政指导服务范围；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三是汇总经验做法。总结提炼推广行政指导工作案例和相关典型做法。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李斌</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牵头科室：市场准入科</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配合科室：各业务科室</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14</w:t>
            </w: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推行文旅事项审批“高效办成一件事”改革</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在全省领先，在省级媒体刊发经验做法。</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一是压缩申请材料。梳理文旅产业“高效办成一件事”事项清单，整合申请表单、材料。</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二是提高审批效率。推行“一次申报、打包审核、集成发证”的办理模式，助推文旅产业高质量发展。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三是方便申请人办理。将文旅产业事项延伸到镇街、社区受理，协助市局制定《“不定时和综合计算工时工作制”审批规范》，推动就近办、及时办。</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孙兆杰</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社会事务科</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15</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助企暖企增值改革项目</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推动“不定时和综合计算工时工作制”规范化审批</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在全省领先，在省级媒体刊发经验做法。</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一是明确审批标准。系统梳理法律法规依据，草拟《“不定时和综合计算工时工作制”审批规范》。</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二是选取合适镇街试点开展相关业务。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三是全面推广。组织各镇街、社区等各级窗口工作人员业务培训，提高“不定时和综合计算工时工作制”审批规范化水平，方便申请人就近办、及时办。</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孙兆杰</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社会事务科</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eastAsia="宋体" w:cs="宋体"/>
                <w:b w:val="0"/>
                <w:bCs w:val="0"/>
                <w:spacing w:val="0"/>
                <w:sz w:val="28"/>
                <w:szCs w:val="28"/>
                <w:vertAlign w:val="baseline"/>
                <w:lang w:val="en-US" w:eastAsia="zh-CN"/>
              </w:rPr>
              <w:t>1</w:t>
            </w:r>
            <w:r>
              <w:rPr>
                <w:rFonts w:hint="eastAsia" w:ascii="Times New Roman" w:hAnsi="Times New Roman" w:cs="宋体"/>
                <w:b w:val="0"/>
                <w:bCs w:val="0"/>
                <w:spacing w:val="0"/>
                <w:sz w:val="28"/>
                <w:szCs w:val="28"/>
                <w:vertAlign w:val="baseline"/>
                <w:lang w:val="en-US" w:eastAsia="zh-CN"/>
              </w:rPr>
              <w:t>6</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政务服务增值改革项目</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博山区“跑团”帮办代办联盟</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经验做法在省级以上媒体刊发或者召开省级以上现场会。</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一是构建服务体系。进一步完善三级“跑团”体系，在区级建立专家“跑手”队伍。</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二是拓展服务广度、深度。开展“纵向全贯通、横向全覆盖”立体化帮办代办服务，形成“抱团帮办代办”合力。</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三是完善工作机制。建立导办、帮办、代办、督办“四办”服务等工作机制。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赵以伟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牵头科室：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审批管理科配合科室：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业务指导科、政务服务管理科、各业务科室</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3"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宋体"/>
                <w:b w:val="0"/>
                <w:bCs w:val="0"/>
                <w:spacing w:val="0"/>
                <w:kern w:val="2"/>
                <w:sz w:val="28"/>
                <w:szCs w:val="28"/>
                <w:vertAlign w:val="baseline"/>
                <w:lang w:val="en-US" w:eastAsia="zh-CN" w:bidi="ar-SA"/>
              </w:rPr>
            </w:pPr>
            <w:r>
              <w:rPr>
                <w:rFonts w:hint="eastAsia" w:ascii="Times New Roman" w:hAnsi="Times New Roman" w:cs="宋体"/>
                <w:b w:val="0"/>
                <w:bCs w:val="0"/>
                <w:spacing w:val="0"/>
                <w:kern w:val="2"/>
                <w:sz w:val="28"/>
                <w:szCs w:val="28"/>
                <w:vertAlign w:val="baseline"/>
                <w:lang w:val="en-US" w:eastAsia="zh-CN" w:bidi="ar-SA"/>
              </w:rPr>
              <w:t>17</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政务服务增值改革项目</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打造多维度智能办事服务新模式</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在国家级、省级媒体刊发经验做法；作为典型经验被上级部门在全国、全省推广。</w:t>
            </w:r>
          </w:p>
        </w:tc>
        <w:tc>
          <w:tcPr>
            <w:tcW w:w="56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一是拓展政务服务“免证办”。结合“用证”事项清单，强化“电子证照”在政务服务业务过程中的应用，探索与济南、潍坊、临沂等地开展证照互通共享，进一步推动“免证办”。</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二是推进高频事项“集成办”。深化关联事项“集成办”，创新打造更多“一件事一次办”标杆场景。</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三是推行政务服务“一码办”。深化“鲁通码”应用，梳理形成“一码办”事项清单，推进“码上”服务。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孙兆杰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牵头科室：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业务指导科、审批效能推进科</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配合科室：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网络信息科、各业务科室</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1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宋体" w:cs="宋体"/>
                <w:b w:val="0"/>
                <w:bCs w:val="0"/>
                <w:spacing w:val="0"/>
                <w:sz w:val="28"/>
                <w:szCs w:val="28"/>
                <w:vertAlign w:val="baseline"/>
                <w:lang w:val="en-US" w:eastAsia="zh-CN"/>
              </w:rPr>
            </w:pPr>
            <w:r>
              <w:rPr>
                <w:rFonts w:hint="eastAsia" w:ascii="Times New Roman" w:hAnsi="Times New Roman" w:eastAsia="宋体" w:cs="宋体"/>
                <w:b w:val="0"/>
                <w:bCs w:val="0"/>
                <w:spacing w:val="0"/>
                <w:sz w:val="28"/>
                <w:szCs w:val="28"/>
                <w:vertAlign w:val="baseline"/>
                <w:lang w:val="en-US" w:eastAsia="zh-CN"/>
              </w:rPr>
              <w:t>1</w:t>
            </w:r>
            <w:r>
              <w:rPr>
                <w:rFonts w:hint="eastAsia" w:ascii="Times New Roman" w:hAnsi="Times New Roman" w:cs="宋体"/>
                <w:b w:val="0"/>
                <w:bCs w:val="0"/>
                <w:spacing w:val="0"/>
                <w:sz w:val="28"/>
                <w:szCs w:val="28"/>
                <w:vertAlign w:val="baseline"/>
                <w:lang w:val="en-US" w:eastAsia="zh-CN"/>
              </w:rPr>
              <w:t>8</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制定交通城管事项现场勘验标准化、规范化模版</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在市级媒体刊发经验做法。</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依托市2023年行政许可事项清单，制订交通城管事项现场勘验标准模板，为全市制订市县两级权限明确的性质许可事项清单和统一的法律法规汇编手册和操作手册提供保障。</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仲静</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 xml:space="preserve">牵头科室：交通城管科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配合科室：现场勘验科</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12"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cs="宋体"/>
                <w:b w:val="0"/>
                <w:bCs w:val="0"/>
                <w:spacing w:val="0"/>
                <w:sz w:val="28"/>
                <w:szCs w:val="28"/>
                <w:vertAlign w:val="baseline"/>
                <w:lang w:val="en-US" w:eastAsia="zh-CN"/>
              </w:rPr>
            </w:pPr>
            <w:r>
              <w:rPr>
                <w:rFonts w:hint="eastAsia" w:ascii="Times New Roman" w:hAnsi="Times New Roman" w:cs="宋体"/>
                <w:b w:val="0"/>
                <w:bCs w:val="0"/>
                <w:spacing w:val="0"/>
                <w:sz w:val="28"/>
                <w:szCs w:val="28"/>
                <w:vertAlign w:val="baseline"/>
                <w:lang w:val="en-US" w:eastAsia="zh-CN"/>
              </w:rPr>
              <w:t>19</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数字赋能增值改革项目</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color w:val="auto"/>
                <w:spacing w:val="0"/>
                <w:kern w:val="2"/>
                <w:sz w:val="28"/>
                <w:szCs w:val="28"/>
                <w:lang w:val="en-US" w:eastAsia="zh-CN" w:bidi="ar-SA"/>
              </w:rPr>
            </w:pPr>
            <w:r>
              <w:rPr>
                <w:rFonts w:hint="eastAsia" w:ascii="仿宋_GB2312" w:hAnsi="仿宋_GB2312" w:eastAsia="仿宋_GB2312" w:cs="仿宋_GB2312"/>
                <w:b w:val="0"/>
                <w:bCs w:val="0"/>
                <w:spacing w:val="0"/>
                <w:sz w:val="28"/>
                <w:szCs w:val="28"/>
                <w:lang w:val="en-US" w:eastAsia="zh-CN"/>
              </w:rPr>
              <w:t>推出“数看园区”服务</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color w:val="auto"/>
                <w:spacing w:val="0"/>
                <w:kern w:val="2"/>
                <w:sz w:val="28"/>
                <w:szCs w:val="28"/>
                <w:lang w:val="en-US" w:eastAsia="zh-CN" w:bidi="ar-SA"/>
              </w:rPr>
            </w:pPr>
            <w:r>
              <w:rPr>
                <w:rFonts w:hint="eastAsia" w:ascii="仿宋_GB2312" w:hAnsi="仿宋_GB2312" w:eastAsia="仿宋_GB2312" w:cs="仿宋_GB2312"/>
                <w:b w:val="0"/>
                <w:bCs w:val="0"/>
                <w:spacing w:val="0"/>
                <w:sz w:val="28"/>
                <w:szCs w:val="28"/>
                <w:lang w:val="en-US" w:eastAsia="zh-CN"/>
              </w:rPr>
              <w:t>在省级媒体刊发经验做法。作为典型经验被上级部门在全省推广。</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一是进一步优化“数字厂长”服务程序，搭建园区政务服务模块，开通“园区直通车”板块，改变过去企业找服务状况，实现企业随时呼叫、园区服务中心即时响应、订制服务。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搭建企业管理模块，实现园区企业订单全程有效跟踪、物料出入库跟踪及人机一体完整管理，园区服务中心可通过后台全面了解企业经营情况，为企业形成个性化政务服务清单，引导企业合法可持续经营发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孙兆杰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color w:val="auto"/>
                <w:spacing w:val="0"/>
                <w:kern w:val="2"/>
                <w:sz w:val="28"/>
                <w:szCs w:val="28"/>
                <w:lang w:val="en-US" w:eastAsia="zh-CN" w:bidi="ar-SA"/>
              </w:rPr>
            </w:pP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牵头科室：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政务服务管理科</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配合科室：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color w:val="auto"/>
                <w:spacing w:val="0"/>
                <w:kern w:val="2"/>
                <w:sz w:val="28"/>
                <w:szCs w:val="28"/>
                <w:lang w:val="en-US" w:eastAsia="zh-CN" w:bidi="ar-SA"/>
              </w:rPr>
            </w:pPr>
            <w:r>
              <w:rPr>
                <w:rFonts w:hint="eastAsia" w:ascii="仿宋_GB2312" w:hAnsi="仿宋_GB2312" w:eastAsia="仿宋_GB2312" w:cs="仿宋_GB2312"/>
                <w:b w:val="0"/>
                <w:bCs w:val="0"/>
                <w:spacing w:val="0"/>
                <w:sz w:val="28"/>
                <w:szCs w:val="28"/>
                <w:lang w:val="en-US" w:eastAsia="zh-CN"/>
              </w:rPr>
              <w:t>业务指导科、各业务科室</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color w:val="auto"/>
                <w:spacing w:val="0"/>
                <w:kern w:val="2"/>
                <w:sz w:val="28"/>
                <w:szCs w:val="28"/>
                <w:lang w:val="en-US" w:eastAsia="zh-CN" w:bidi="ar-SA"/>
              </w:rPr>
            </w:pPr>
            <w:r>
              <w:rPr>
                <w:rFonts w:hint="eastAsia" w:ascii="仿宋_GB2312" w:hAnsi="仿宋_GB2312" w:eastAsia="仿宋_GB2312" w:cs="仿宋_GB2312"/>
                <w:b w:val="0"/>
                <w:bCs w:val="0"/>
                <w:spacing w:val="0"/>
                <w:sz w:val="28"/>
                <w:szCs w:val="28"/>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429"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宋体" w:cs="宋体"/>
                <w:b w:val="0"/>
                <w:bCs w:val="0"/>
                <w:spacing w:val="0"/>
                <w:kern w:val="2"/>
                <w:sz w:val="28"/>
                <w:szCs w:val="28"/>
                <w:vertAlign w:val="baseline"/>
                <w:lang w:val="en-US" w:eastAsia="zh-CN" w:bidi="ar-SA"/>
              </w:rPr>
            </w:pPr>
            <w:r>
              <w:rPr>
                <w:rFonts w:hint="eastAsia" w:ascii="Times New Roman" w:hAnsi="Times New Roman" w:cs="宋体"/>
                <w:b w:val="0"/>
                <w:bCs w:val="0"/>
                <w:spacing w:val="0"/>
                <w:sz w:val="28"/>
                <w:szCs w:val="28"/>
                <w:vertAlign w:val="baseline"/>
                <w:lang w:val="en-US" w:eastAsia="zh-CN"/>
              </w:rPr>
              <w:t>20</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数字赋能增值改革项目</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推出“双码双进”服务</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在省级媒体刊发经验做法，作为典型经验被上级部门在全省推广。</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一是按照企业、群众两类服务群体，梳理形成两类群体高频事项清单。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二是生成政务“红码”、“蓝码”，在小区和企业同步展示，群众企业在家门口根据个体需求扫码获取全生命周期事项服务指南以及专属“红蓝”管家联系方式。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房晓晨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牵头科室：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业务指导科</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配合科室：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审批效能推进科、各业务科室</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389"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宋体"/>
                <w:b w:val="0"/>
                <w:bCs w:val="0"/>
                <w:spacing w:val="0"/>
                <w:kern w:val="2"/>
                <w:sz w:val="28"/>
                <w:szCs w:val="28"/>
                <w:vertAlign w:val="baseline"/>
                <w:lang w:val="en-US" w:eastAsia="zh-CN" w:bidi="ar-SA"/>
              </w:rPr>
            </w:pPr>
            <w:r>
              <w:rPr>
                <w:rFonts w:hint="eastAsia" w:ascii="Times New Roman" w:hAnsi="Times New Roman" w:cs="宋体"/>
                <w:b w:val="0"/>
                <w:bCs w:val="0"/>
                <w:spacing w:val="0"/>
                <w:kern w:val="2"/>
                <w:sz w:val="28"/>
                <w:szCs w:val="28"/>
                <w:vertAlign w:val="baseline"/>
                <w:lang w:val="en-US" w:eastAsia="zh-CN" w:bidi="ar-SA"/>
              </w:rPr>
              <w:t>21</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服务保障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改革项目</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基层便民服务体系建设“一镇一品”</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形成可复制经验在省市推广，在国家级、省级媒体刊发经验做法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为进一步满足企业、群众便利化需求，结合各镇（街道）发展定位，探索在各镇形成政务服务“特色品牌”。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一是针对南部农业镇、北部工业镇及城市街道三类镇（街道）发展模式，深入挖掘各镇（街道）特色服务模式，开展实地调研分析，形成相关分析报告。</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结合各镇地理位置、功能划分等情况及前期实地调研结果，形成南部农业镇主要在特殊困难群众服务，在偏远村、中心村发展路径上进行特色打造；北部工业镇结合园区发展定位，开拓园区服务发展模式；城市街道关注群众便民服务和个体工商户服务发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三是组织现场会，对各镇（街道）品牌打造情况开展验收。</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孙兆杰</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牵头科室：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政务服务管理科</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配合科室：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业务指导科、各镇（街道）</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11"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宋体"/>
                <w:b w:val="0"/>
                <w:bCs w:val="0"/>
                <w:spacing w:val="0"/>
                <w:kern w:val="2"/>
                <w:sz w:val="28"/>
                <w:szCs w:val="28"/>
                <w:vertAlign w:val="baseline"/>
                <w:lang w:val="en-US" w:eastAsia="zh-CN" w:bidi="ar-SA"/>
              </w:rPr>
            </w:pPr>
            <w:r>
              <w:rPr>
                <w:rFonts w:hint="eastAsia" w:ascii="Times New Roman" w:hAnsi="Times New Roman" w:cs="宋体"/>
                <w:b w:val="0"/>
                <w:bCs w:val="0"/>
                <w:spacing w:val="0"/>
                <w:kern w:val="2"/>
                <w:sz w:val="28"/>
                <w:szCs w:val="28"/>
                <w:vertAlign w:val="baseline"/>
                <w:lang w:val="en-US" w:eastAsia="zh-CN" w:bidi="ar-SA"/>
              </w:rPr>
              <w:t>22</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服务保障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改革项目</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深化“跑团”党建品牌</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继续扩大“跑团”党建品牌影响力，以“三个一”为抓手，进一步加大党建与业务融合。</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一是创一流，营造“快跑”氛围。利用好“跑团”党建品牌沉浸式体验区，开展党性体检、主题党日、重温入党誓词、党员过政治生日、党员承诺、谈心谈话、读书会等活动。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二是争一等，打造“竞跑”队伍。以党支部“带头跑”、党小组“竞速跑”、党员“争先跑”的三级联跑机制为基础，聚焦提升凝聚力、创新力、执行力和影响力。同时，守牢廉政底线，严格落实中央八项规定精神，深化党章党规党纪教育，深入纠治“四风”，大力践行“严真细实快”工作作风，确保“竞跑”不“犯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三是联一线，发挥“助跑”作用。局机关党支部与新博社区党总支结对党建共建，抱团发展。同时发挥驻源西村第一书记和结对帮扶尹家峪村干部作用，将政务“跑团”“跑起来”工作理念，延伸到社区（村）共驻共建，助力基层党组织“跑起来”，增强“跑团”党建品牌影响力。</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仲静</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牵头科室：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组织人事科，其他科室配合</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2024年10月</w:t>
            </w:r>
          </w:p>
        </w:tc>
      </w:tr>
    </w:tbl>
    <w:p>
      <w:pPr>
        <w:pStyle w:val="16"/>
        <w:keepNext w:val="0"/>
        <w:keepLines w:val="0"/>
        <w:pageBreakBefore w:val="0"/>
        <w:widowControl w:val="0"/>
        <w:kinsoku/>
        <w:wordWrap/>
        <w:overflowPunct/>
        <w:topLinePunct w:val="0"/>
        <w:autoSpaceDE/>
        <w:autoSpaceDN/>
        <w:bidi w:val="0"/>
        <w:adjustRightInd/>
        <w:snapToGrid/>
        <w:spacing w:line="560" w:lineRule="exact"/>
        <w:ind w:left="0" w:leftChars="0"/>
        <w:jc w:val="both"/>
        <w:rPr>
          <w:rFonts w:hint="default" w:ascii="Times New Roman" w:hAnsi="Times New Roman" w:eastAsia="仿宋_GB2312" w:cs="仿宋_GB2312"/>
          <w:b w:val="0"/>
          <w:bCs w:val="0"/>
          <w:color w:val="auto"/>
          <w:kern w:val="2"/>
          <w:sz w:val="32"/>
          <w:szCs w:val="32"/>
          <w:u w:val="none"/>
          <w:lang w:val="en-US" w:eastAsia="zh-CN" w:bidi="ar-SA"/>
        </w:rPr>
      </w:pPr>
    </w:p>
    <w:sectPr>
      <w:footerReference r:id="rId4" w:type="default"/>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ZGM4MDEwNWRiMzQwNzVlYmYwNzNlZjY5NzgzNjEifQ=="/>
    <w:docVar w:name="KSO_WPS_MARK_KEY" w:val="7dab4e63-1f7e-4732-9993-21da9b588de2"/>
  </w:docVars>
  <w:rsids>
    <w:rsidRoot w:val="6F13212D"/>
    <w:rsid w:val="003E0778"/>
    <w:rsid w:val="00757B9E"/>
    <w:rsid w:val="02196168"/>
    <w:rsid w:val="023A6B14"/>
    <w:rsid w:val="02F32963"/>
    <w:rsid w:val="033F4F37"/>
    <w:rsid w:val="03652CA2"/>
    <w:rsid w:val="037979A5"/>
    <w:rsid w:val="03805FAC"/>
    <w:rsid w:val="03E61084"/>
    <w:rsid w:val="04BA6155"/>
    <w:rsid w:val="07071219"/>
    <w:rsid w:val="07A330DD"/>
    <w:rsid w:val="080116E4"/>
    <w:rsid w:val="086B2244"/>
    <w:rsid w:val="0967093B"/>
    <w:rsid w:val="09676CC0"/>
    <w:rsid w:val="097C6301"/>
    <w:rsid w:val="0A4240F4"/>
    <w:rsid w:val="0C3E6980"/>
    <w:rsid w:val="0F0260AC"/>
    <w:rsid w:val="0F0E1EBF"/>
    <w:rsid w:val="0F422736"/>
    <w:rsid w:val="0FFD14C3"/>
    <w:rsid w:val="10480C7D"/>
    <w:rsid w:val="10AD196B"/>
    <w:rsid w:val="13DC3D21"/>
    <w:rsid w:val="14775224"/>
    <w:rsid w:val="14C45913"/>
    <w:rsid w:val="15A9411A"/>
    <w:rsid w:val="175D5EE1"/>
    <w:rsid w:val="17B42173"/>
    <w:rsid w:val="17F915E3"/>
    <w:rsid w:val="18AA0CDC"/>
    <w:rsid w:val="18B062D7"/>
    <w:rsid w:val="19224548"/>
    <w:rsid w:val="192614BB"/>
    <w:rsid w:val="1C1F513D"/>
    <w:rsid w:val="1C201890"/>
    <w:rsid w:val="1CBE43AD"/>
    <w:rsid w:val="1E787662"/>
    <w:rsid w:val="2006711A"/>
    <w:rsid w:val="227A112F"/>
    <w:rsid w:val="22AD4CB9"/>
    <w:rsid w:val="22EE0D5B"/>
    <w:rsid w:val="239F6981"/>
    <w:rsid w:val="27074394"/>
    <w:rsid w:val="2740671C"/>
    <w:rsid w:val="2746042E"/>
    <w:rsid w:val="284369F5"/>
    <w:rsid w:val="286D29E1"/>
    <w:rsid w:val="292709B0"/>
    <w:rsid w:val="2BA35DBD"/>
    <w:rsid w:val="2C117331"/>
    <w:rsid w:val="2CB83A5F"/>
    <w:rsid w:val="2E145ECF"/>
    <w:rsid w:val="2E951911"/>
    <w:rsid w:val="2F324CFE"/>
    <w:rsid w:val="2F697367"/>
    <w:rsid w:val="30C6498D"/>
    <w:rsid w:val="31EF2933"/>
    <w:rsid w:val="3449414B"/>
    <w:rsid w:val="3454513B"/>
    <w:rsid w:val="35194086"/>
    <w:rsid w:val="351F56ED"/>
    <w:rsid w:val="355C3F04"/>
    <w:rsid w:val="368C3F00"/>
    <w:rsid w:val="37064C56"/>
    <w:rsid w:val="374327F1"/>
    <w:rsid w:val="38196A86"/>
    <w:rsid w:val="38785564"/>
    <w:rsid w:val="38D670E6"/>
    <w:rsid w:val="39BE0814"/>
    <w:rsid w:val="39D97A67"/>
    <w:rsid w:val="3A234969"/>
    <w:rsid w:val="3AF0308C"/>
    <w:rsid w:val="3BFD114C"/>
    <w:rsid w:val="3C1B2328"/>
    <w:rsid w:val="3C7207B9"/>
    <w:rsid w:val="3CA868E6"/>
    <w:rsid w:val="3CC67853"/>
    <w:rsid w:val="3D6C1F45"/>
    <w:rsid w:val="3D8B0958"/>
    <w:rsid w:val="3DBA1DD5"/>
    <w:rsid w:val="3F181D11"/>
    <w:rsid w:val="3FFC5F40"/>
    <w:rsid w:val="40985685"/>
    <w:rsid w:val="418073C7"/>
    <w:rsid w:val="41970E2B"/>
    <w:rsid w:val="41C11C6F"/>
    <w:rsid w:val="42E334F8"/>
    <w:rsid w:val="439873F8"/>
    <w:rsid w:val="43D16466"/>
    <w:rsid w:val="43D83AEF"/>
    <w:rsid w:val="45215079"/>
    <w:rsid w:val="463715EE"/>
    <w:rsid w:val="466163C7"/>
    <w:rsid w:val="478918AB"/>
    <w:rsid w:val="47D3233B"/>
    <w:rsid w:val="48077E3B"/>
    <w:rsid w:val="4A624493"/>
    <w:rsid w:val="4A8A4F34"/>
    <w:rsid w:val="4A987CDE"/>
    <w:rsid w:val="4B2D7363"/>
    <w:rsid w:val="4B562725"/>
    <w:rsid w:val="4BBA4541"/>
    <w:rsid w:val="4BDC3C83"/>
    <w:rsid w:val="4C6B06FE"/>
    <w:rsid w:val="4DBF5582"/>
    <w:rsid w:val="4E206690"/>
    <w:rsid w:val="4E7C32D2"/>
    <w:rsid w:val="4F46459E"/>
    <w:rsid w:val="4FAE58AE"/>
    <w:rsid w:val="50017A90"/>
    <w:rsid w:val="50FA590F"/>
    <w:rsid w:val="514F0773"/>
    <w:rsid w:val="51DB00F3"/>
    <w:rsid w:val="520614B4"/>
    <w:rsid w:val="5229552A"/>
    <w:rsid w:val="53B72A25"/>
    <w:rsid w:val="56576C9F"/>
    <w:rsid w:val="57BB4F91"/>
    <w:rsid w:val="57F944E3"/>
    <w:rsid w:val="581D550E"/>
    <w:rsid w:val="585857A0"/>
    <w:rsid w:val="58BD5526"/>
    <w:rsid w:val="58EA0EAF"/>
    <w:rsid w:val="59A96428"/>
    <w:rsid w:val="59E00D5A"/>
    <w:rsid w:val="5A2921FA"/>
    <w:rsid w:val="5ABC71EA"/>
    <w:rsid w:val="5B6C254A"/>
    <w:rsid w:val="5BFB5E7D"/>
    <w:rsid w:val="5CF732B3"/>
    <w:rsid w:val="5E165C67"/>
    <w:rsid w:val="5EED24AB"/>
    <w:rsid w:val="5F8951A6"/>
    <w:rsid w:val="5FAB005C"/>
    <w:rsid w:val="603616BA"/>
    <w:rsid w:val="61185806"/>
    <w:rsid w:val="61B21CD6"/>
    <w:rsid w:val="623039D9"/>
    <w:rsid w:val="62EC4C13"/>
    <w:rsid w:val="636A1789"/>
    <w:rsid w:val="64F1595D"/>
    <w:rsid w:val="668058DB"/>
    <w:rsid w:val="67D626D5"/>
    <w:rsid w:val="6887428A"/>
    <w:rsid w:val="699D5FD4"/>
    <w:rsid w:val="6A5B2E7B"/>
    <w:rsid w:val="6A991EC1"/>
    <w:rsid w:val="6BB157E5"/>
    <w:rsid w:val="6BE15E52"/>
    <w:rsid w:val="6C2F050B"/>
    <w:rsid w:val="6C4A5AF3"/>
    <w:rsid w:val="6F13212D"/>
    <w:rsid w:val="6F9D5C29"/>
    <w:rsid w:val="6FD6290B"/>
    <w:rsid w:val="6FFB3A44"/>
    <w:rsid w:val="703A5210"/>
    <w:rsid w:val="70816E26"/>
    <w:rsid w:val="70911BAC"/>
    <w:rsid w:val="7137174F"/>
    <w:rsid w:val="714F4DB9"/>
    <w:rsid w:val="71D56244"/>
    <w:rsid w:val="72BC63B0"/>
    <w:rsid w:val="73F23412"/>
    <w:rsid w:val="742F3E46"/>
    <w:rsid w:val="76017D43"/>
    <w:rsid w:val="77B77863"/>
    <w:rsid w:val="77E21268"/>
    <w:rsid w:val="78471295"/>
    <w:rsid w:val="787B35F4"/>
    <w:rsid w:val="794519BF"/>
    <w:rsid w:val="7B1249F7"/>
    <w:rsid w:val="7B46683F"/>
    <w:rsid w:val="7D572A32"/>
    <w:rsid w:val="7E0E1A8A"/>
    <w:rsid w:val="7E2B048C"/>
    <w:rsid w:val="7E6B0C8A"/>
    <w:rsid w:val="7E9A0291"/>
    <w:rsid w:val="7EBC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spacing w:line="360" w:lineRule="auto"/>
      <w:ind w:firstLine="420" w:firstLineChars="200"/>
    </w:pPr>
    <w:rPr>
      <w:rFonts w:eastAsia="宋体"/>
      <w:spacing w:val="0"/>
      <w:sz w:val="24"/>
      <w:szCs w:val="24"/>
    </w:rPr>
  </w:style>
  <w:style w:type="paragraph" w:styleId="5">
    <w:name w:val="Body Text"/>
    <w:basedOn w:val="1"/>
    <w:next w:val="1"/>
    <w:autoRedefine/>
    <w:qFormat/>
    <w:uiPriority w:val="0"/>
    <w:pPr>
      <w:spacing w:before="0" w:after="140" w:line="276" w:lineRule="auto"/>
    </w:pPr>
  </w:style>
  <w:style w:type="paragraph" w:styleId="6">
    <w:name w:val="Body Text Indent"/>
    <w:basedOn w:val="1"/>
    <w:next w:val="4"/>
    <w:autoRedefine/>
    <w:semiHidden/>
    <w:qFormat/>
    <w:uiPriority w:val="99"/>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autoRedefine/>
    <w:qFormat/>
    <w:uiPriority w:val="99"/>
    <w:pPr>
      <w:ind w:firstLine="42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paragraph" w:customStyle="1" w:styleId="14">
    <w:name w:val="样式 样式 左侧:  2 字符 + 左侧:  0.85 厘米 首行缩进:  2 字符1"/>
    <w:basedOn w:val="1"/>
    <w:autoRedefine/>
    <w:qFormat/>
    <w:uiPriority w:val="0"/>
    <w:pPr>
      <w:ind w:left="482" w:firstLine="200" w:firstLineChars="200"/>
    </w:pPr>
    <w:rPr>
      <w:rFonts w:cs="宋体"/>
    </w:rPr>
  </w:style>
  <w:style w:type="paragraph" w:customStyle="1" w:styleId="15">
    <w:name w:val="Default"/>
    <w:autoRedefine/>
    <w:qFormat/>
    <w:uiPriority w:val="99"/>
    <w:pPr>
      <w:widowControl w:val="0"/>
      <w:autoSpaceDE w:val="0"/>
      <w:autoSpaceDN w:val="0"/>
      <w:adjustRightInd w:val="0"/>
    </w:pPr>
    <w:rPr>
      <w:rFonts w:ascii="??_GB2312" w:hAnsi="??_GB2312" w:eastAsia="宋体" w:cs="??_GB2312"/>
      <w:color w:val="000000"/>
      <w:sz w:val="24"/>
      <w:szCs w:val="24"/>
      <w:lang w:val="en-US" w:eastAsia="zh-CN" w:bidi="ar-SA"/>
    </w:rPr>
  </w:style>
  <w:style w:type="paragraph" w:customStyle="1" w:styleId="16">
    <w:name w:val="BodyText"/>
    <w:basedOn w:val="1"/>
    <w:autoRedefine/>
    <w:qFormat/>
    <w:uiPriority w:val="0"/>
    <w:pPr>
      <w:ind w:left="120"/>
      <w:jc w:val="both"/>
      <w:textAlignment w:val="baseline"/>
    </w:pPr>
    <w:rPr>
      <w:rFonts w:ascii="Calibri" w:hAnsi="Calibri" w:eastAsia="宋体"/>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12483</Words>
  <Characters>12715</Characters>
  <Lines>0</Lines>
  <Paragraphs>0</Paragraphs>
  <TotalTime>11</TotalTime>
  <ScaleCrop>false</ScaleCrop>
  <LinksUpToDate>false</LinksUpToDate>
  <CharactersWithSpaces>12794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2023-05-22T01:23:00Z</dcterms:created>
  <dc:creator>#Zzzzzzz</dc:creator>
  <cp:lastModifiedBy>审批局专用会员</cp:lastModifiedBy>
  <cp:lastPrinted>2024-02-18T08:25:00Z</cp:lastPrinted>
  <dcterms:modified xsi:type="dcterms:W3CDTF">2024-04-03T08:59:13Z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994D3E0434D143FE8E1CBFC87DD4C15E</vt:lpwstr>
  </property>
</Properties>
</file>