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政策解读：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《全区公共场所卫生许可事项“区镇同权”实施方案》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近日，博山区人民政府出台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《全区公共场所卫生许可事项“县镇同权”实施方案》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，为方便社会公众了解政策内容，现作如下解读：</w:t>
      </w:r>
    </w:p>
    <w:p>
      <w:pPr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一、《方案》出台的背景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为进一步深化“放管服”改革，让改革红利惠及更多群众，以更快更好方便群众办事创业为导向，打通服务末梢，达到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镇同权“就近办”目的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二、“区镇同权”的涵义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公共场所卫生</w:t>
      </w:r>
      <w:r>
        <w:rPr>
          <w:rFonts w:hint="eastAsia" w:ascii="仿宋" w:hAnsi="仿宋" w:eastAsia="仿宋" w:cs="仿宋"/>
          <w:sz w:val="32"/>
          <w:szCs w:val="32"/>
        </w:rPr>
        <w:t>行政许可事项实质性审核权下放是指将由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行政审批服务局集中实施的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公共场所卫生</w:t>
      </w:r>
      <w:r>
        <w:rPr>
          <w:rFonts w:hint="eastAsia" w:ascii="仿宋" w:hAnsi="仿宋" w:eastAsia="仿宋" w:cs="仿宋"/>
          <w:sz w:val="32"/>
          <w:szCs w:val="32"/>
        </w:rPr>
        <w:t>行政许可事项，采取受理审核权与批准权适当分离、受理审核权下放、由各镇（街）受理、行使实质性审核职权、作出审核决定意见，以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行政审批服务局名义向申请人发放《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公共场所卫生许可证</w:t>
      </w:r>
      <w:r>
        <w:rPr>
          <w:rFonts w:hint="eastAsia" w:ascii="仿宋" w:hAnsi="仿宋" w:eastAsia="仿宋" w:cs="仿宋"/>
          <w:sz w:val="32"/>
          <w:szCs w:val="32"/>
        </w:rPr>
        <w:t>》，并对审批行为、过程和结果负责。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三、许可条件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1.法人代表或负责人必须能够独立承担相应民事责任；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2.具有健全的公共场所卫生管理制度，并按规定建立卫生管理组织，配备专职或者兼职公共场所卫生管理员；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3.经营场所选址适当，内外环境整洁，与坑式厕所、垃圾堆放处等污染源和其他有毒有害场所保持规定的距离；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4.经营场所配备适当的消毒等卫生设施，坚持按规定操作流程消毒公共用品；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5.场所符合有关法规、规章、标准和卫生规范的要求；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6.公共场所从业人员经过健康检查和卫生知识培训合格，保持个人清洁卫生。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四、申请材料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1.《公共场所卫生许可申请表》；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2.工商营业执照副本；（通过数据共享，免提交）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3.法人身份证；（通过数据共享，免提交）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4.从业人员健康合格证；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5.公共场所卫生管理制度；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6.公共场所地址方位示意图、平面图和卫生设施平面布局图；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7.设有集中式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中央空调通风系统的，提供集中空调通风系统卫生检测或评价报告。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4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2021-11-24T08:22:40Z</dcterms:created>
  <dc:creator>Lenovo</dc:creator>
  <cp:lastModifiedBy>刘兆瑞</cp:lastModifiedBy>
  <dcterms:modified xsi:type="dcterms:W3CDTF">2021-11-24T08:42:28Z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F4DEE59DF5FB4C68B3E0A586E6F24052</vt:lpwstr>
  </property>
</Properties>
</file>