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  <w:t>《</w:t>
      </w: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  <w:lang w:val="en-US" w:eastAsia="zh-CN"/>
        </w:rPr>
        <w:t>博山区</w:t>
      </w: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  <w:t>政务服务“双全双百”工程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_GB2312" w:hAnsi="仿宋_GB2312" w:eastAsia="方正小标宋简体" w:cs="方正小标宋简体"/>
          <w:b w:val="0"/>
          <w:bCs w:val="0"/>
          <w:sz w:val="44"/>
          <w:szCs w:val="44"/>
        </w:rPr>
        <w:t>实施方案》政策解读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32"/>
          <w:szCs w:val="32"/>
          <w:shd w:val="clear" w:fill="FFFFFF"/>
        </w:rPr>
        <w:t>近日，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博山区</w:t>
      </w:r>
      <w:r>
        <w:rPr>
          <w:rFonts w:ascii="仿宋_GB2312" w:hAnsi="仿宋_GB2312" w:eastAsia="仿宋_GB2312" w:cs="仿宋_GB2312"/>
          <w:sz w:val="32"/>
          <w:szCs w:val="32"/>
          <w:shd w:val="clear" w:fill="FFFFFF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办公室出台了《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博山区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政务服务“双全双百”工程实施方案》，为方便社会公众了解政策内容，现作如下解读：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ascii="仿宋_GB2312" w:hAnsi="仿宋_GB2312" w:eastAsia="黑体" w:cs="黑体"/>
          <w:spacing w:val="0"/>
          <w:sz w:val="32"/>
          <w:szCs w:val="32"/>
        </w:rPr>
        <w:t>一、</w:t>
      </w:r>
      <w:r>
        <w:rPr>
          <w:rFonts w:hint="eastAsia" w:ascii="仿宋_GB2312" w:hAnsi="仿宋_GB2312" w:eastAsia="黑体" w:cs="黑体"/>
          <w:spacing w:val="0"/>
          <w:sz w:val="32"/>
          <w:szCs w:val="32"/>
        </w:rPr>
        <w:t>《实施方案》出台背景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近年来，为持续优化营商环境，不断提升服务企业群众便利度，上海、江苏、浙江等地均立足服务企业和群众全生命周期，打造场景式“一件事”服务。</w:t>
      </w:r>
      <w:r>
        <w:rPr>
          <w:rFonts w:hint="default" w:ascii="仿宋_GB2312" w:hAnsi="仿宋_GB2312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年，山东两会政府工作报告中提到，今年将围绕企业和个人全生命周期开展“双全双百”工程，各推出</w:t>
      </w:r>
      <w:r>
        <w:rPr>
          <w:rFonts w:hint="default" w:ascii="仿宋_GB2312" w:hAnsi="仿宋_GB2312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件高频事项集成办、极简办、全域办。</w:t>
      </w:r>
      <w:r>
        <w:rPr>
          <w:rFonts w:hint="default" w:ascii="仿宋_GB2312" w:hAnsi="仿宋_GB2312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月，省政府将“双全双百”工程作为全省深化“放管服”改革优化营商环境的重点工作任务。省政府办公厅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和市政府办公室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近期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分别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制定出台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《山东省政务服务“双全双百”工程实施方案》（鲁政办发〔</w:t>
      </w:r>
      <w:r>
        <w:rPr>
          <w:rFonts w:hint="default" w:ascii="仿宋_GB2312" w:hAnsi="仿宋_GB2312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default" w:ascii="仿宋_GB2312" w:hAnsi="仿宋_GB2312" w:eastAsia="仿宋_GB2312" w:cs="Times New Roman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淄博市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政务服务“双全双百”工程实施方案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</w:t>
      </w:r>
      <w:r>
        <w:rPr>
          <w:rFonts w:hint="eastAsia" w:ascii="仿宋_GB2312" w:hAnsi="仿宋_GB2312" w:eastAsia="仿宋_GB2312" w:cs="仿宋_GB2312"/>
          <w:sz w:val="32"/>
          <w:szCs w:val="32"/>
        </w:rPr>
        <w:t>政办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字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hint="default" w:ascii="仿宋_GB2312" w:hAnsi="仿宋_GB2312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号），对“双全双百”工程作出详实安排部署。在此背景下，为贯彻落实省政府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和市政府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“双全双百”改革部署，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政府办公室印发了《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博山区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政务服务“双全双百”工程实施方案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》，深入推进“一窗受理·一次办好”改革，通过创新创景应用服务，实施流程再造，强化数据赋能，推动企业群众办事更便利、更高效。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黑体" w:cs="黑体"/>
          <w:sz w:val="32"/>
          <w:szCs w:val="32"/>
        </w:rPr>
        <w:t>二、《实施方案》主要内容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实施方案》包括指导思想、工作目标、任务措施、保障措施等共四个部分内容，并附有《企业全生命周期事项清单》《个人全生命周期事项清单》《企业全生命周期“一件事”事项清单》和《个人全生命周期“一件事”事项清单》</w:t>
      </w:r>
      <w:r>
        <w:rPr>
          <w:rFonts w:hint="default" w:ascii="仿宋_GB2312" w:hAnsi="仿宋_GB2312" w:eastAsia="仿宋_GB2312" w:cs="Times New Roman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个附件。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ascii="仿宋_GB2312" w:hAnsi="仿宋_GB2312" w:eastAsia="楷体_GB2312" w:cs="楷体_GB2312"/>
          <w:sz w:val="32"/>
          <w:szCs w:val="32"/>
        </w:rPr>
        <w:t>（一）</w:t>
      </w:r>
      <w:r>
        <w:rPr>
          <w:rFonts w:hint="eastAsia" w:ascii="仿宋_GB2312" w:hAnsi="仿宋_GB2312" w:eastAsia="楷体_GB2312" w:cs="楷体_GB2312"/>
          <w:sz w:val="32"/>
          <w:szCs w:val="32"/>
        </w:rPr>
        <w:t>指导思想。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明确了推行“双全双百”工程的指导思想。坚持以人民为中心的发展思想，聚焦企业和个人全生命周期高频事项、重点环节，以场景应用驱动服务创新，优化业务流程，统一办理标准，强化数据赋能，加快推动政务服务从政府部门供给导向向企业和群众需求导向转变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楷体_GB2312" w:cs="楷体_GB2312"/>
          <w:sz w:val="32"/>
          <w:szCs w:val="32"/>
        </w:rPr>
        <w:t>（二）工作目标。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主要明确了围绕企业开办、准营、运营、退出等阶段，个人出生、教育、工作、养老等阶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段，各推出</w:t>
      </w:r>
      <w:r>
        <w:rPr>
          <w:rFonts w:hint="default" w:ascii="仿宋_GB2312" w:hAnsi="仿宋_GB2312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项高频事项极简办、集成办、全域办。“极简办”，通过减环节、减材料、减时限，打造最优办事流程，发挥数据支撑作用，推进政务服务网上办、掌上办、自助办、智能办；“集成办”，梳理整合企业和个人高频办理事项，形成企业和个人全生命周期“一件事”清单，推动更多关联事项集成办理，满足企业和群众多种应用场景的办事需求；“全域办”，根据全省统一的事项办理规范，推动更多事项就近可办、全程网办、市域通办、全省通办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楷体_GB2312" w:cs="楷体_GB2312"/>
          <w:sz w:val="32"/>
          <w:szCs w:val="32"/>
        </w:rPr>
        <w:t>（三）任务措施。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一是大力优化事项审批流程。</w:t>
      </w:r>
      <w:r>
        <w:rPr>
          <w:rFonts w:hint="eastAsia" w:ascii="仿宋_GB2312" w:hAnsi="仿宋_GB2312" w:eastAsia="楷体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月底前，各级各部门围绕“双全双百”事项清单，结合我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实际，对本系统本领域有关事项实施减环节、减材料、减时限，依托山东省政务服务事项管理系统，对事项要素实施动态调整。二是规范编制事项办事指南和工作规程</w:t>
      </w:r>
      <w:r>
        <w:rPr>
          <w:rFonts w:hint="eastAsia" w:ascii="仿宋_GB2312" w:hAnsi="仿宋_GB2312" w:eastAsia="楷体_GB2312" w:cs="楷体_GB2312"/>
          <w:sz w:val="32"/>
          <w:szCs w:val="32"/>
        </w:rPr>
        <w:t>。</w:t>
      </w:r>
      <w:r>
        <w:rPr>
          <w:rFonts w:hint="default" w:ascii="仿宋_GB2312" w:hAnsi="仿宋_GB2312" w:eastAsia="仿宋_GB2312" w:cs="Times New Roman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月底前，按照全省统一要求，编制工作规范和“零基础”标准化办事指南，基本实现同一事项在全市无差别受理、同标准办理。三是拓展集成服务场景应用。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前，根据企业和个人全生命周期“一件事”事项清单，各链条牵头部门会同协同部门，围绕开展“事项联办”和“一链办理”主题式服务，制定最优服务流程，编制链条事项办事指南，推进事项集成办理。四是建设主题服务事项“链条式”办理平台。</w:t>
      </w:r>
      <w:r>
        <w:rPr>
          <w:rFonts w:hint="default" w:ascii="仿宋_GB2312" w:hAnsi="仿宋_GB2312" w:eastAsia="仿宋_GB2312" w:cs="Times New Roman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月底前，</w:t>
      </w:r>
      <w:r>
        <w:rPr>
          <w:rFonts w:hint="eastAsia" w:ascii="仿宋_GB2312" w:hAnsi="仿宋_GB2312" w:eastAsia="仿宋_GB2312"/>
          <w:color w:val="auto"/>
          <w:kern w:val="2"/>
          <w:sz w:val="32"/>
          <w:szCs w:val="32"/>
          <w:highlight w:val="none"/>
          <w:lang w:val="en-US" w:eastAsia="zh-CN"/>
        </w:rPr>
        <w:t>区大数据中心配合市大数据局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各链条牵头部门提出的开发需求，分期研发主题服务事项“链条式”办理功能，将企业、个人“全生命周期”场景中必办场景、个性化需求场景实现网上办理，同时推动自助端、手机端应用开发。五是强化数据共享应用支撑</w:t>
      </w:r>
      <w:r>
        <w:rPr>
          <w:rFonts w:hint="eastAsia" w:ascii="仿宋_GB2312" w:hAnsi="仿宋_GB2312" w:eastAsia="楷体_GB2312" w:cs="楷体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数据共享机制，加强电子证照、电子印章、电子签名、电子档案等基础应用，实现更多申报材料“免提交”。建立企业个人全生命周期数字档案,实行“一企一档”“一人一档”。六是线上线下一体化建设。</w:t>
      </w:r>
      <w:r>
        <w:rPr>
          <w:rFonts w:hint="default" w:ascii="仿宋_GB2312" w:hAnsi="仿宋_GB2312" w:eastAsia="仿宋_GB2312" w:cs="Times New Roman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月底前，线上实现“一网通办”，线下实行“一窗受理”。在各级政务服务中心、便民服务中心、公共服务机构等设置相关事项办事窗口，为企业和群众提供全方位服务。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楷体_GB2312" w:cs="楷体_GB2312"/>
          <w:sz w:val="32"/>
          <w:szCs w:val="32"/>
        </w:rPr>
        <w:t>（四）保障措施。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各部门完善健全“双全双百”工程推进机制，明确时间表、路线图，压实工作责任，定期对工作开展情况进行总结评估，及时调整充实“双全双百”事项清单。同时加大对“双全双百”工程的宣传力度，及时总结推广好经验好做法，提高社会公众对政务服务“双全双百”工程的知晓度、参与度，营造社会关注、市场认可、群众满意、各方支持的良好氛围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黑体" w:cs="黑体"/>
          <w:sz w:val="32"/>
          <w:szCs w:val="32"/>
        </w:rPr>
        <w:t>三、</w:t>
      </w:r>
      <w:r>
        <w:rPr>
          <w:rFonts w:hint="eastAsia" w:ascii="仿宋_GB2312" w:hAnsi="仿宋_GB2312" w:eastAsia="黑体" w:cs="黑体"/>
          <w:spacing w:val="0"/>
          <w:sz w:val="32"/>
          <w:szCs w:val="32"/>
        </w:rPr>
        <w:t>《实施方案》主要特点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outlineLvl w:val="9"/>
        <w:rPr>
          <w:rFonts w:ascii="仿宋_GB2312" w:hAnsi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实施“双全双百”工程，即面向企业和个人全生命周期，各推出</w:t>
      </w:r>
      <w:r>
        <w:rPr>
          <w:rFonts w:hint="default" w:ascii="仿宋_GB2312" w:hAnsi="仿宋_GB2312" w:eastAsia="仿宋_GB2312" w:cs="Times New Roman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项高频事项实现极简办、集成办、全域办，推进群众和企业全生命周期改革，是推动政务服务从“跑部门”向“跑政府”转变的有效举措。制定企业和个人全生命周期服务指南，有助于通过标准化手段，推进相关场景所需办理的“一件事”要素均等化、质量目标化、方法规范化，为企业群众提供精准的办事指引，不断满足群众和企业个性化、多元化的办事需求，进一步改进机关运行效能，带动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政务服务水平不断提升。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ascii="仿宋_GB2312" w:hAnsi="仿宋_GB231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8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4987290</wp:posOffset>
              </wp:positionH>
              <wp:positionV relativeFrom="paragraph">
                <wp:posOffset>-306070</wp:posOffset>
              </wp:positionV>
              <wp:extent cx="1828800" cy="5429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7pt;margin-top:-24.1pt;height:42.75pt;width:144pt;mso-position-horizontal-relative:margin;mso-wrap-style:none;z-index:251658240;mso-width-relative:page;mso-height-relative:page;" filled="f" stroked="f" coordsize="21600,21600" o:gfxdata="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CYs299oAAAAL&#10;AQAADwAAAAAAAAABACAAAAAiAAAAZHJzL2Rvd25yZXYueG1sUEsBAhQAFAAAAAgAh07iQBFdK7zF&#10;AgAA1QUAAA4AAAAAAAAAAQAgAAAAKQEAAGRycy9lMm9Eb2MueG1sUEsFBgAAAAAGAAYAWQEAAGAG&#10;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126FC"/>
    <w:rsid w:val="035126FC"/>
    <w:rsid w:val="531650EC"/>
    <w:rsid w:val="779A7882"/>
    <w:rsid w:val="7EED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2021-07-22T02:08:00Z</dcterms:created>
  <dc:creator>一只来自秋霉山的胡萝卜</dc:creator>
  <cp:lastModifiedBy>Lenovo</cp:lastModifiedBy>
  <dcterms:modified xsi:type="dcterms:W3CDTF">2021-07-23T04:21:04Z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32193DCF8C47474F8F985CCEC0F36241</vt:lpwstr>
  </property>
</Properties>
</file>