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DB64">
      <w:pPr>
        <w:rPr>
          <w:rFonts w:hint="eastAsia" w:ascii="华文中宋" w:hAnsi="华文中宋" w:eastAsia="华文中宋"/>
          <w:color w:val="FF0000"/>
          <w:spacing w:val="106"/>
          <w:sz w:val="66"/>
          <w:szCs w:val="66"/>
        </w:rPr>
      </w:pPr>
      <w:r>
        <w:rPr>
          <w:rFonts w:hint="eastAsia"/>
        </w:rPr>
        <w:pict>
          <v:shape id="_x0000_i1025" o:spt="136" type="#_x0000_t136" style="height:51pt;width:435.8pt;" fillcolor="#FF0000" filled="t" stroked="f" coordsize="21600,21600">
            <v:path/>
            <v:fill on="t" focussize="0,0"/>
            <v:stroke on="f"/>
            <v:imagedata o:title=""/>
            <o:lock v:ext="edit" aspectratio="f"/>
            <v:textpath on="t" fitshape="t" fitpath="t" trim="t" xscale="f" string="淄博市博山区卫生健康局" style="font-family:方正小标宋简体;font-size:36pt;font-weight:bold;v-text-align:center;"/>
            <w10:wrap type="none"/>
            <w10:anchorlock/>
          </v:shape>
        </w:pict>
      </w:r>
    </w:p>
    <w:p w14:paraId="4FAF9E14">
      <w:pPr>
        <w:keepNext w:val="0"/>
        <w:keepLines w:val="0"/>
        <w:pageBreakBefore w:val="0"/>
        <w:widowControl w:val="0"/>
        <w:kinsoku/>
        <w:overflowPunct/>
        <w:topLinePunct w:val="0"/>
        <w:autoSpaceDE w:val="0"/>
        <w:autoSpaceDN w:val="0"/>
        <w:bidi w:val="0"/>
        <w:spacing w:line="576" w:lineRule="exact"/>
        <w:ind w:left="0" w:leftChars="0"/>
        <w:jc w:val="center"/>
        <w:textAlignment w:val="auto"/>
        <w:rPr>
          <w:rFonts w:hint="eastAsia" w:ascii="宋体" w:hAnsi="宋体"/>
        </w:rPr>
      </w:pPr>
      <w:r>
        <w:rPr>
          <w:rFonts w:hint="eastAsia" w:ascii="华文中宋" w:hAnsi="华文中宋" w:eastAsia="华文中宋"/>
          <w:b/>
          <w:color w:val="FF0000"/>
          <w:spacing w:val="106"/>
          <w:sz w:val="66"/>
          <w:szCs w:val="66"/>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151765</wp:posOffset>
                </wp:positionV>
                <wp:extent cx="5514975" cy="9525"/>
                <wp:effectExtent l="0" t="28575" r="9525" b="38100"/>
                <wp:wrapNone/>
                <wp:docPr id="3" name="直接连接符 3"/>
                <wp:cNvGraphicFramePr/>
                <a:graphic xmlns:a="http://schemas.openxmlformats.org/drawingml/2006/main">
                  <a:graphicData uri="http://schemas.microsoft.com/office/word/2010/wordprocessingShape">
                    <wps:wsp>
                      <wps:cNvCnPr/>
                      <wps:spPr>
                        <a:xfrm>
                          <a:off x="0" y="0"/>
                          <a:ext cx="5514975" cy="952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pt;margin-top:11.95pt;height:0.75pt;width:434.25pt;z-index:251659264;mso-width-relative:page;mso-height-relative:page;" filled="f" stroked="t" coordsize="21600,21600" o:gfxdata="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aFzvNMAAAAHAQAADwAAAAAAAAABACAAAAAiAAAAZHJzL2Rvd25y&#10;ZXYueG1sUEsBAhQAFAAAAAgAh07iQMFcs4MDAgAA/AMAAA4AAAAAAAAAAQAgAAAAIgEAAGRycy9l&#10;Mm9Eb2MueG1sUEsFBgAAAAAGAAYAWQEAAJcFAAAAAA==&#10;">
                <v:fill on="f" focussize="0,0"/>
                <v:stroke weight="4.5pt" color="#FF0000" linestyle="thickThin" joinstyle="round"/>
                <v:imagedata o:title=""/>
                <o:lock v:ext="edit" aspectratio="f"/>
              </v:line>
            </w:pict>
          </mc:Fallback>
        </mc:AlternateContent>
      </w:r>
    </w:p>
    <w:p w14:paraId="781C6CEB">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r>
        <w:rPr>
          <w:rFonts w:hint="eastAsia" w:ascii="宋体" w:hAnsi="宋体"/>
        </w:rPr>
        <w:t>关于印发《</w:t>
      </w:r>
      <w:r>
        <w:rPr>
          <w:rFonts w:hint="eastAsia" w:ascii="Times New Roman" w:hAnsi="Times New Roman" w:cs="Times New Roman"/>
          <w:lang w:val="en-US" w:eastAsia="zh-CN"/>
        </w:rPr>
        <w:t>博山区</w:t>
      </w:r>
      <w:r>
        <w:rPr>
          <w:rFonts w:hint="default" w:ascii="Times New Roman" w:hAnsi="Times New Roman" w:cs="Times New Roman"/>
        </w:rPr>
        <w:t>卫生健康领域重点监管事项</w:t>
      </w:r>
    </w:p>
    <w:p w14:paraId="3C753AAE">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hAnsi="宋体"/>
        </w:rPr>
      </w:pPr>
      <w:r>
        <w:rPr>
          <w:rFonts w:hint="default" w:ascii="Times New Roman" w:hAnsi="Times New Roman" w:cs="Times New Roman"/>
        </w:rPr>
        <w:t>清单管理制度（2025版）</w:t>
      </w:r>
      <w:r>
        <w:rPr>
          <w:rFonts w:hint="eastAsia" w:ascii="宋体" w:hAnsi="宋体"/>
        </w:rPr>
        <w:t>》的通知</w:t>
      </w:r>
    </w:p>
    <w:p w14:paraId="338B88E1">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hAnsi="宋体"/>
        </w:rPr>
      </w:pPr>
    </w:p>
    <w:p w14:paraId="5CD8B279">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局属局管</w:t>
      </w:r>
      <w:r>
        <w:rPr>
          <w:rFonts w:hint="eastAsia"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医疗卫生</w:t>
      </w:r>
      <w:r>
        <w:rPr>
          <w:rFonts w:hint="eastAsia" w:cs="仿宋_GB2312"/>
          <w:kern w:val="2"/>
          <w:sz w:val="32"/>
          <w:szCs w:val="32"/>
          <w:lang w:val="en-US" w:eastAsia="zh-CN" w:bidi="ar-SA"/>
        </w:rPr>
        <w:t>单位</w:t>
      </w:r>
      <w:r>
        <w:rPr>
          <w:rFonts w:hint="eastAsia" w:ascii="仿宋_GB2312" w:hAnsi="仿宋_GB2312" w:eastAsia="仿宋_GB2312" w:cs="仿宋_GB2312"/>
          <w:szCs w:val="32"/>
        </w:rPr>
        <w:t>：</w:t>
      </w:r>
    </w:p>
    <w:p w14:paraId="5EAC8D79">
      <w:pPr>
        <w:keepNext w:val="0"/>
        <w:keepLines w:val="0"/>
        <w:pageBreakBefore w:val="0"/>
        <w:widowControl w:val="0"/>
        <w:kinsoku/>
        <w:wordWrap/>
        <w:overflowPunct/>
        <w:topLinePunct w:val="0"/>
        <w:autoSpaceDE/>
        <w:autoSpaceDN/>
        <w:bidi w:val="0"/>
        <w:adjustRightInd/>
        <w:snapToGrid/>
        <w:spacing w:line="576" w:lineRule="exact"/>
        <w:ind w:left="0"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w:t>
      </w:r>
      <w:r>
        <w:rPr>
          <w:rFonts w:hint="eastAsia" w:ascii="仿宋_GB2312" w:hAnsi="仿宋_GB2312" w:eastAsia="仿宋_GB2312" w:cs="仿宋_GB2312"/>
          <w:lang w:eastAsia="zh"/>
        </w:rPr>
        <w:t>进一步</w:t>
      </w:r>
      <w:r>
        <w:rPr>
          <w:rFonts w:hint="eastAsia" w:ascii="仿宋_GB2312" w:hAnsi="仿宋_GB2312" w:eastAsia="仿宋_GB2312" w:cs="仿宋_GB2312"/>
        </w:rPr>
        <w:t>加强和规范卫生健康领域事中事后监管，</w:t>
      </w:r>
      <w:r>
        <w:rPr>
          <w:rFonts w:hint="eastAsia" w:ascii="仿宋_GB2312" w:hAnsi="仿宋_GB2312" w:eastAsia="仿宋_GB2312" w:cs="仿宋_GB2312"/>
          <w:lang w:eastAsia="zh"/>
        </w:rPr>
        <w:t>持续</w:t>
      </w:r>
      <w:r>
        <w:rPr>
          <w:rFonts w:hint="eastAsia" w:ascii="仿宋_GB2312" w:hAnsi="仿宋_GB2312" w:eastAsia="仿宋_GB2312" w:cs="仿宋_GB2312"/>
        </w:rPr>
        <w:t>优化营商环境，提高与人民群众身体健康密切相关重点事项监管效能，</w:t>
      </w:r>
      <w:r>
        <w:rPr>
          <w:rFonts w:hint="eastAsia" w:ascii="仿宋_GB2312" w:hAnsi="仿宋_GB2312" w:eastAsia="仿宋_GB2312" w:cs="仿宋_GB2312"/>
          <w:lang w:val="en-US" w:eastAsia="zh-CN"/>
        </w:rPr>
        <w:t>按照</w:t>
      </w:r>
      <w:r>
        <w:rPr>
          <w:rFonts w:hint="eastAsia" w:ascii="仿宋_GB2312" w:hAnsi="仿宋_GB2312" w:eastAsia="仿宋_GB2312" w:cs="仿宋_GB2312"/>
        </w:rPr>
        <w:t>省卫生健康委、省疾控局</w:t>
      </w:r>
      <w:r>
        <w:rPr>
          <w:rFonts w:hint="eastAsia" w:ascii="仿宋_GB2312" w:hAnsi="仿宋_GB2312" w:eastAsia="仿宋_GB2312" w:cs="仿宋_GB2312"/>
          <w:lang w:val="en-US" w:eastAsia="zh-CN"/>
        </w:rPr>
        <w:t>及市卫生健康委有关通知，我局</w:t>
      </w:r>
      <w:r>
        <w:rPr>
          <w:rFonts w:hint="eastAsia" w:ascii="仿宋_GB2312" w:hAnsi="仿宋_GB2312" w:eastAsia="仿宋_GB2312" w:cs="仿宋_GB2312"/>
        </w:rPr>
        <w:t>制定了《</w:t>
      </w:r>
      <w:r>
        <w:rPr>
          <w:rFonts w:hint="eastAsia" w:ascii="仿宋_GB2312" w:hAnsi="仿宋_GB2312" w:eastAsia="仿宋_GB2312" w:cs="仿宋_GB2312"/>
          <w:lang w:val="en-US" w:eastAsia="zh-CN"/>
        </w:rPr>
        <w:t>博山区</w:t>
      </w:r>
      <w:r>
        <w:rPr>
          <w:rFonts w:hint="eastAsia" w:ascii="仿宋_GB2312" w:hAnsi="仿宋_GB2312" w:eastAsia="仿宋_GB2312" w:cs="仿宋_GB2312"/>
        </w:rPr>
        <w:t>卫生健康领域重点监管事项清单管理制度（2025版）》，现印发给你们，请结合工作实际，认真贯彻执行。</w:t>
      </w:r>
    </w:p>
    <w:p w14:paraId="2A526F1D">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rPr>
      </w:pPr>
      <w:bookmarkStart w:id="0" w:name="_GoBack"/>
      <w:bookmarkEnd w:id="0"/>
    </w:p>
    <w:p w14:paraId="63B2B935">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rPr>
      </w:pPr>
    </w:p>
    <w:p w14:paraId="5FBBBBD1">
      <w:pPr>
        <w:keepNext w:val="0"/>
        <w:keepLines w:val="0"/>
        <w:pageBreakBefore w:val="0"/>
        <w:widowControl w:val="0"/>
        <w:kinsoku/>
        <w:wordWrap/>
        <w:overflowPunct/>
        <w:topLinePunct w:val="0"/>
        <w:autoSpaceDE/>
        <w:autoSpaceDN/>
        <w:bidi w:val="0"/>
        <w:adjustRightInd/>
        <w:snapToGrid/>
        <w:spacing w:line="576" w:lineRule="exact"/>
        <w:ind w:left="0" w:firstLine="420"/>
        <w:jc w:val="center"/>
        <w:textAlignment w:val="auto"/>
        <w:rPr>
          <w:rFonts w:hint="eastAsia" w:ascii="仿宋_GB2312" w:hAnsi="仿宋_GB2312" w:eastAsia="仿宋_GB2312" w:cs="仿宋_GB2312"/>
          <w:lang w:val="en-US" w:eastAsia="zh-CN"/>
        </w:rPr>
      </w:pPr>
      <w:r>
        <w:rPr>
          <w:rFonts w:hint="eastAsia" w:cs="仿宋_GB2312"/>
          <w:lang w:val="en-US" w:eastAsia="zh-CN"/>
        </w:rPr>
        <w:t xml:space="preserve">                     </w:t>
      </w:r>
      <w:r>
        <w:rPr>
          <w:rFonts w:hint="eastAsia" w:ascii="仿宋_GB2312" w:hAnsi="仿宋_GB2312" w:eastAsia="仿宋_GB2312" w:cs="仿宋_GB2312"/>
          <w:lang w:val="en-US" w:eastAsia="zh-CN"/>
        </w:rPr>
        <w:t>博山区卫生健康局</w:t>
      </w:r>
    </w:p>
    <w:p w14:paraId="543F3BCE">
      <w:pPr>
        <w:keepNext w:val="0"/>
        <w:keepLines w:val="0"/>
        <w:pageBreakBefore w:val="0"/>
        <w:widowControl w:val="0"/>
        <w:kinsoku/>
        <w:wordWrap/>
        <w:overflowPunct/>
        <w:topLinePunct w:val="0"/>
        <w:autoSpaceDE/>
        <w:autoSpaceDN/>
        <w:bidi w:val="0"/>
        <w:adjustRightInd/>
        <w:snapToGrid/>
        <w:spacing w:line="576" w:lineRule="exact"/>
        <w:ind w:left="0" w:firstLine="420"/>
        <w:jc w:val="center"/>
        <w:textAlignment w:val="auto"/>
        <w:rPr>
          <w:rFonts w:hint="eastAsia" w:ascii="仿宋_GB2312" w:hAnsi="仿宋_GB2312" w:eastAsia="仿宋_GB2312" w:cs="仿宋_GB2312"/>
        </w:rPr>
      </w:pPr>
      <w:r>
        <w:rPr>
          <w:rFonts w:hint="eastAsia" w:cs="仿宋_GB2312"/>
          <w:lang w:val="en-US" w:eastAsia="zh-CN"/>
        </w:rPr>
        <w:t xml:space="preserve">                     </w:t>
      </w: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cs="仿宋_GB2312"/>
          <w:lang w:val="en-US" w:eastAsia="zh-CN"/>
        </w:rPr>
        <w:t>3</w:t>
      </w:r>
      <w:r>
        <w:rPr>
          <w:rFonts w:hint="eastAsia" w:ascii="仿宋_GB2312" w:hAnsi="仿宋_GB2312" w:eastAsia="仿宋_GB2312" w:cs="仿宋_GB2312"/>
        </w:rPr>
        <w:t>日</w:t>
      </w:r>
    </w:p>
    <w:p w14:paraId="4A8E473F">
      <w:pPr>
        <w:pStyle w:val="2"/>
        <w:ind w:firstLine="624" w:firstLineChars="200"/>
        <w:rPr>
          <w:rFonts w:hint="eastAsia" w:ascii="仿宋_GB2312" w:hAnsi="仿宋_GB2312" w:eastAsia="仿宋_GB2312" w:cs="仿宋_GB2312"/>
          <w:kern w:val="2"/>
          <w:sz w:val="32"/>
          <w:szCs w:val="20"/>
          <w:lang w:val="en-US" w:eastAsia="zh-CN" w:bidi="ar-SA"/>
        </w:rPr>
      </w:pPr>
      <w:r>
        <w:rPr>
          <w:rFonts w:hint="default" w:ascii="仿宋_GB2312" w:hAnsi="仿宋_GB2312" w:eastAsia="仿宋_GB2312" w:cs="仿宋_GB2312"/>
          <w:kern w:val="2"/>
          <w:sz w:val="32"/>
          <w:szCs w:val="20"/>
          <w:lang w:val="en-US" w:eastAsia="zh-CN" w:bidi="ar-SA"/>
        </w:rPr>
        <w:t>（信息公开形式：主动公开）</w:t>
      </w:r>
    </w:p>
    <w:p w14:paraId="2C99CF8D">
      <w:pPr>
        <w:rPr>
          <w:rFonts w:ascii="宋体" w:hAnsi="宋体"/>
        </w:rPr>
      </w:pPr>
    </w:p>
    <w:p w14:paraId="09C1C7BB">
      <w:pPr>
        <w:rPr>
          <w:rFonts w:ascii="宋体" w:hAnsi="宋体"/>
        </w:rPr>
      </w:pPr>
    </w:p>
    <w:p w14:paraId="0AC8613A">
      <w:pPr>
        <w:rPr>
          <w:rFonts w:ascii="宋体" w:hAnsi="宋体"/>
        </w:rPr>
      </w:pPr>
    </w:p>
    <w:p w14:paraId="3D57B162">
      <w:pPr>
        <w:rPr>
          <w:rFonts w:ascii="宋体" w:hAnsi="宋体"/>
        </w:rPr>
      </w:pPr>
    </w:p>
    <w:p w14:paraId="1082CE4F">
      <w:pPr>
        <w:rPr>
          <w:rFonts w:ascii="宋体" w:hAnsi="宋体"/>
        </w:rPr>
      </w:pPr>
    </w:p>
    <w:p w14:paraId="1DBC39E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lang w:val="en-US" w:eastAsia="zh-CN"/>
        </w:rPr>
      </w:pPr>
    </w:p>
    <w:p w14:paraId="3C957E8D">
      <w:pPr>
        <w:pStyle w:val="1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lang w:val="en-US" w:eastAsia="zh-CN"/>
        </w:rPr>
      </w:pPr>
      <w:r>
        <w:rPr>
          <w:rFonts w:hint="eastAsia" w:ascii="宋体" w:hAnsi="宋体"/>
          <w:lang w:val="en-US" w:eastAsia="zh-CN"/>
        </w:rPr>
        <w:t>博山区卫生健康领域</w:t>
      </w:r>
    </w:p>
    <w:p w14:paraId="6D3DAAC2">
      <w:pPr>
        <w:pStyle w:val="1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lang w:val="en-US" w:eastAsia="zh-CN"/>
        </w:rPr>
      </w:pPr>
      <w:r>
        <w:rPr>
          <w:rFonts w:hint="eastAsia" w:ascii="宋体" w:hAnsi="宋体"/>
          <w:lang w:val="en-US" w:eastAsia="zh-CN"/>
        </w:rPr>
        <w:t>重点监管事项清单管理制度</w:t>
      </w:r>
    </w:p>
    <w:p w14:paraId="0279C6CB">
      <w:pPr>
        <w:pStyle w:val="1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（2025版）</w:t>
      </w:r>
    </w:p>
    <w:p w14:paraId="7CD0681A">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ascii="宋体" w:hAnsi="宋体"/>
        </w:rPr>
      </w:pPr>
    </w:p>
    <w:p w14:paraId="71713F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rPr>
      </w:pPr>
      <w:r>
        <w:rPr>
          <w:sz w:val="32"/>
          <w:szCs w:val="32"/>
          <w:shd w:val="clear" w:fill="FFFFFF"/>
        </w:rPr>
        <w:t>为全面落实国务院、省</w:t>
      </w:r>
      <w:r>
        <w:rPr>
          <w:rFonts w:hint="eastAsia"/>
          <w:sz w:val="32"/>
          <w:szCs w:val="32"/>
          <w:shd w:val="clear" w:fill="FFFFFF"/>
          <w:lang w:eastAsia="zh-CN"/>
        </w:rPr>
        <w:t>、</w:t>
      </w:r>
      <w:r>
        <w:rPr>
          <w:rFonts w:hint="eastAsia"/>
          <w:sz w:val="32"/>
          <w:szCs w:val="32"/>
          <w:shd w:val="clear" w:fill="FFFFFF"/>
          <w:lang w:val="en-US" w:eastAsia="zh-CN"/>
        </w:rPr>
        <w:t>市</w:t>
      </w:r>
      <w:r>
        <w:rPr>
          <w:sz w:val="32"/>
          <w:szCs w:val="32"/>
          <w:shd w:val="clear" w:fill="FFFFFF"/>
        </w:rPr>
        <w:t>政府推进“放管服”改革加强事中事后监管工作要求，在卫生健康领域推行以“双随机、一公开”监管为基本手段、以重点监管为补充、以信用监管为基础的新型监管机制，对全部监管事项实行清单化管理，做到“清单之外无监管”</w:t>
      </w:r>
      <w:r>
        <w:rPr>
          <w:rFonts w:hint="eastAsia"/>
          <w:sz w:val="32"/>
          <w:szCs w:val="32"/>
          <w:shd w:val="clear" w:fill="FFFFFF"/>
          <w:lang w:eastAsia="zh-CN"/>
        </w:rPr>
        <w:t>，</w:t>
      </w:r>
      <w:r>
        <w:rPr>
          <w:rFonts w:hint="eastAsia"/>
          <w:sz w:val="32"/>
          <w:szCs w:val="32"/>
          <w:shd w:val="clear" w:fill="FFFFFF"/>
          <w:lang w:val="en-US" w:eastAsia="zh-CN"/>
        </w:rPr>
        <w:t>对照区</w:t>
      </w:r>
      <w:r>
        <w:rPr>
          <w:sz w:val="32"/>
          <w:szCs w:val="32"/>
          <w:shd w:val="clear" w:fill="FFFFFF"/>
        </w:rPr>
        <w:t>卫生健康</w:t>
      </w:r>
      <w:r>
        <w:rPr>
          <w:rFonts w:hint="eastAsia"/>
          <w:sz w:val="32"/>
          <w:szCs w:val="32"/>
          <w:shd w:val="clear" w:fill="FFFFFF"/>
          <w:lang w:val="en-US" w:eastAsia="zh-CN"/>
        </w:rPr>
        <w:t>局</w:t>
      </w:r>
      <w:r>
        <w:rPr>
          <w:sz w:val="32"/>
          <w:szCs w:val="32"/>
          <w:shd w:val="clear" w:fill="FFFFFF"/>
        </w:rPr>
        <w:t>“三定”规定，基于卫生健康领域监管事项风险程度，制定本制度。</w:t>
      </w:r>
    </w:p>
    <w:p w14:paraId="4CD0E7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一、依法编制重点监管事项清单</w:t>
      </w:r>
    </w:p>
    <w:p w14:paraId="0ADF71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rFonts w:hint="default" w:eastAsia="仿宋_GB2312"/>
          <w:sz w:val="32"/>
          <w:szCs w:val="32"/>
          <w:shd w:val="clear" w:fill="FFFFFF"/>
          <w:lang w:val="en-US" w:eastAsia="zh-CN"/>
        </w:rPr>
      </w:pPr>
      <w:r>
        <w:rPr>
          <w:rFonts w:hint="eastAsia" w:ascii="楷体" w:hAnsi="楷体" w:eastAsia="楷体" w:cs="楷体"/>
          <w:sz w:val="32"/>
          <w:szCs w:val="32"/>
          <w:shd w:val="clear" w:fill="FFFFFF"/>
        </w:rPr>
        <w:t>（一）明确编制责任。</w:t>
      </w:r>
      <w:r>
        <w:rPr>
          <w:sz w:val="32"/>
          <w:szCs w:val="32"/>
          <w:shd w:val="clear" w:fill="FFFFFF"/>
        </w:rPr>
        <w:t>在认领全</w:t>
      </w:r>
      <w:r>
        <w:rPr>
          <w:rFonts w:hint="eastAsia"/>
          <w:sz w:val="32"/>
          <w:szCs w:val="32"/>
          <w:shd w:val="clear" w:fill="FFFFFF"/>
          <w:lang w:val="en-US" w:eastAsia="zh-CN"/>
        </w:rPr>
        <w:t>市</w:t>
      </w:r>
      <w:r>
        <w:rPr>
          <w:sz w:val="32"/>
          <w:szCs w:val="32"/>
          <w:shd w:val="clear" w:fill="FFFFFF"/>
        </w:rPr>
        <w:t>卫生健康领域重点监管事项清单的基础上，</w:t>
      </w:r>
      <w:r>
        <w:rPr>
          <w:rFonts w:hint="eastAsia"/>
          <w:sz w:val="32"/>
          <w:szCs w:val="32"/>
          <w:shd w:val="clear" w:fill="FFFFFF"/>
          <w:lang w:val="en-US" w:eastAsia="zh-CN"/>
        </w:rPr>
        <w:t>依法</w:t>
      </w:r>
      <w:r>
        <w:rPr>
          <w:sz w:val="32"/>
          <w:szCs w:val="32"/>
          <w:shd w:val="clear" w:fill="FFFFFF"/>
        </w:rPr>
        <w:t>编制</w:t>
      </w:r>
      <w:r>
        <w:rPr>
          <w:rFonts w:hint="eastAsia"/>
          <w:sz w:val="32"/>
          <w:szCs w:val="32"/>
          <w:shd w:val="clear" w:fill="FFFFFF"/>
          <w:lang w:val="en-US" w:eastAsia="zh-CN"/>
        </w:rPr>
        <w:t>全区</w:t>
      </w:r>
      <w:r>
        <w:rPr>
          <w:sz w:val="32"/>
          <w:szCs w:val="32"/>
          <w:shd w:val="clear" w:fill="FFFFFF"/>
        </w:rPr>
        <w:t>卫生健康领域重点监管事项清单。</w:t>
      </w:r>
      <w:r>
        <w:rPr>
          <w:rFonts w:hint="eastAsia"/>
          <w:sz w:val="32"/>
          <w:szCs w:val="32"/>
          <w:shd w:val="clear" w:fill="FFFFFF"/>
          <w:lang w:val="en-US" w:eastAsia="zh-CN"/>
        </w:rPr>
        <w:t>重点监管事项清单可以根据监管工作需要，从本级权责清单中增加重点监管事项。</w:t>
      </w:r>
    </w:p>
    <w:p w14:paraId="7D604B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rPr>
      </w:pPr>
      <w:r>
        <w:rPr>
          <w:rFonts w:hint="eastAsia" w:ascii="楷体" w:hAnsi="楷体" w:eastAsia="楷体" w:cs="楷体"/>
          <w:sz w:val="32"/>
          <w:szCs w:val="32"/>
          <w:shd w:val="clear" w:fill="FFFFFF"/>
        </w:rPr>
        <w:t>（二）统一编制要求。</w:t>
      </w:r>
      <w:r>
        <w:rPr>
          <w:sz w:val="32"/>
          <w:szCs w:val="32"/>
          <w:shd w:val="clear" w:fill="FFFFFF"/>
        </w:rPr>
        <w:t>逐项明确检查事项、检查内容、检查对象、事项类别、检查方式、实施层级、检查依据等基本要素，确保监管要素统一规范。</w:t>
      </w:r>
    </w:p>
    <w:p w14:paraId="56D4F10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shd w:val="clear" w:fill="FFFFFF"/>
        </w:rPr>
      </w:pPr>
      <w:r>
        <w:rPr>
          <w:rFonts w:hint="eastAsia" w:ascii="楷体" w:hAnsi="楷体" w:eastAsia="楷体" w:cs="楷体"/>
          <w:sz w:val="32"/>
          <w:szCs w:val="32"/>
          <w:shd w:val="clear" w:fill="FFFFFF"/>
        </w:rPr>
        <w:t>（三）动态调整清单。</w:t>
      </w:r>
      <w:r>
        <w:rPr>
          <w:sz w:val="32"/>
          <w:szCs w:val="32"/>
          <w:shd w:val="clear" w:fill="FFFFFF"/>
        </w:rPr>
        <w:t>紧跟法律、法规、规章“立改废”进展、卫生健康事业发展需要、医疗卫生服务需求以及卫生健康行政部门职责调整，在修改完善权责清单的同时，动态调整重点监管事项清单。</w:t>
      </w:r>
    </w:p>
    <w:p w14:paraId="7FC77B8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rPr>
      </w:pPr>
      <w:r>
        <w:rPr>
          <w:rFonts w:hint="eastAsia" w:ascii="楷体" w:hAnsi="楷体" w:eastAsia="楷体" w:cs="楷体"/>
          <w:sz w:val="32"/>
          <w:szCs w:val="32"/>
          <w:shd w:val="clear" w:fill="FFFFFF"/>
        </w:rPr>
        <w:t>（四）做好清单衔接。</w:t>
      </w:r>
      <w:r>
        <w:rPr>
          <w:sz w:val="32"/>
          <w:szCs w:val="32"/>
          <w:shd w:val="clear" w:fill="FFFFFF"/>
        </w:rPr>
        <w:t>与政务服务事项基本目录、“互联网＋监管”事项清单中涉及的行政检查、行政处罚、行政强制等事项清单保持一致，并做好调整衔接。政务服务事项基本目录、“互联网＋监管”事项清单调整的，重点监管事项清单要适时作出相应调整。</w:t>
      </w:r>
    </w:p>
    <w:p w14:paraId="4A77CC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rPr>
      </w:pPr>
      <w:r>
        <w:rPr>
          <w:rFonts w:hint="eastAsia" w:ascii="黑体" w:hAnsi="黑体" w:eastAsia="黑体" w:cs="黑体"/>
          <w:sz w:val="32"/>
          <w:szCs w:val="32"/>
          <w:shd w:val="clear" w:fill="FFFFFF"/>
          <w:lang w:val="en-US" w:eastAsia="zh-CN"/>
        </w:rPr>
        <w:t>二、</w:t>
      </w:r>
      <w:r>
        <w:rPr>
          <w:rFonts w:hint="eastAsia" w:ascii="黑体" w:hAnsi="黑体" w:eastAsia="黑体" w:cs="黑体"/>
          <w:sz w:val="32"/>
          <w:szCs w:val="32"/>
          <w:shd w:val="clear" w:fill="FFFFFF"/>
        </w:rPr>
        <w:t>依照清单实施重点监管</w:t>
      </w:r>
    </w:p>
    <w:p w14:paraId="29E164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rPr>
      </w:pPr>
      <w:r>
        <w:rPr>
          <w:rFonts w:hint="eastAsia" w:ascii="楷体" w:hAnsi="楷体" w:eastAsia="楷体" w:cs="楷体"/>
          <w:sz w:val="32"/>
          <w:szCs w:val="32"/>
          <w:shd w:val="clear" w:fill="FFFFFF"/>
        </w:rPr>
        <w:t>（一）明确重点监管事项范围。</w:t>
      </w:r>
      <w:r>
        <w:rPr>
          <w:sz w:val="32"/>
          <w:szCs w:val="32"/>
          <w:shd w:val="clear" w:fill="FFFFFF"/>
        </w:rPr>
        <w:t>卫生健康领域重点监管事项包括公共卫生、医疗卫生、职业卫生领域的学校、消毒产品生产企业、餐饮具集中消毒服务单位、采供血机构、放射诊疗机构、一级以上医疗机构、</w:t>
      </w:r>
      <w:r>
        <w:rPr>
          <w:color w:val="auto"/>
          <w:sz w:val="32"/>
          <w:szCs w:val="32"/>
          <w:shd w:val="clear" w:fill="FFFFFF"/>
        </w:rPr>
        <w:t>日供水千吨以上集中式供水单位、</w:t>
      </w:r>
      <w:r>
        <w:rPr>
          <w:sz w:val="32"/>
          <w:szCs w:val="32"/>
          <w:shd w:val="clear" w:fill="FFFFFF"/>
        </w:rPr>
        <w:t>职业卫生技术服务机构、放射卫生技术服务机构、职业健康检查机构、职业病诊断机构等与人民群众生命健康密切相关的从业单位。</w:t>
      </w:r>
    </w:p>
    <w:p w14:paraId="2F921C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left"/>
        <w:textAlignment w:val="auto"/>
        <w:outlineLvl w:val="9"/>
        <w:rPr>
          <w:sz w:val="32"/>
          <w:szCs w:val="32"/>
          <w:shd w:val="clear" w:fill="FFFFFF"/>
        </w:rPr>
      </w:pPr>
      <w:r>
        <w:rPr>
          <w:rFonts w:hint="eastAsia" w:ascii="楷体" w:hAnsi="楷体" w:eastAsia="楷体" w:cs="楷体"/>
          <w:sz w:val="32"/>
          <w:szCs w:val="32"/>
          <w:shd w:val="clear" w:fill="FFFFFF"/>
        </w:rPr>
        <w:t>（二）依照清单实施差异化监管。</w:t>
      </w:r>
      <w:r>
        <w:rPr>
          <w:rFonts w:hint="default"/>
          <w:sz w:val="32"/>
          <w:szCs w:val="32"/>
          <w:shd w:val="clear" w:fill="FFFFFF"/>
        </w:rPr>
        <w:t>依据法律、法规、规章、规范，落实属地监管责任。对本行政区域内纳入重点监管的从业单位，保持年度全覆盖、全要素检查，对其他监管事项采取“双随机、一公开”方式进行抽查。推行非现场执法和基于不同风险等级的差异化监管，科学划分从业单位风险等级，提高监管工作的精准性和有效性。</w:t>
      </w:r>
    </w:p>
    <w:p w14:paraId="6E2B59A3">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cs="Times New Roman"/>
        </w:rPr>
      </w:pPr>
      <w:r>
        <w:rPr>
          <w:rFonts w:hint="eastAsia" w:ascii="楷体" w:hAnsi="楷体" w:eastAsia="楷体" w:cs="楷体"/>
          <w:sz w:val="32"/>
          <w:szCs w:val="32"/>
          <w:shd w:val="clear" w:fill="FFFFFF"/>
        </w:rPr>
        <w:t>（三）严格规范现场检查程序。</w:t>
      </w:r>
      <w:r>
        <w:rPr>
          <w:rFonts w:hint="default" w:ascii="Times New Roman" w:hAnsi="Times New Roman" w:cs="Times New Roman"/>
        </w:rPr>
        <w:t>严格执行行政执法公示、执法全过程记录、重大执法决定法制审核“三项制度”，按照工作规范开展检查。检查前要充分了解被监管单位卫生许可、行政处罚等情况，掌握检查的具体内容。推行非现场检查和跨部门综合检查，涉企检查要依托“山东省涉企行政检查平台”开展，做到“事前备案、计划匹配、扫码入企、全程留痕、事后评价”，规范涉企执法行为。</w:t>
      </w:r>
    </w:p>
    <w:p w14:paraId="63166073">
      <w:pPr>
        <w:pStyle w:val="4"/>
        <w:keepNext w:val="0"/>
        <w:keepLines w:val="0"/>
        <w:pageBreakBefore w:val="0"/>
        <w:widowControl w:val="0"/>
        <w:kinsoku/>
        <w:wordWrap/>
        <w:overflowPunct/>
        <w:topLinePunct w:val="0"/>
        <w:autoSpaceDE/>
        <w:autoSpaceDN/>
        <w:bidi w:val="0"/>
        <w:adjustRightInd/>
        <w:snapToGrid/>
        <w:spacing w:line="576" w:lineRule="exact"/>
        <w:ind w:firstLine="624"/>
        <w:textAlignment w:val="auto"/>
        <w:rPr>
          <w:rFonts w:hint="eastAsia" w:ascii="仿宋_GB2312" w:hAnsi="仿宋_GB2312" w:eastAsia="仿宋_GB2312" w:cs="仿宋_GB2312"/>
        </w:rPr>
      </w:pP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四</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rPr>
        <w:t>强化检查结果公开应用</w:t>
      </w:r>
      <w:r>
        <w:rPr>
          <w:rFonts w:hint="eastAsia" w:ascii="楷体_GB2312" w:hAnsi="楷体_GB2312" w:eastAsia="楷体_GB2312" w:cs="楷体_GB2312"/>
          <w:lang w:eastAsia="zh-CN"/>
        </w:rPr>
        <w:t>。</w:t>
      </w:r>
      <w:r>
        <w:rPr>
          <w:rFonts w:hint="eastAsia" w:ascii="仿宋_GB2312" w:hAnsi="仿宋_GB2312" w:eastAsia="仿宋_GB2312" w:cs="仿宋_GB2312"/>
        </w:rPr>
        <w:t>行政检查结果实行分类处置，对检查未发现问题、发现问题已责令改正和无法联系3类检查信息，在检查结束后20个工作日内依法公开，行政处罚信息在作出行政处罚决定之日起7个工作日内公开。行政检查结果作为行业管理的重要参考，</w:t>
      </w:r>
      <w:r>
        <w:rPr>
          <w:rFonts w:hint="eastAsia" w:ascii="仿宋_GB2312" w:hAnsi="仿宋_GB2312" w:eastAsia="仿宋_GB2312" w:cs="仿宋_GB2312"/>
          <w:lang w:eastAsia="zh-CN"/>
        </w:rPr>
        <w:t>一</w:t>
      </w:r>
      <w:r>
        <w:rPr>
          <w:rFonts w:hint="eastAsia" w:ascii="仿宋_GB2312" w:hAnsi="仿宋_GB2312" w:eastAsia="仿宋_GB2312" w:cs="仿宋_GB2312"/>
        </w:rPr>
        <w:t>并与行政许可、资质校验、信用评级、评先树优挂钩使用。</w:t>
      </w:r>
    </w:p>
    <w:p w14:paraId="77B735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left"/>
        <w:textAlignment w:val="auto"/>
        <w:outlineLvl w:val="9"/>
        <w:rPr>
          <w:sz w:val="32"/>
          <w:szCs w:val="32"/>
          <w:shd w:val="clear" w:fill="FFFFFF"/>
        </w:rPr>
      </w:pPr>
    </w:p>
    <w:p w14:paraId="0ABA7CFA">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ascii="宋体" w:hAnsi="宋体"/>
        </w:rPr>
      </w:pPr>
      <w:r>
        <w:rPr>
          <w:rFonts w:hint="eastAsia" w:ascii="宋体" w:hAnsi="宋体"/>
        </w:rPr>
        <w:t>附件：</w:t>
      </w:r>
      <w:r>
        <w:rPr>
          <w:rFonts w:hint="eastAsia" w:ascii="宋体" w:hAnsi="宋体"/>
          <w:lang w:val="en-US" w:eastAsia="zh-CN"/>
        </w:rPr>
        <w:t>博山区卫生健康领域重点监管事项清单（2025版）</w:t>
      </w:r>
    </w:p>
    <w:p w14:paraId="5FD98F1B">
      <w:pPr>
        <w:keepNext w:val="0"/>
        <w:keepLines w:val="0"/>
        <w:pageBreakBefore w:val="0"/>
        <w:kinsoku/>
        <w:wordWrap/>
        <w:overflowPunct/>
        <w:topLinePunct w:val="0"/>
        <w:autoSpaceDE/>
        <w:autoSpaceDN/>
        <w:bidi w:val="0"/>
        <w:adjustRightInd/>
        <w:snapToGrid/>
        <w:spacing w:line="576" w:lineRule="exact"/>
        <w:ind w:firstLine="624" w:firstLineChars="200"/>
        <w:textAlignment w:val="auto"/>
        <w:rPr>
          <w:rFonts w:ascii="宋体" w:hAnsi="宋体"/>
        </w:rPr>
      </w:pPr>
    </w:p>
    <w:p w14:paraId="3B4A1887">
      <w:pPr>
        <w:keepNext w:val="0"/>
        <w:keepLines w:val="0"/>
        <w:pageBreakBefore w:val="0"/>
        <w:kinsoku/>
        <w:wordWrap/>
        <w:overflowPunct/>
        <w:topLinePunct w:val="0"/>
        <w:autoSpaceDE/>
        <w:autoSpaceDN/>
        <w:bidi w:val="0"/>
        <w:adjustRightInd/>
        <w:snapToGrid/>
        <w:spacing w:line="576" w:lineRule="exact"/>
        <w:ind w:firstLine="3464" w:firstLineChars="1110"/>
        <w:jc w:val="center"/>
        <w:textAlignment w:val="auto"/>
        <w:rPr>
          <w:rFonts w:ascii="宋体" w:hAnsi="宋体"/>
        </w:rPr>
      </w:pPr>
    </w:p>
    <w:p w14:paraId="4C24884E">
      <w:pPr>
        <w:ind w:firstLine="3464" w:firstLineChars="1110"/>
        <w:jc w:val="center"/>
        <w:rPr>
          <w:rFonts w:ascii="宋体" w:hAnsi="宋体"/>
        </w:rPr>
      </w:pPr>
    </w:p>
    <w:p w14:paraId="6C2FF56A">
      <w:pPr>
        <w:rPr>
          <w:rFonts w:ascii="宋体" w:hAnsi="宋体"/>
        </w:rPr>
        <w:sectPr>
          <w:footerReference r:id="rId3" w:type="default"/>
          <w:footerReference r:id="rId4" w:type="even"/>
          <w:pgSz w:w="11906" w:h="16838"/>
          <w:pgMar w:top="1440" w:right="1588" w:bottom="1588" w:left="1588" w:header="720" w:footer="1021" w:gutter="0"/>
          <w:cols w:space="0" w:num="1"/>
          <w:docGrid w:type="linesAndChars" w:linePitch="627" w:charSpace="-1683"/>
        </w:sectPr>
      </w:pPr>
    </w:p>
    <w:p w14:paraId="17E5CE1B">
      <w:pPr>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 xml:space="preserve"> </w:t>
      </w:r>
    </w:p>
    <w:p w14:paraId="39F976C0">
      <w:pPr>
        <w:pStyle w:val="3"/>
        <w:rPr>
          <w:rFonts w:hint="default" w:ascii="Times New Roman" w:hAnsi="Times New Roman" w:eastAsia="方正小标宋简体" w:cs="Times New Roman"/>
          <w:bCs/>
          <w:szCs w:val="44"/>
        </w:rPr>
      </w:pPr>
      <w:r>
        <w:rPr>
          <w:rFonts w:hint="eastAsia" w:ascii="Times New Roman" w:hAnsi="Times New Roman" w:eastAsia="方正小标宋简体" w:cs="Times New Roman"/>
          <w:bCs/>
          <w:szCs w:val="44"/>
          <w:lang w:val="en-US" w:eastAsia="zh-CN"/>
        </w:rPr>
        <w:t>博山区</w:t>
      </w:r>
      <w:r>
        <w:rPr>
          <w:rFonts w:hint="default" w:ascii="Times New Roman" w:hAnsi="Times New Roman" w:eastAsia="方正小标宋简体" w:cs="Times New Roman"/>
          <w:bCs/>
          <w:szCs w:val="44"/>
        </w:rPr>
        <w:t>卫生健康领域重点监管事项清单</w:t>
      </w:r>
      <w:r>
        <w:rPr>
          <w:rFonts w:hint="default" w:ascii="Times New Roman" w:hAnsi="Times New Roman" w:cs="Times New Roman"/>
        </w:rPr>
        <w:t>（2025版）</w:t>
      </w:r>
    </w:p>
    <w:tbl>
      <w:tblPr>
        <w:tblStyle w:val="9"/>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2490"/>
        <w:gridCol w:w="1723"/>
        <w:gridCol w:w="8457"/>
      </w:tblGrid>
      <w:tr w14:paraId="64CC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806" w:type="dxa"/>
            <w:vAlign w:val="center"/>
          </w:tcPr>
          <w:p w14:paraId="4C615DD0">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序号</w:t>
            </w:r>
          </w:p>
        </w:tc>
        <w:tc>
          <w:tcPr>
            <w:tcW w:w="1275" w:type="dxa"/>
            <w:vAlign w:val="center"/>
          </w:tcPr>
          <w:p w14:paraId="3F77F479">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检查事项</w:t>
            </w:r>
          </w:p>
        </w:tc>
        <w:tc>
          <w:tcPr>
            <w:tcW w:w="2490" w:type="dxa"/>
            <w:vAlign w:val="center"/>
          </w:tcPr>
          <w:p w14:paraId="3606F68D">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检查内容</w:t>
            </w:r>
          </w:p>
        </w:tc>
        <w:tc>
          <w:tcPr>
            <w:tcW w:w="1723" w:type="dxa"/>
            <w:vAlign w:val="center"/>
          </w:tcPr>
          <w:p w14:paraId="2DE6D8C1">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检查对象</w:t>
            </w:r>
          </w:p>
        </w:tc>
        <w:tc>
          <w:tcPr>
            <w:tcW w:w="8457" w:type="dxa"/>
            <w:vAlign w:val="center"/>
          </w:tcPr>
          <w:p w14:paraId="76A97BA6">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监管依据</w:t>
            </w:r>
          </w:p>
        </w:tc>
      </w:tr>
      <w:tr w14:paraId="05EC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trPr>
        <w:tc>
          <w:tcPr>
            <w:tcW w:w="806" w:type="dxa"/>
            <w:vAlign w:val="center"/>
          </w:tcPr>
          <w:p w14:paraId="15C003BE">
            <w:pPr>
              <w:snapToGrid w:val="0"/>
              <w:jc w:val="center"/>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1</w:t>
            </w:r>
          </w:p>
        </w:tc>
        <w:tc>
          <w:tcPr>
            <w:tcW w:w="1275" w:type="dxa"/>
            <w:shd w:val="clear" w:color="auto" w:fill="auto"/>
            <w:vAlign w:val="center"/>
          </w:tcPr>
          <w:p w14:paraId="35672D4A">
            <w:pPr>
              <w:widowControl/>
              <w:snapToGrid w:val="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对医疗机构的检查</w:t>
            </w:r>
          </w:p>
        </w:tc>
        <w:tc>
          <w:tcPr>
            <w:tcW w:w="2490" w:type="dxa"/>
            <w:shd w:val="clear" w:color="auto" w:fill="auto"/>
            <w:vAlign w:val="center"/>
          </w:tcPr>
          <w:p w14:paraId="4592E743">
            <w:pPr>
              <w:widowControl/>
              <w:snapToGrid w:val="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医疗机构资质管理，卫生技术人员管理，药品和医疗器械管理，医疗技术、母婴保健技术、人类辅助生殖技术和人类精子库管理，医疗文书管理等。</w:t>
            </w:r>
          </w:p>
        </w:tc>
        <w:tc>
          <w:tcPr>
            <w:tcW w:w="1723" w:type="dxa"/>
            <w:shd w:val="clear" w:color="auto" w:fill="auto"/>
            <w:vAlign w:val="center"/>
          </w:tcPr>
          <w:p w14:paraId="7556365A">
            <w:pPr>
              <w:widowControl/>
              <w:snapToGrid w:val="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二级以上医疗机构</w:t>
            </w:r>
          </w:p>
        </w:tc>
        <w:tc>
          <w:tcPr>
            <w:tcW w:w="8457" w:type="dxa"/>
            <w:shd w:val="clear" w:color="auto" w:fill="auto"/>
            <w:vAlign w:val="center"/>
          </w:tcPr>
          <w:p w14:paraId="71E1C2FE">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《中华人民共和国基本医疗卫生与健康促进法》第七条　县级以上地方人民政府卫生健康主管部门负责统筹协调本行政区域医疗卫生与健康促进工作。县级以上地方人民政府其他有关部门在各自职责范围内负责有关的医疗卫生与健康促进工作。</w:t>
            </w:r>
          </w:p>
          <w:p w14:paraId="3F436335">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《中华人民共和国中医药法》第五条 县级以上地方人民政府中医药主管部门负责本行政区域的中医药管理工作。</w:t>
            </w:r>
          </w:p>
          <w:p w14:paraId="51F86FFB">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《中华人民共和国医师法》第四条　县级以上地方人民政府卫生健康主管部门负责本行政区域内的医师管理工作。县级以上地方人民政府教育、人力资源社会保障、中医药等有关部门在各自职责范围内负责有关的医师管理工作。</w:t>
            </w:r>
          </w:p>
          <w:p w14:paraId="7BF10C8C">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《中华人民共和国精神卫生法》第八条  县级以上地方人民政府卫生行政部门主管本行政区域的精神卫生工作。</w:t>
            </w:r>
          </w:p>
          <w:p w14:paraId="2D6FCABE">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《护士条例》第五条  县级以上地方人民政府卫生主管部门负责本行政区域的护士监督管理工作。</w:t>
            </w:r>
          </w:p>
          <w:p w14:paraId="1A6D4C2A">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《医疗机构管理条例》第五条　县级以上地方人民政府卫生行政部门负责本行政区域内医疗机构的监督管理工作。</w:t>
            </w:r>
          </w:p>
          <w:p w14:paraId="53EF5467">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《医疗纠纷预防和处理条例》第六条　卫生主管部门负责指导、监督医疗机构做好医疗纠纷的预防和处理工作，引导医患双方依法解决医疗纠纷。</w:t>
            </w:r>
          </w:p>
          <w:p w14:paraId="0976A1FE">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《麻醉药品和精神药品管理条例》第六十二条　县级以上人民政府卫生主管部门应当对执业医师开具麻醉药品和精神药品处方的情况进行监督检查。</w:t>
            </w:r>
          </w:p>
          <w:p w14:paraId="035C814E">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《医疗器械监督管理条例》第五十四条　负责药品监督管理的部门和卫生主管部门依据各自职责，分别对使用环节的医疗器械质量和医疗器械使用行为进行监督管理。</w:t>
            </w:r>
          </w:p>
          <w:p w14:paraId="6A748111">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《人体器官移植条例》第四条　县级以上地方人民政府卫生主管部门负责本行政区域人体器官移植的监督管理工作。</w:t>
            </w:r>
          </w:p>
          <w:p w14:paraId="15630267">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《医疗机构临床用血管理办法》第二条  县级以上地方人民政府卫生行政部门负责本行政区域医疗机构临床用血的监督管理。</w:t>
            </w:r>
          </w:p>
          <w:p w14:paraId="183C17F1">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《抗菌药物临床应用管理办法》第三条  县级以上地方卫生行政部门负责本行政区域内医疗机构抗菌药物临床应用的监督管理。</w:t>
            </w:r>
          </w:p>
          <w:p w14:paraId="743842A6">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《处方管理办法》第三条  县级以上地方卫生行政部门负责本行政区域内处方开具、调剂、保管相关工作的监督管理。</w:t>
            </w:r>
          </w:p>
          <w:p w14:paraId="518D7CC9">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《医疗质量管理办法》第三条　县级以上地方卫生计生行政部门负责本行政区域内医疗机构医疗质量管理工作。</w:t>
            </w:r>
          </w:p>
          <w:p w14:paraId="4157F8D5">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《医疗技术临床应用管理办法》第七条  县级以上地方卫生行政部门负责本行政区域内医疗技术临床应用监督管理工作。</w:t>
            </w:r>
          </w:p>
          <w:p w14:paraId="18F92910">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《医疗美容服务管理办法》第四条　县级以上地方人民政府卫生行政部门(含中医药行政管理部门，下同)负责本行政区域内医疗美容服务监督管理工作。</w:t>
            </w:r>
          </w:p>
          <w:p w14:paraId="060D4C27">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《中华人民共和国母婴保健法实施办法》第三十四条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14:paraId="2231B31F">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《人类辅助生殖技术管理办法》第四条  县级以上地方人民政府卫生行政部门负责本行政区域内人类辅助生殖技术的日常监督管理。</w:t>
            </w:r>
          </w:p>
          <w:p w14:paraId="68A397DA">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《人类精子库管理办法》第四条  县级以上地方人民政府卫生行政部门负责本行政区域内人类精子库的日常监督管理。</w:t>
            </w:r>
          </w:p>
          <w:p w14:paraId="709E7D80">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《中外合资、合作医疗机构管理暂行办法》第五条  县级以上地方人民政府卫生行政部门(含中医/药主管部门)和外经贸行政部门在各自职责范围内负责本行政区域内中外合资、合作医疗机构的日常监督管理工作。</w:t>
            </w:r>
          </w:p>
          <w:p w14:paraId="3E7235D9">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《涉及人的生物医学研究伦理审查办法》第五条  县级以上地方卫生计生行政部门负责本行政区域涉及人的生物医学研究伦理审查工作的监督管理。</w:t>
            </w:r>
          </w:p>
        </w:tc>
      </w:tr>
      <w:tr w14:paraId="2452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06" w:type="dxa"/>
            <w:vMerge w:val="restart"/>
            <w:vAlign w:val="center"/>
          </w:tcPr>
          <w:p w14:paraId="1D02D263">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2</w:t>
            </w:r>
          </w:p>
        </w:tc>
        <w:tc>
          <w:tcPr>
            <w:tcW w:w="1275" w:type="dxa"/>
            <w:vMerge w:val="restart"/>
            <w:shd w:val="clear" w:color="auto" w:fill="auto"/>
            <w:vAlign w:val="center"/>
          </w:tcPr>
          <w:p w14:paraId="7B2F218C">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对采供血机构的检查</w:t>
            </w:r>
          </w:p>
        </w:tc>
        <w:tc>
          <w:tcPr>
            <w:tcW w:w="2490" w:type="dxa"/>
            <w:shd w:val="clear" w:color="auto" w:fill="auto"/>
            <w:vAlign w:val="center"/>
          </w:tcPr>
          <w:p w14:paraId="18CA25E1">
            <w:pPr>
              <w:spacing w:line="240" w:lineRule="exact"/>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血站和人员资质、献血者管理、血液</w:t>
            </w:r>
            <w:r>
              <w:rPr>
                <w:rFonts w:hint="default" w:ascii="Times New Roman" w:hAnsi="Times New Roman" w:cs="Times New Roman"/>
                <w:bCs/>
                <w:color w:val="000000"/>
                <w:kern w:val="0"/>
                <w:sz w:val="21"/>
                <w:szCs w:val="21"/>
                <w:lang w:eastAsia="zh"/>
              </w:rPr>
              <w:t>采集及</w:t>
            </w:r>
            <w:r>
              <w:rPr>
                <w:rFonts w:hint="default" w:ascii="Times New Roman" w:hAnsi="Times New Roman" w:cs="Times New Roman"/>
                <w:bCs/>
                <w:color w:val="000000"/>
                <w:kern w:val="0"/>
                <w:sz w:val="21"/>
                <w:szCs w:val="21"/>
              </w:rPr>
              <w:t>包装、检测</w:t>
            </w:r>
            <w:r>
              <w:rPr>
                <w:rFonts w:hint="default" w:ascii="Times New Roman" w:hAnsi="Times New Roman" w:cs="Times New Roman"/>
                <w:bCs/>
                <w:color w:val="000000"/>
                <w:kern w:val="0"/>
                <w:sz w:val="21"/>
                <w:szCs w:val="21"/>
                <w:lang w:eastAsia="zh"/>
              </w:rPr>
              <w:t>、制备及</w:t>
            </w:r>
            <w:r>
              <w:rPr>
                <w:rFonts w:hint="default" w:ascii="Times New Roman" w:hAnsi="Times New Roman" w:cs="Times New Roman"/>
                <w:bCs/>
                <w:color w:val="000000"/>
                <w:kern w:val="0"/>
                <w:sz w:val="21"/>
                <w:szCs w:val="21"/>
              </w:rPr>
              <w:t>储存、供应和运输等；</w:t>
            </w:r>
            <w:r>
              <w:rPr>
                <w:rFonts w:hint="default" w:ascii="Times New Roman" w:hAnsi="Times New Roman" w:cs="Times New Roman"/>
                <w:bCs/>
                <w:color w:val="000000"/>
                <w:sz w:val="21"/>
                <w:szCs w:val="21"/>
              </w:rPr>
              <w:t>脐带血造血干细胞库</w:t>
            </w:r>
            <w:r>
              <w:rPr>
                <w:rFonts w:hint="default" w:ascii="Times New Roman" w:hAnsi="Times New Roman" w:cs="Times New Roman"/>
                <w:bCs/>
                <w:color w:val="000000"/>
                <w:kern w:val="0"/>
                <w:sz w:val="21"/>
                <w:szCs w:val="21"/>
              </w:rPr>
              <w:t>及人员资质、脐带血采集、制备及储存、血液检测、供应和运输等。</w:t>
            </w:r>
          </w:p>
        </w:tc>
        <w:tc>
          <w:tcPr>
            <w:tcW w:w="1723" w:type="dxa"/>
            <w:shd w:val="clear" w:color="auto" w:fill="auto"/>
            <w:vAlign w:val="center"/>
          </w:tcPr>
          <w:p w14:paraId="0A124AA2">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血站</w:t>
            </w:r>
          </w:p>
        </w:tc>
        <w:tc>
          <w:tcPr>
            <w:tcW w:w="8457" w:type="dxa"/>
            <w:shd w:val="clear" w:color="auto" w:fill="auto"/>
            <w:vAlign w:val="center"/>
          </w:tcPr>
          <w:p w14:paraId="1DB583FD">
            <w:pPr>
              <w:widowControl/>
              <w:spacing w:line="240" w:lineRule="exact"/>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《献血法》第四条 县级以上各级人民政府卫生行政部门监督管理献血工作。</w:t>
            </w:r>
          </w:p>
          <w:p w14:paraId="7A177268">
            <w:pPr>
              <w:widowControl/>
              <w:spacing w:line="24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kern w:val="0"/>
                <w:sz w:val="21"/>
                <w:szCs w:val="21"/>
                <w:lang w:bidi="ar"/>
              </w:rPr>
              <w:t>《血站管理办法》第六条  县级以上地方人民政府卫生行政部门负责本行政区域内血站的监督管理工作。</w:t>
            </w:r>
          </w:p>
        </w:tc>
      </w:tr>
      <w:tr w14:paraId="7848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6" w:type="dxa"/>
            <w:vMerge w:val="continue"/>
            <w:vAlign w:val="center"/>
          </w:tcPr>
          <w:p w14:paraId="37C1A0AD">
            <w:pPr>
              <w:snapToGrid w:val="0"/>
              <w:jc w:val="center"/>
              <w:rPr>
                <w:rFonts w:hint="default" w:ascii="Times New Roman" w:hAnsi="Times New Roman" w:cs="Times New Roman"/>
                <w:bCs/>
                <w:color w:val="000000"/>
                <w:sz w:val="21"/>
                <w:szCs w:val="21"/>
                <w:shd w:val="clear" w:color="auto" w:fill="FFFFFF"/>
              </w:rPr>
            </w:pPr>
          </w:p>
        </w:tc>
        <w:tc>
          <w:tcPr>
            <w:tcW w:w="1275" w:type="dxa"/>
            <w:vMerge w:val="continue"/>
            <w:vAlign w:val="center"/>
          </w:tcPr>
          <w:p w14:paraId="012ADA89">
            <w:pPr>
              <w:snapToGrid w:val="0"/>
              <w:jc w:val="center"/>
              <w:rPr>
                <w:rFonts w:hint="default" w:ascii="Times New Roman" w:hAnsi="Times New Roman" w:cs="Times New Roman"/>
                <w:bCs/>
                <w:color w:val="000000"/>
                <w:sz w:val="21"/>
                <w:szCs w:val="21"/>
                <w:shd w:val="clear" w:color="auto" w:fill="FFFFFF"/>
              </w:rPr>
            </w:pPr>
          </w:p>
        </w:tc>
        <w:tc>
          <w:tcPr>
            <w:tcW w:w="2490" w:type="dxa"/>
            <w:shd w:val="clear" w:color="auto" w:fill="auto"/>
            <w:vAlign w:val="center"/>
          </w:tcPr>
          <w:p w14:paraId="1F618B96">
            <w:pPr>
              <w:spacing w:line="24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单采血浆站</w:t>
            </w:r>
            <w:r>
              <w:rPr>
                <w:rFonts w:hint="default" w:ascii="Times New Roman" w:hAnsi="Times New Roman" w:cs="Times New Roman"/>
                <w:bCs/>
                <w:color w:val="000000"/>
                <w:kern w:val="0"/>
                <w:sz w:val="21"/>
                <w:szCs w:val="21"/>
              </w:rPr>
              <w:t>和人员资质、献浆员管理、血液检测、原料血浆的</w:t>
            </w:r>
            <w:r>
              <w:rPr>
                <w:rFonts w:hint="default" w:ascii="Times New Roman" w:hAnsi="Times New Roman" w:cs="Times New Roman"/>
                <w:bCs/>
                <w:color w:val="000000"/>
                <w:kern w:val="0"/>
                <w:sz w:val="21"/>
                <w:szCs w:val="21"/>
                <w:lang w:eastAsia="zh"/>
              </w:rPr>
              <w:t>采集、包装及</w:t>
            </w:r>
            <w:r>
              <w:rPr>
                <w:rFonts w:hint="default" w:ascii="Times New Roman" w:hAnsi="Times New Roman" w:cs="Times New Roman"/>
                <w:bCs/>
                <w:color w:val="000000"/>
                <w:kern w:val="0"/>
                <w:sz w:val="21"/>
                <w:szCs w:val="21"/>
              </w:rPr>
              <w:t>供应、储存、运输等。</w:t>
            </w:r>
          </w:p>
        </w:tc>
        <w:tc>
          <w:tcPr>
            <w:tcW w:w="1723" w:type="dxa"/>
            <w:shd w:val="clear" w:color="auto" w:fill="auto"/>
            <w:vAlign w:val="center"/>
          </w:tcPr>
          <w:p w14:paraId="48D84C00">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单采血浆站</w:t>
            </w:r>
          </w:p>
        </w:tc>
        <w:tc>
          <w:tcPr>
            <w:tcW w:w="8457" w:type="dxa"/>
            <w:shd w:val="clear" w:color="auto" w:fill="auto"/>
            <w:vAlign w:val="center"/>
          </w:tcPr>
          <w:p w14:paraId="1BC1D7A0">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《血液制品管理条例》第三十条  县级以上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第三十一条  省、自治区、直辖市人民政府卫生行政部门每年组织一次对本行政区域内单采血浆站的监督检查并进行年度注册。设区的市、自治州人民政府卫生行政部门或者省、自治区人民政府设立的派出机关的卫生行政机构每半年对本行政区域内的单采血浆站进行一次检查。</w:t>
            </w:r>
          </w:p>
          <w:p w14:paraId="2434435E">
            <w:pPr>
              <w:widowControl/>
              <w:spacing w:line="24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《单采血浆站管理办法》第五条  县级以上地方人民政府卫生行政部门负责本行政区域内单采血浆站的监督管理工作。</w:t>
            </w:r>
          </w:p>
        </w:tc>
      </w:tr>
      <w:tr w14:paraId="1900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6" w:type="dxa"/>
            <w:vAlign w:val="center"/>
          </w:tcPr>
          <w:p w14:paraId="79259BB4">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3</w:t>
            </w:r>
          </w:p>
        </w:tc>
        <w:tc>
          <w:tcPr>
            <w:tcW w:w="1275" w:type="dxa"/>
            <w:shd w:val="clear" w:color="auto" w:fill="auto"/>
            <w:vAlign w:val="center"/>
          </w:tcPr>
          <w:p w14:paraId="3AACCB8F">
            <w:pPr>
              <w:widowControl/>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对放射诊疗机构的检查</w:t>
            </w:r>
          </w:p>
        </w:tc>
        <w:tc>
          <w:tcPr>
            <w:tcW w:w="2490" w:type="dxa"/>
            <w:shd w:val="clear" w:color="auto" w:fill="auto"/>
            <w:vAlign w:val="center"/>
          </w:tcPr>
          <w:p w14:paraId="5A992CF6">
            <w:pPr>
              <w:spacing w:line="260" w:lineRule="exact"/>
              <w:rPr>
                <w:rFonts w:hint="default" w:ascii="Times New Roman" w:hAnsi="Times New Roman" w:cs="Times New Roman"/>
                <w:bCs/>
                <w:color w:val="000000"/>
                <w:kern w:val="0"/>
                <w:sz w:val="21"/>
                <w:szCs w:val="21"/>
              </w:rPr>
            </w:pPr>
            <w:r>
              <w:rPr>
                <w:rFonts w:hint="default" w:ascii="Times New Roman" w:hAnsi="Times New Roman" w:cs="Times New Roman"/>
                <w:sz w:val="21"/>
                <w:szCs w:val="21"/>
                <w:lang w:bidi="ar"/>
              </w:rPr>
              <w:t>放射诊疗许可，建设项目卫生审查，放射工作人员职业健康监护，放射诊疗场所、设备检测、质量控制，放射防护设施及放射防护用品配备与使用，对患者、受检者、陪检者的放射防护，职业病人管理，放射事件预防处置等。</w:t>
            </w:r>
          </w:p>
        </w:tc>
        <w:tc>
          <w:tcPr>
            <w:tcW w:w="1723" w:type="dxa"/>
            <w:shd w:val="clear" w:color="auto" w:fill="auto"/>
            <w:vAlign w:val="center"/>
          </w:tcPr>
          <w:p w14:paraId="09B3DEFF">
            <w:pPr>
              <w:widowControl/>
              <w:spacing w:line="26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放射诊疗机构</w:t>
            </w:r>
          </w:p>
        </w:tc>
        <w:tc>
          <w:tcPr>
            <w:tcW w:w="8457" w:type="dxa"/>
            <w:shd w:val="clear" w:color="auto" w:fill="auto"/>
            <w:vAlign w:val="center"/>
          </w:tcPr>
          <w:p w14:paraId="5CE93744">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《中华人民共和国职业病防治法》第九条  县级以上地方人民政府卫生行政部门、劳动保障行政部门依据各自职责，负责本行政区域内职业病防治的监督管理工作。第八十七条  对医疗机构放射性职业病危害控制的监督管理，由卫生行政部门依照本法的规定实施。</w:t>
            </w:r>
          </w:p>
          <w:p w14:paraId="0ABC4936">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《放射性同位素与射线装置安全和防护条例》第三条  县级以上地方人民政府生态环境主管部门和其他有关部门，按照职责分工和本条例的规定，对本行政区域内放射性同位素、射线装置的安全和防护工作实施监督管理。</w:t>
            </w:r>
          </w:p>
          <w:p w14:paraId="72AB499D">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《放射诊疗管理规定》第三条  县级以上地方人民政府卫生行政部门负责本行政区域内放射诊疗工作的监督管理。</w:t>
            </w:r>
          </w:p>
          <w:p w14:paraId="20270D96">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《放射工作人员职业健康管理办法》第三条  县级以上地方人民政府卫生行政部门负责本行政区域内放射工作人员职业健康的监督管理。第三十三条  县级以上地方人民政府卫生行政部门应当定期对本行政区域内放射工作单位的放射工作人员职业健康管理进行监督检查。</w:t>
            </w:r>
          </w:p>
        </w:tc>
      </w:tr>
      <w:tr w14:paraId="1FE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6" w:type="dxa"/>
            <w:vAlign w:val="center"/>
          </w:tcPr>
          <w:p w14:paraId="21A6D3A3">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4</w:t>
            </w:r>
          </w:p>
        </w:tc>
        <w:tc>
          <w:tcPr>
            <w:tcW w:w="1275" w:type="dxa"/>
            <w:shd w:val="clear" w:color="auto" w:fill="auto"/>
            <w:vAlign w:val="center"/>
          </w:tcPr>
          <w:p w14:paraId="394029A2">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对学校卫生的检查</w:t>
            </w:r>
          </w:p>
        </w:tc>
        <w:tc>
          <w:tcPr>
            <w:tcW w:w="2490" w:type="dxa"/>
            <w:shd w:val="clear" w:color="auto" w:fill="auto"/>
            <w:vAlign w:val="center"/>
          </w:tcPr>
          <w:p w14:paraId="423C8B94">
            <w:pPr>
              <w:spacing w:line="260" w:lineRule="exact"/>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学校教学</w:t>
            </w:r>
            <w:r>
              <w:rPr>
                <w:rFonts w:hint="default" w:ascii="Times New Roman" w:hAnsi="Times New Roman" w:cs="Times New Roman"/>
                <w:bCs/>
                <w:color w:val="000000"/>
                <w:sz w:val="21"/>
                <w:szCs w:val="21"/>
                <w:shd w:val="clear" w:color="auto" w:fill="FFFFFF"/>
                <w:lang w:eastAsia="zh"/>
              </w:rPr>
              <w:t>和生活</w:t>
            </w:r>
            <w:r>
              <w:rPr>
                <w:rFonts w:hint="default" w:ascii="Times New Roman" w:hAnsi="Times New Roman" w:cs="Times New Roman"/>
                <w:bCs/>
                <w:color w:val="000000"/>
                <w:sz w:val="21"/>
                <w:szCs w:val="21"/>
                <w:shd w:val="clear" w:color="auto" w:fill="FFFFFF"/>
              </w:rPr>
              <w:t>环境卫生；学校落实传染病和常见病防控情况；学校落实饮用水卫生要求情况。</w:t>
            </w:r>
          </w:p>
        </w:tc>
        <w:tc>
          <w:tcPr>
            <w:tcW w:w="1723" w:type="dxa"/>
            <w:vAlign w:val="center"/>
          </w:tcPr>
          <w:p w14:paraId="3FDF002D">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寄宿制学校</w:t>
            </w:r>
          </w:p>
        </w:tc>
        <w:tc>
          <w:tcPr>
            <w:tcW w:w="8457" w:type="dxa"/>
            <w:shd w:val="clear" w:color="auto" w:fill="auto"/>
            <w:vAlign w:val="center"/>
          </w:tcPr>
          <w:p w14:paraId="2E2ECDB8">
            <w:pPr>
              <w:spacing w:line="240" w:lineRule="exact"/>
              <w:ind w:firstLine="420" w:firstLineChars="200"/>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《学校卫生工作条例》第四条 卫生行政部门负责对学校卫生工作的监督指导。第二十八条　县以上卫生行政部门对学校卫生工作行使监督职权。</w:t>
            </w:r>
          </w:p>
        </w:tc>
      </w:tr>
      <w:tr w14:paraId="52A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6" w:type="dxa"/>
            <w:vAlign w:val="center"/>
          </w:tcPr>
          <w:p w14:paraId="51926261">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5</w:t>
            </w:r>
          </w:p>
        </w:tc>
        <w:tc>
          <w:tcPr>
            <w:tcW w:w="1275" w:type="dxa"/>
            <w:shd w:val="clear" w:color="auto" w:fill="auto"/>
            <w:vAlign w:val="center"/>
          </w:tcPr>
          <w:p w14:paraId="018229D7">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对消毒产品生产企业的检查</w:t>
            </w:r>
          </w:p>
        </w:tc>
        <w:tc>
          <w:tcPr>
            <w:tcW w:w="2490" w:type="dxa"/>
            <w:shd w:val="clear" w:color="auto" w:fill="auto"/>
            <w:vAlign w:val="center"/>
          </w:tcPr>
          <w:p w14:paraId="16F67B32">
            <w:pPr>
              <w:spacing w:line="26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消毒产品生产企业卫生许可证、生产条件、生产过程、使用原料卫生质量、消毒产品和物料仓储条件、消毒产品从业人员配备和管理情况、消毒产品卫生质量、</w:t>
            </w:r>
            <w:r>
              <w:rPr>
                <w:rFonts w:hint="default" w:ascii="Times New Roman" w:hAnsi="Times New Roman" w:cs="Times New Roman"/>
                <w:bCs/>
                <w:color w:val="000000"/>
                <w:sz w:val="21"/>
                <w:szCs w:val="21"/>
                <w:shd w:val="clear" w:color="auto" w:fill="FFFFFF"/>
              </w:rPr>
              <w:t>抗（抑）菌制剂备案管理等情况</w:t>
            </w:r>
            <w:r>
              <w:rPr>
                <w:rFonts w:hint="default" w:ascii="Times New Roman" w:hAnsi="Times New Roman" w:cs="Times New Roman"/>
                <w:bCs/>
                <w:color w:val="000000"/>
                <w:sz w:val="21"/>
                <w:szCs w:val="21"/>
              </w:rPr>
              <w:t>。</w:t>
            </w:r>
          </w:p>
        </w:tc>
        <w:tc>
          <w:tcPr>
            <w:tcW w:w="1723" w:type="dxa"/>
            <w:vAlign w:val="center"/>
          </w:tcPr>
          <w:p w14:paraId="77DB497C">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lang w:eastAsia="zh"/>
              </w:rPr>
              <w:t>消毒产品</w:t>
            </w:r>
            <w:r>
              <w:rPr>
                <w:rFonts w:hint="default" w:ascii="Times New Roman" w:hAnsi="Times New Roman" w:cs="Times New Roman"/>
                <w:bCs/>
                <w:color w:val="000000"/>
                <w:sz w:val="21"/>
                <w:szCs w:val="21"/>
                <w:shd w:val="clear" w:color="auto" w:fill="FFFFFF"/>
              </w:rPr>
              <w:t>生产企业</w:t>
            </w:r>
          </w:p>
        </w:tc>
        <w:tc>
          <w:tcPr>
            <w:tcW w:w="8457" w:type="dxa"/>
            <w:vAlign w:val="center"/>
          </w:tcPr>
          <w:p w14:paraId="4A9D614E">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14:paraId="3DC75025">
            <w:pPr>
              <w:widowControl/>
              <w:spacing w:line="240" w:lineRule="exact"/>
              <w:ind w:firstLine="411"/>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kern w:val="0"/>
                <w:sz w:val="21"/>
                <w:szCs w:val="21"/>
              </w:rPr>
              <w:t>《消毒管理办法》第三十六条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14:paraId="3C4B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6" w:type="dxa"/>
            <w:vAlign w:val="center"/>
          </w:tcPr>
          <w:p w14:paraId="37A65888">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6</w:t>
            </w:r>
          </w:p>
        </w:tc>
        <w:tc>
          <w:tcPr>
            <w:tcW w:w="1275" w:type="dxa"/>
            <w:shd w:val="clear" w:color="auto" w:fill="auto"/>
            <w:vAlign w:val="center"/>
          </w:tcPr>
          <w:p w14:paraId="2EBA24C8">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对餐饮具集中消毒服务单位的检查</w:t>
            </w:r>
          </w:p>
        </w:tc>
        <w:tc>
          <w:tcPr>
            <w:tcW w:w="2490" w:type="dxa"/>
            <w:shd w:val="clear" w:color="auto" w:fill="auto"/>
            <w:vAlign w:val="center"/>
          </w:tcPr>
          <w:p w14:paraId="43F1A649">
            <w:pPr>
              <w:spacing w:line="26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作业场所、清洗消毒设备或者设施、生产用水和使用的洗涤剂、消毒剂、餐具、饮具的出厂检验、餐具、饮具的包装标识。</w:t>
            </w:r>
          </w:p>
        </w:tc>
        <w:tc>
          <w:tcPr>
            <w:tcW w:w="1723" w:type="dxa"/>
            <w:vAlign w:val="center"/>
          </w:tcPr>
          <w:p w14:paraId="69CC9591">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餐饮具集中消毒企业</w:t>
            </w:r>
          </w:p>
        </w:tc>
        <w:tc>
          <w:tcPr>
            <w:tcW w:w="8457" w:type="dxa"/>
            <w:shd w:val="clear" w:color="auto" w:fill="auto"/>
            <w:vAlign w:val="center"/>
          </w:tcPr>
          <w:p w14:paraId="1B7C5A47">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《食品安全法》第五十八条  餐具、饮具集中消毒服务单位应当具备相应的作业场所、清洗消毒设备或者设施，用水和使用的洗涤剂、消毒剂应当符合相关食品安全国家标准和其他国家标准、卫生规范。</w:t>
            </w:r>
          </w:p>
          <w:p w14:paraId="782619D8">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26204A8D">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7DEB43DA">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14:paraId="4EBF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06" w:type="dxa"/>
            <w:vAlign w:val="center"/>
          </w:tcPr>
          <w:p w14:paraId="5529021E">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7</w:t>
            </w:r>
          </w:p>
        </w:tc>
        <w:tc>
          <w:tcPr>
            <w:tcW w:w="1275" w:type="dxa"/>
            <w:shd w:val="clear" w:color="auto" w:fill="auto"/>
            <w:vAlign w:val="center"/>
          </w:tcPr>
          <w:p w14:paraId="6141B409">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对生活饮用水卫生的检查</w:t>
            </w:r>
          </w:p>
        </w:tc>
        <w:tc>
          <w:tcPr>
            <w:tcW w:w="2490" w:type="dxa"/>
            <w:shd w:val="clear" w:color="auto" w:fill="auto"/>
            <w:vAlign w:val="center"/>
          </w:tcPr>
          <w:p w14:paraId="40ADC142">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供水单位卫生许可、供管水人员、水质检测、供水设施等卫生管理，供水水质等。</w:t>
            </w:r>
          </w:p>
        </w:tc>
        <w:tc>
          <w:tcPr>
            <w:tcW w:w="1723" w:type="dxa"/>
            <w:shd w:val="clear" w:color="auto" w:fill="auto"/>
            <w:vAlign w:val="center"/>
          </w:tcPr>
          <w:p w14:paraId="79E78816">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日供水千吨以上集中式供水单位</w:t>
            </w:r>
          </w:p>
        </w:tc>
        <w:tc>
          <w:tcPr>
            <w:tcW w:w="8457" w:type="dxa"/>
            <w:shd w:val="clear" w:color="auto" w:fill="auto"/>
            <w:vAlign w:val="center"/>
          </w:tcPr>
          <w:p w14:paraId="347355E8">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14:paraId="6C10C4E8">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《生活饮用水卫生监督管理办法》第三条  国务院卫生计生主管部门主管全国饮用水卫生监督工作，县级以上地方人民政府卫生计生主管部门主管本行政区域内饮用水卫生监督工作。</w:t>
            </w:r>
          </w:p>
          <w:p w14:paraId="0F71AC6F">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《山东省农村供水条例》第五条 县级以上人民政府水行政主管部门负责本行政区域内农村供水监督管理工作。发展改革、科技、财政、人力资源社会保障、自然资源、生态环境、住房城乡建设、交通运输、农业农村、卫生健康、应急管理、市场监督管理、税务和城市管理等部门，按照各自职责，做好农村供水相关工作。</w:t>
            </w:r>
          </w:p>
        </w:tc>
      </w:tr>
      <w:tr w14:paraId="3DDA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06" w:type="dxa"/>
            <w:vAlign w:val="center"/>
          </w:tcPr>
          <w:p w14:paraId="2077D63B">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8</w:t>
            </w:r>
          </w:p>
        </w:tc>
        <w:tc>
          <w:tcPr>
            <w:tcW w:w="1275" w:type="dxa"/>
            <w:shd w:val="clear" w:color="auto" w:fill="auto"/>
            <w:vAlign w:val="center"/>
          </w:tcPr>
          <w:p w14:paraId="6E4A3B36">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对职业卫生技术服务机构的检查</w:t>
            </w:r>
          </w:p>
        </w:tc>
        <w:tc>
          <w:tcPr>
            <w:tcW w:w="2490" w:type="dxa"/>
            <w:shd w:val="clear" w:color="auto" w:fill="auto"/>
            <w:vAlign w:val="center"/>
          </w:tcPr>
          <w:p w14:paraId="0B93B396">
            <w:pPr>
              <w:snapToGrid w:val="0"/>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职业卫生技术服务资质认可，仪器设备、场所和人员管理，开展职业卫生技术服务活动，专业技术人员从业，出具的职业卫生技术报告，信息报送、公开，档案管理等。</w:t>
            </w:r>
          </w:p>
        </w:tc>
        <w:tc>
          <w:tcPr>
            <w:tcW w:w="1723" w:type="dxa"/>
            <w:shd w:val="clear" w:color="auto" w:fill="auto"/>
            <w:vAlign w:val="center"/>
          </w:tcPr>
          <w:p w14:paraId="7C631014">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职业卫生技术服务机构</w:t>
            </w:r>
          </w:p>
        </w:tc>
        <w:tc>
          <w:tcPr>
            <w:tcW w:w="8457" w:type="dxa"/>
            <w:shd w:val="clear" w:color="auto" w:fill="auto"/>
            <w:vAlign w:val="center"/>
          </w:tcPr>
          <w:p w14:paraId="73D67711">
            <w:pPr>
              <w:widowControl/>
              <w:snapToGrid w:val="0"/>
              <w:ind w:firstLine="420" w:firstLineChars="200"/>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lang w:bidi="ar"/>
              </w:rPr>
              <w:t>《中华人民共和国职业病防治法》第二十七条  职业卫生技术服务机构依法从事职业病危害因素检测、评价工作，接受卫生行政部门的监督检查。卫生行政部门应当依法履行监督职责。</w:t>
            </w:r>
          </w:p>
          <w:p w14:paraId="2E266E5F">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sz w:val="21"/>
                <w:szCs w:val="21"/>
                <w:shd w:val="clear" w:color="auto" w:fill="FFFFFF"/>
                <w:lang w:bidi="ar"/>
              </w:rPr>
              <w:t>《职业卫生技术服务机构管理办法 》第七条  国家卫生健康委负责指导全国职业卫生技术服务机构的监督管理工作。县级以上地方卫生健康主管部门负责本行政区域内职业卫生技术服务机构的监督管理工作。第三十三条 县级以上地方卫生健康主管部门应当按照有关“双随机、一公开”的规定，加强对本行政区域内从业的职业卫生技术服务机构事中事后监管。</w:t>
            </w:r>
          </w:p>
        </w:tc>
      </w:tr>
      <w:tr w14:paraId="46D0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06" w:type="dxa"/>
            <w:vAlign w:val="center"/>
          </w:tcPr>
          <w:p w14:paraId="56ED6F39">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9</w:t>
            </w:r>
          </w:p>
        </w:tc>
        <w:tc>
          <w:tcPr>
            <w:tcW w:w="1275" w:type="dxa"/>
            <w:shd w:val="clear" w:color="auto" w:fill="auto"/>
            <w:vAlign w:val="center"/>
          </w:tcPr>
          <w:p w14:paraId="70ED7EA2">
            <w:pPr>
              <w:snapToGrid w:val="0"/>
              <w:jc w:val="center"/>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对放射卫生技术服务机构的检查</w:t>
            </w:r>
          </w:p>
        </w:tc>
        <w:tc>
          <w:tcPr>
            <w:tcW w:w="2490" w:type="dxa"/>
            <w:shd w:val="clear" w:color="auto" w:fill="auto"/>
            <w:vAlign w:val="center"/>
          </w:tcPr>
          <w:p w14:paraId="65B2CC09">
            <w:pPr>
              <w:snapToGrid w:val="0"/>
              <w:rPr>
                <w:rFonts w:hint="default" w:ascii="Times New Roman" w:hAnsi="Times New Roman" w:cs="Times New Roman"/>
                <w:sz w:val="21"/>
                <w:szCs w:val="21"/>
                <w:lang w:bidi="ar"/>
              </w:rPr>
            </w:pPr>
            <w:r>
              <w:rPr>
                <w:rFonts w:hint="default" w:ascii="Times New Roman" w:hAnsi="Times New Roman" w:cs="Times New Roman"/>
                <w:sz w:val="21"/>
                <w:szCs w:val="21"/>
                <w:lang w:bidi="ar"/>
              </w:rPr>
              <w:t>放射卫生技术服务资质认可，技术服务活动范围，出具的评价或检测报告，专业人员配备，仪器设备和场所，是否出具虚假证明文件，资质证书使用，质量控制、工作程序，档案管理，管理制度等。</w:t>
            </w:r>
          </w:p>
        </w:tc>
        <w:tc>
          <w:tcPr>
            <w:tcW w:w="1723" w:type="dxa"/>
            <w:shd w:val="clear" w:color="auto" w:fill="auto"/>
            <w:vAlign w:val="center"/>
          </w:tcPr>
          <w:p w14:paraId="6E8557BD">
            <w:pPr>
              <w:snapToGrid w:val="0"/>
              <w:jc w:val="center"/>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放射卫生技术服务机构</w:t>
            </w:r>
          </w:p>
        </w:tc>
        <w:tc>
          <w:tcPr>
            <w:tcW w:w="8457" w:type="dxa"/>
            <w:shd w:val="clear" w:color="auto" w:fill="auto"/>
            <w:vAlign w:val="center"/>
          </w:tcPr>
          <w:p w14:paraId="111BC50B">
            <w:pPr>
              <w:snapToGrid w:val="0"/>
              <w:ind w:firstLine="420" w:firstLineChars="200"/>
              <w:rPr>
                <w:rFonts w:hint="default" w:ascii="Times New Roman" w:hAnsi="Times New Roman" w:cs="Times New Roman"/>
                <w:sz w:val="21"/>
                <w:szCs w:val="21"/>
                <w:lang w:bidi="ar"/>
              </w:rPr>
            </w:pPr>
            <w:r>
              <w:rPr>
                <w:rFonts w:hint="default" w:ascii="Times New Roman" w:hAnsi="Times New Roman" w:cs="Times New Roman"/>
                <w:sz w:val="21"/>
                <w:szCs w:val="21"/>
                <w:lang w:bidi="ar"/>
              </w:rPr>
              <w:t>《放射卫生技术服务机构管理办法》第四条  卫生部负责全国放射卫生技术服务机构的监督管理工作。县级以上地方卫生行政部门负责辖区内放射卫生技术服务机构的监督管理工作。</w:t>
            </w:r>
          </w:p>
        </w:tc>
      </w:tr>
    </w:tbl>
    <w:p w14:paraId="73577610">
      <w:pPr>
        <w:rPr>
          <w:rFonts w:hint="default" w:ascii="Times New Roman" w:hAnsi="Times New Roman" w:cs="Times New Roman"/>
        </w:rPr>
      </w:pPr>
    </w:p>
    <w:p w14:paraId="1D99D153">
      <w:pPr>
        <w:rPr>
          <w:rFonts w:hint="default" w:ascii="Times New Roman" w:hAnsi="Times New Roman" w:cs="Times New Roman"/>
        </w:rPr>
      </w:pPr>
    </w:p>
    <w:p w14:paraId="0CC2FF57">
      <w:pPr>
        <w:rPr>
          <w:rFonts w:hint="default" w:ascii="Times New Roman" w:hAnsi="Times New Roman" w:cs="Times New Roman"/>
        </w:rPr>
      </w:pPr>
    </w:p>
    <w:tbl>
      <w:tblPr>
        <w:tblStyle w:val="9"/>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2490"/>
        <w:gridCol w:w="1723"/>
        <w:gridCol w:w="8457"/>
      </w:tblGrid>
      <w:tr w14:paraId="180E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06" w:type="dxa"/>
            <w:vAlign w:val="center"/>
          </w:tcPr>
          <w:p w14:paraId="246E760D">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10</w:t>
            </w:r>
          </w:p>
        </w:tc>
        <w:tc>
          <w:tcPr>
            <w:tcW w:w="1275" w:type="dxa"/>
            <w:shd w:val="clear" w:color="auto" w:fill="auto"/>
            <w:vAlign w:val="center"/>
          </w:tcPr>
          <w:p w14:paraId="1E21AFD8">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对职业健康检查机构的检查</w:t>
            </w:r>
          </w:p>
        </w:tc>
        <w:tc>
          <w:tcPr>
            <w:tcW w:w="2490" w:type="dxa"/>
            <w:shd w:val="clear" w:color="auto" w:fill="auto"/>
            <w:vAlign w:val="center"/>
          </w:tcPr>
          <w:p w14:paraId="72D37F31">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职业健康检查机构</w:t>
            </w:r>
            <w:r>
              <w:rPr>
                <w:rFonts w:hint="default" w:ascii="Times New Roman" w:hAnsi="Times New Roman" w:cs="Times New Roman"/>
                <w:bCs/>
                <w:color w:val="000000"/>
                <w:kern w:val="0"/>
                <w:sz w:val="21"/>
                <w:szCs w:val="21"/>
                <w:lang w:eastAsia="zh"/>
              </w:rPr>
              <w:t>备案</w:t>
            </w:r>
            <w:r>
              <w:rPr>
                <w:rFonts w:hint="default" w:ascii="Times New Roman" w:hAnsi="Times New Roman" w:cs="Times New Roman"/>
                <w:bCs/>
                <w:color w:val="000000"/>
                <w:kern w:val="0"/>
                <w:sz w:val="21"/>
                <w:szCs w:val="21"/>
              </w:rPr>
              <w:t>及人员资质、依法开展职业健康检查等情况</w:t>
            </w:r>
          </w:p>
        </w:tc>
        <w:tc>
          <w:tcPr>
            <w:tcW w:w="1723" w:type="dxa"/>
            <w:shd w:val="clear" w:color="auto" w:fill="auto"/>
            <w:vAlign w:val="center"/>
          </w:tcPr>
          <w:p w14:paraId="0D4B73B8">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职业健康检查机构</w:t>
            </w:r>
          </w:p>
        </w:tc>
        <w:tc>
          <w:tcPr>
            <w:tcW w:w="8457" w:type="dxa"/>
            <w:shd w:val="clear" w:color="auto" w:fill="auto"/>
            <w:vAlign w:val="center"/>
          </w:tcPr>
          <w:p w14:paraId="4BFBFF46">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《职业健康检查管理办法》第三条  国家卫生健康委负责全国范围内职业健康检查工作的监督管理。县级以上地方卫生健康主管部门负责本辖区职业健康检查工作的监督管理；结合职业病防治工作实际需要，充分利用现有资源，统一规划、合理布局；加强职业健康检查机构能力建设，并提供必要的保障条件。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r w14:paraId="37F2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806" w:type="dxa"/>
            <w:vAlign w:val="center"/>
          </w:tcPr>
          <w:p w14:paraId="2F8A4F62">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11</w:t>
            </w:r>
          </w:p>
        </w:tc>
        <w:tc>
          <w:tcPr>
            <w:tcW w:w="1275" w:type="dxa"/>
            <w:shd w:val="clear" w:color="auto" w:fill="auto"/>
            <w:vAlign w:val="center"/>
          </w:tcPr>
          <w:p w14:paraId="04C9FD72">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对职业病诊断机构的检查</w:t>
            </w:r>
          </w:p>
        </w:tc>
        <w:tc>
          <w:tcPr>
            <w:tcW w:w="2490" w:type="dxa"/>
            <w:shd w:val="clear" w:color="auto" w:fill="auto"/>
            <w:vAlign w:val="center"/>
          </w:tcPr>
          <w:p w14:paraId="7656EDEF">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职业病诊断机构</w:t>
            </w:r>
            <w:r>
              <w:rPr>
                <w:rFonts w:hint="default" w:ascii="Times New Roman" w:hAnsi="Times New Roman" w:cs="Times New Roman"/>
                <w:bCs/>
                <w:color w:val="000000"/>
                <w:kern w:val="0"/>
                <w:sz w:val="21"/>
                <w:szCs w:val="21"/>
                <w:lang w:eastAsia="zh"/>
              </w:rPr>
              <w:t>备案</w:t>
            </w:r>
            <w:r>
              <w:rPr>
                <w:rFonts w:hint="default" w:ascii="Times New Roman" w:hAnsi="Times New Roman" w:cs="Times New Roman"/>
                <w:bCs/>
                <w:color w:val="000000"/>
                <w:kern w:val="0"/>
                <w:sz w:val="21"/>
                <w:szCs w:val="21"/>
              </w:rPr>
              <w:t>及人员</w:t>
            </w:r>
            <w:r>
              <w:rPr>
                <w:rFonts w:hint="default" w:ascii="Times New Roman" w:hAnsi="Times New Roman" w:cs="Times New Roman"/>
                <w:bCs/>
                <w:color w:val="000000"/>
                <w:kern w:val="0"/>
                <w:sz w:val="21"/>
                <w:szCs w:val="21"/>
                <w:lang w:eastAsia="zh"/>
              </w:rPr>
              <w:t>资质</w:t>
            </w:r>
            <w:r>
              <w:rPr>
                <w:rFonts w:hint="default" w:ascii="Times New Roman" w:hAnsi="Times New Roman" w:cs="Times New Roman"/>
                <w:bCs/>
                <w:color w:val="000000"/>
                <w:kern w:val="0"/>
                <w:sz w:val="21"/>
                <w:szCs w:val="21"/>
              </w:rPr>
              <w:t>、依法开展职业病诊断工作等情况</w:t>
            </w:r>
          </w:p>
        </w:tc>
        <w:tc>
          <w:tcPr>
            <w:tcW w:w="1723" w:type="dxa"/>
            <w:shd w:val="clear" w:color="auto" w:fill="auto"/>
            <w:vAlign w:val="center"/>
          </w:tcPr>
          <w:p w14:paraId="64E872BD">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职业病诊断机构</w:t>
            </w:r>
          </w:p>
        </w:tc>
        <w:tc>
          <w:tcPr>
            <w:tcW w:w="8457" w:type="dxa"/>
            <w:shd w:val="clear" w:color="auto" w:fill="auto"/>
            <w:vAlign w:val="center"/>
          </w:tcPr>
          <w:p w14:paraId="41AD58BD">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《职业病诊断与鉴定管理办法》第三条 国家卫生健康委负责全国范围内职业病诊断与鉴定的监督管理工作，县级以上地方卫生健康主管部门依据职责负责本行政区域内职业病诊断与鉴定的监督管理工作。第五十一条 县级以上地方卫生健康主管部门应当定期对职业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r>
    </w:tbl>
    <w:p w14:paraId="7B7AF751">
      <w:pPr>
        <w:jc w:val="center"/>
        <w:rPr>
          <w:rFonts w:hint="eastAsia" w:ascii="仿宋" w:hAnsi="仿宋" w:eastAsia="仿宋" w:cs="仿宋"/>
          <w:sz w:val="24"/>
          <w:szCs w:val="24"/>
        </w:rPr>
      </w:pPr>
    </w:p>
    <w:sectPr>
      <w:footerReference r:id="rId5" w:type="default"/>
      <w:footerReference r:id="rId6" w:type="even"/>
      <w:pgSz w:w="16838" w:h="11906" w:orient="landscape"/>
      <w:pgMar w:top="1418" w:right="1247" w:bottom="1418" w:left="1247" w:header="720" w:footer="85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E40B">
    <w:pPr>
      <w:pStyle w:val="5"/>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6083">
    <w:pPr>
      <w:pStyle w:val="5"/>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7C6D">
    <w:pPr>
      <w:pStyle w:val="5"/>
      <w:ind w:right="28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37BD">
    <w:pPr>
      <w:pStyle w:val="5"/>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evenAndOddHeaders w:val="1"/>
  <w:drawingGridHorizontalSpacing w:val="156"/>
  <w:drawingGridVerticalSpacing w:val="627"/>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GYzZDdkNTczOGNkZGI0OTYxNTI2NzRkZjQwYmQifQ=="/>
  </w:docVars>
  <w:rsids>
    <w:rsidRoot w:val="7F9B23EE"/>
    <w:rsid w:val="001D6BB3"/>
    <w:rsid w:val="003C7FF2"/>
    <w:rsid w:val="0071631F"/>
    <w:rsid w:val="00971325"/>
    <w:rsid w:val="009C0AA5"/>
    <w:rsid w:val="00D01281"/>
    <w:rsid w:val="0361623A"/>
    <w:rsid w:val="042F1CB9"/>
    <w:rsid w:val="06CC025B"/>
    <w:rsid w:val="07373FCA"/>
    <w:rsid w:val="0DE86BE1"/>
    <w:rsid w:val="0FC05904"/>
    <w:rsid w:val="0FCD12C6"/>
    <w:rsid w:val="13C22E04"/>
    <w:rsid w:val="174A5489"/>
    <w:rsid w:val="1C754A42"/>
    <w:rsid w:val="1CAC1204"/>
    <w:rsid w:val="1DFE871F"/>
    <w:rsid w:val="202F1E0B"/>
    <w:rsid w:val="204F08FB"/>
    <w:rsid w:val="21DB3FD9"/>
    <w:rsid w:val="237763B9"/>
    <w:rsid w:val="258F3063"/>
    <w:rsid w:val="278110D9"/>
    <w:rsid w:val="27D461E5"/>
    <w:rsid w:val="27EE634C"/>
    <w:rsid w:val="2C494E84"/>
    <w:rsid w:val="2FBF06AB"/>
    <w:rsid w:val="31FC058B"/>
    <w:rsid w:val="34BA46D4"/>
    <w:rsid w:val="3E37701B"/>
    <w:rsid w:val="3EFDD9B4"/>
    <w:rsid w:val="3F37B4DD"/>
    <w:rsid w:val="40934FF9"/>
    <w:rsid w:val="47BF0CED"/>
    <w:rsid w:val="48E30BDF"/>
    <w:rsid w:val="4CA65B39"/>
    <w:rsid w:val="4D507D74"/>
    <w:rsid w:val="4DEF1C44"/>
    <w:rsid w:val="4F0D0BB2"/>
    <w:rsid w:val="527B07F2"/>
    <w:rsid w:val="52FF5F48"/>
    <w:rsid w:val="53EFE1F5"/>
    <w:rsid w:val="5557A9A7"/>
    <w:rsid w:val="5F564690"/>
    <w:rsid w:val="62132D6F"/>
    <w:rsid w:val="676935C9"/>
    <w:rsid w:val="676E8C86"/>
    <w:rsid w:val="6A6FC396"/>
    <w:rsid w:val="6B4C1CF9"/>
    <w:rsid w:val="6CEF73A9"/>
    <w:rsid w:val="6DFFCF57"/>
    <w:rsid w:val="6FB6382E"/>
    <w:rsid w:val="6FC106A9"/>
    <w:rsid w:val="6FD758FD"/>
    <w:rsid w:val="6FEFC428"/>
    <w:rsid w:val="6FFFDAB0"/>
    <w:rsid w:val="700620A5"/>
    <w:rsid w:val="715B003B"/>
    <w:rsid w:val="751E0544"/>
    <w:rsid w:val="75FD2460"/>
    <w:rsid w:val="77BF2A97"/>
    <w:rsid w:val="77FF7263"/>
    <w:rsid w:val="79604B71"/>
    <w:rsid w:val="7A7E0A66"/>
    <w:rsid w:val="7A99A45F"/>
    <w:rsid w:val="7AFBEC1A"/>
    <w:rsid w:val="7B9C1910"/>
    <w:rsid w:val="7C2B61E6"/>
    <w:rsid w:val="7DCFB79D"/>
    <w:rsid w:val="7DDD03E1"/>
    <w:rsid w:val="7DFFBB81"/>
    <w:rsid w:val="7EDFCB90"/>
    <w:rsid w:val="7EF1885F"/>
    <w:rsid w:val="7F170605"/>
    <w:rsid w:val="7F9B23EE"/>
    <w:rsid w:val="7FB7A9F5"/>
    <w:rsid w:val="7FD9CC37"/>
    <w:rsid w:val="7FDB4B58"/>
    <w:rsid w:val="7FFE9813"/>
    <w:rsid w:val="8EBF5141"/>
    <w:rsid w:val="9FAF849D"/>
    <w:rsid w:val="9FFBC14E"/>
    <w:rsid w:val="ACFB98F5"/>
    <w:rsid w:val="BA7B23C6"/>
    <w:rsid w:val="C3FAC6ED"/>
    <w:rsid w:val="CCFD4660"/>
    <w:rsid w:val="CFE7D2CD"/>
    <w:rsid w:val="CFFF3A98"/>
    <w:rsid w:val="D37E716D"/>
    <w:rsid w:val="D5BDC993"/>
    <w:rsid w:val="D5E2DE80"/>
    <w:rsid w:val="D6DF7A6D"/>
    <w:rsid w:val="DD5EF546"/>
    <w:rsid w:val="DF5F3695"/>
    <w:rsid w:val="DFB7D24C"/>
    <w:rsid w:val="DFEDD300"/>
    <w:rsid w:val="EA492C4C"/>
    <w:rsid w:val="EBFFD3C8"/>
    <w:rsid w:val="F8FD3DCC"/>
    <w:rsid w:val="FB5E8174"/>
    <w:rsid w:val="FBCBC220"/>
    <w:rsid w:val="FCF9270F"/>
    <w:rsid w:val="FDDBE736"/>
    <w:rsid w:val="FE734873"/>
    <w:rsid w:val="FE79CCD7"/>
    <w:rsid w:val="FEFE400A"/>
    <w:rsid w:val="FFBB5768"/>
    <w:rsid w:val="FFDBF975"/>
    <w:rsid w:val="FFDEA939"/>
    <w:rsid w:val="FFFD60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lang w:val="en-US" w:eastAsia="zh-CN" w:bidi="ar-SA"/>
    </w:rPr>
  </w:style>
  <w:style w:type="paragraph" w:styleId="3">
    <w:name w:val="heading 1"/>
    <w:basedOn w:val="1"/>
    <w:next w:val="1"/>
    <w:qFormat/>
    <w:uiPriority w:val="0"/>
    <w:pPr>
      <w:snapToGrid w:val="0"/>
      <w:jc w:val="center"/>
      <w:outlineLvl w:val="0"/>
    </w:pPr>
    <w:rPr>
      <w:rFonts w:ascii="方正小标宋简体" w:hAnsi="方正小标宋简体" w:eastAsia="方正小标宋_GBK" w:cs="方正小标宋简体"/>
      <w:kern w:val="44"/>
      <w:sz w:val="44"/>
    </w:rPr>
  </w:style>
  <w:style w:type="paragraph" w:styleId="4">
    <w:name w:val="heading 2"/>
    <w:basedOn w:val="1"/>
    <w:next w:val="1"/>
    <w:unhideWhenUsed/>
    <w:qFormat/>
    <w:uiPriority w:val="0"/>
    <w:pPr>
      <w:ind w:firstLine="640" w:firstLineChars="200"/>
      <w:jc w:val="left"/>
      <w:outlineLvl w:val="1"/>
    </w:pPr>
    <w:rPr>
      <w:rFonts w:ascii="黑体" w:hAnsi="黑体" w:eastAsia="黑体" w:cs="黑体"/>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pPr>
      <w:spacing w:before="100" w:beforeAutospacing="1" w:after="100" w:afterAutospacing="1"/>
      <w:jc w:val="left"/>
    </w:pPr>
    <w:rPr>
      <w:rFonts w:cs="Times New Roman"/>
      <w:kern w:val="0"/>
      <w:sz w:val="24"/>
    </w:rPr>
  </w:style>
  <w:style w:type="character" w:styleId="11">
    <w:name w:val="Strong"/>
    <w:basedOn w:val="10"/>
    <w:qFormat/>
    <w:uiPriority w:val="0"/>
    <w:rPr>
      <w:b/>
    </w:rPr>
  </w:style>
  <w:style w:type="paragraph" w:customStyle="1" w:styleId="12">
    <w:name w:val="公文一级标题"/>
    <w:basedOn w:val="1"/>
    <w:qFormat/>
    <w:uiPriority w:val="0"/>
    <w:pPr>
      <w:snapToGrid w:val="0"/>
      <w:jc w:val="center"/>
    </w:pPr>
    <w:rPr>
      <w:rFonts w:eastAsia="方正小标宋简体"/>
      <w:sz w:val="44"/>
    </w:rPr>
  </w:style>
  <w:style w:type="character" w:customStyle="1" w:styleId="13">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6745</Words>
  <Characters>6766</Characters>
  <Lines>75</Lines>
  <Paragraphs>21</Paragraphs>
  <TotalTime>1</TotalTime>
  <ScaleCrop>false</ScaleCrop>
  <LinksUpToDate>false</LinksUpToDate>
  <CharactersWithSpaces>6889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2022-05-23T00:32:00Z</dcterms:created>
  <dc:creator>wadehope</dc:creator>
  <cp:lastModifiedBy>蒙娜丽猴---相面、相手</cp:lastModifiedBy>
  <dcterms:modified xsi:type="dcterms:W3CDTF">2025-04-08T00:39:38Z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03535D98602B441FB547B1AEE14CD602_13</vt:lpwstr>
  </property>
  <property fmtid="{D5CDD505-2E9C-101B-9397-08002B2CF9AE}" pid="4" name="KSOTemplateDocerSaveRecord">
    <vt:lpwstr>eyJoZGlkIjoiNDY2NGYzZDdkNTczOGNkZGI0OTYxNTI2NzRkZjQwYmQiLCJ1c2VySWQiOiI2MDI5MTc1ODgifQ==</vt:lpwstr>
  </property>
</Properties>
</file>