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文星标宋" w:eastAsia="方正小标宋简体" w:cs="文星标宋"/>
          <w:sz w:val="32"/>
          <w:szCs w:val="32"/>
        </w:rPr>
      </w:pPr>
      <w:r>
        <w:rPr>
          <w:rFonts w:hint="eastAsia" w:ascii="方正小标宋简体" w:hAnsi="黑体" w:eastAsia="方正小标宋简体" w:cs="仿宋_GB2312"/>
          <w:sz w:val="44"/>
          <w:szCs w:val="44"/>
        </w:rPr>
        <w:t>2020年度行政执法数据统计表</w:t>
      </w: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lang w:val="en-US" w:eastAsia="zh-CN"/>
        </w:rPr>
        <w:t>博山区统计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年度行政处罚情况统计表</w:t>
      </w:r>
    </w:p>
    <w:tbl>
      <w:tblPr>
        <w:tblStyle w:val="3"/>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44" w:type="dxa"/>
            <w:vMerge w:val="restart"/>
            <w:noWrap w:val="0"/>
            <w:vAlign w:val="center"/>
          </w:tcPr>
          <w:p>
            <w:pPr>
              <w:spacing w:line="480" w:lineRule="exact"/>
              <w:jc w:val="center"/>
            </w:pPr>
            <w:r>
              <w:rPr>
                <w:rFonts w:hint="eastAsia" w:ascii="黑体" w:hAnsi="黑体" w:eastAsia="黑体" w:cs="黑体"/>
                <w:sz w:val="28"/>
                <w:szCs w:val="28"/>
              </w:rPr>
              <w:t>单位名称</w:t>
            </w:r>
          </w:p>
        </w:tc>
        <w:tc>
          <w:tcPr>
            <w:tcW w:w="9072" w:type="dxa"/>
            <w:gridSpan w:val="13"/>
            <w:noWrap w:val="0"/>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行政处罚实施数量</w:t>
            </w:r>
          </w:p>
        </w:tc>
        <w:tc>
          <w:tcPr>
            <w:tcW w:w="2835" w:type="dxa"/>
            <w:gridSpan w:val="4"/>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被行政复议应诉数量</w:t>
            </w:r>
          </w:p>
        </w:tc>
        <w:tc>
          <w:tcPr>
            <w:tcW w:w="851" w:type="dxa"/>
            <w:vMerge w:val="restart"/>
            <w:noWrap w:val="0"/>
            <w:vAlign w:val="center"/>
          </w:tcPr>
          <w:p>
            <w:pPr>
              <w:spacing w:line="320" w:lineRule="exact"/>
              <w:jc w:val="center"/>
              <w:rPr>
                <w:rFonts w:hint="eastAsia"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044" w:type="dxa"/>
            <w:vMerge w:val="continue"/>
            <w:noWrap w:val="0"/>
            <w:vAlign w:val="top"/>
          </w:tcPr>
          <w:p>
            <w:pPr>
              <w:spacing w:line="480" w:lineRule="exact"/>
              <w:jc w:val="center"/>
            </w:pPr>
          </w:p>
        </w:tc>
        <w:tc>
          <w:tcPr>
            <w:tcW w:w="567"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立案数量</w:t>
            </w:r>
          </w:p>
        </w:tc>
        <w:tc>
          <w:tcPr>
            <w:tcW w:w="567"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结案数量</w:t>
            </w:r>
          </w:p>
        </w:tc>
        <w:tc>
          <w:tcPr>
            <w:tcW w:w="567"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警告</w:t>
            </w:r>
          </w:p>
        </w:tc>
        <w:tc>
          <w:tcPr>
            <w:tcW w:w="567"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罚款</w:t>
            </w:r>
          </w:p>
        </w:tc>
        <w:tc>
          <w:tcPr>
            <w:tcW w:w="850" w:type="dxa"/>
            <w:noWrap w:val="0"/>
            <w:vAlign w:val="center"/>
          </w:tcPr>
          <w:p>
            <w:pPr>
              <w:spacing w:line="200" w:lineRule="exact"/>
              <w:jc w:val="center"/>
              <w:rPr>
                <w:rFonts w:hint="eastAsia" w:ascii="黑体" w:hAnsi="黑体" w:eastAsia="黑体" w:cs="黑体"/>
              </w:rPr>
            </w:pPr>
            <w:r>
              <w:rPr>
                <w:rFonts w:hint="eastAsia" w:ascii="黑体" w:hAnsi="黑体" w:eastAsia="黑体" w:cs="黑体"/>
                <w:spacing w:val="-11"/>
              </w:rPr>
              <w:t>没收违法所得、没收非法财物</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暂扣许可证、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责令停产停业</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吊销许可证、</w:t>
            </w:r>
          </w:p>
          <w:p>
            <w:pPr>
              <w:spacing w:line="240" w:lineRule="exact"/>
              <w:jc w:val="center"/>
              <w:rPr>
                <w:rFonts w:hint="eastAsia" w:ascii="黑体" w:hAnsi="黑体" w:eastAsia="黑体" w:cs="黑体"/>
              </w:rPr>
            </w:pPr>
            <w:r>
              <w:rPr>
                <w:rFonts w:hint="eastAsia" w:ascii="黑体" w:hAnsi="黑体" w:eastAsia="黑体" w:cs="黑体"/>
              </w:rPr>
              <w:t>执照</w:t>
            </w:r>
          </w:p>
        </w:tc>
        <w:tc>
          <w:tcPr>
            <w:tcW w:w="708"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行政</w:t>
            </w:r>
          </w:p>
          <w:p>
            <w:pPr>
              <w:spacing w:line="240" w:lineRule="exact"/>
              <w:jc w:val="center"/>
              <w:rPr>
                <w:rFonts w:hint="eastAsia" w:ascii="黑体" w:hAnsi="黑体" w:eastAsia="黑体" w:cs="黑体"/>
              </w:rPr>
            </w:pPr>
            <w:r>
              <w:rPr>
                <w:rFonts w:hint="eastAsia" w:ascii="黑体" w:hAnsi="黑体" w:eastAsia="黑体" w:cs="黑体"/>
              </w:rPr>
              <w:t>拘留</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其他行政处罚</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罚没金额</w:t>
            </w:r>
          </w:p>
          <w:p>
            <w:pPr>
              <w:spacing w:line="240" w:lineRule="exact"/>
              <w:jc w:val="center"/>
              <w:rPr>
                <w:rFonts w:hint="eastAsia" w:ascii="黑体" w:hAnsi="黑体" w:eastAsia="黑体" w:cs="黑体"/>
              </w:rPr>
            </w:pPr>
            <w:r>
              <w:rPr>
                <w:rFonts w:hint="eastAsia" w:ascii="黑体" w:hAnsi="黑体" w:eastAsia="黑体" w:cs="黑体"/>
              </w:rPr>
              <w:t>（万元）</w:t>
            </w:r>
          </w:p>
        </w:tc>
        <w:tc>
          <w:tcPr>
            <w:tcW w:w="850"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不予处罚案件数及不罚金额</w:t>
            </w:r>
          </w:p>
        </w:tc>
        <w:tc>
          <w:tcPr>
            <w:tcW w:w="851"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减轻处罚的案件数及减轻金额</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被行政复议数量</w:t>
            </w:r>
          </w:p>
        </w:tc>
        <w:tc>
          <w:tcPr>
            <w:tcW w:w="708"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被行政复议纠错数量</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被行政诉讼数量</w:t>
            </w:r>
          </w:p>
        </w:tc>
        <w:tc>
          <w:tcPr>
            <w:tcW w:w="709" w:type="dxa"/>
            <w:noWrap w:val="0"/>
            <w:vAlign w:val="center"/>
          </w:tcPr>
          <w:p>
            <w:pPr>
              <w:spacing w:line="240" w:lineRule="exact"/>
              <w:jc w:val="center"/>
              <w:rPr>
                <w:rFonts w:hint="eastAsia" w:ascii="黑体" w:hAnsi="黑体" w:eastAsia="黑体" w:cs="黑体"/>
              </w:rPr>
            </w:pPr>
            <w:r>
              <w:rPr>
                <w:rFonts w:hint="eastAsia" w:ascii="黑体" w:hAnsi="黑体" w:eastAsia="黑体" w:cs="黑体"/>
              </w:rPr>
              <w:t>行政诉讼败诉数量</w:t>
            </w:r>
          </w:p>
        </w:tc>
        <w:tc>
          <w:tcPr>
            <w:tcW w:w="851" w:type="dxa"/>
            <w:vMerge w:val="continue"/>
            <w:noWrap w:val="0"/>
            <w:vAlign w:val="center"/>
          </w:tcPr>
          <w:p>
            <w:pPr>
              <w:spacing w:line="240" w:lineRule="exact"/>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4" w:type="dxa"/>
            <w:noWrap w:val="0"/>
            <w:vAlign w:val="center"/>
          </w:tcPr>
          <w:p>
            <w:pPr>
              <w:spacing w:line="320" w:lineRule="exact"/>
              <w:jc w:val="center"/>
            </w:pPr>
            <w:r>
              <w:rPr>
                <w:rFonts w:hint="eastAsia" w:ascii="仿宋_GB2312" w:hAnsi="仿宋_GB2312" w:eastAsia="仿宋_GB2312" w:cs="仿宋_GB2312"/>
                <w:sz w:val="28"/>
                <w:szCs w:val="28"/>
                <w:lang w:val="en-US" w:eastAsia="zh-CN"/>
              </w:rPr>
              <w:t>博山区统计</w:t>
            </w:r>
            <w:r>
              <w:rPr>
                <w:rFonts w:hint="eastAsia" w:ascii="仿宋_GB2312" w:hAnsi="仿宋_GB2312" w:eastAsia="仿宋_GB2312" w:cs="仿宋_GB2312"/>
                <w:sz w:val="28"/>
                <w:szCs w:val="28"/>
              </w:rPr>
              <w:t>局</w:t>
            </w:r>
          </w:p>
        </w:tc>
        <w:tc>
          <w:tcPr>
            <w:tcW w:w="567" w:type="dxa"/>
            <w:noWrap w:val="0"/>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bookmarkStart w:id="0" w:name="_GoBack"/>
            <w:bookmarkEnd w:id="0"/>
          </w:p>
        </w:tc>
        <w:tc>
          <w:tcPr>
            <w:tcW w:w="567"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44" w:type="dxa"/>
            <w:noWrap w:val="0"/>
            <w:vAlign w:val="center"/>
          </w:tcPr>
          <w:p>
            <w:pPr>
              <w:spacing w:line="480" w:lineRule="exact"/>
              <w:jc w:val="center"/>
            </w:pPr>
            <w:r>
              <w:rPr>
                <w:rFonts w:hint="eastAsia" w:ascii="黑体" w:hAnsi="黑体" w:eastAsia="黑体" w:cs="黑体"/>
                <w:sz w:val="28"/>
                <w:szCs w:val="28"/>
              </w:rPr>
              <w:t>合计</w:t>
            </w:r>
          </w:p>
        </w:tc>
        <w:tc>
          <w:tcPr>
            <w:tcW w:w="567" w:type="dxa"/>
            <w:noWrap w:val="0"/>
            <w:vAlign w:val="center"/>
          </w:tcPr>
          <w:p>
            <w:pPr>
              <w:spacing w:line="48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480" w:lineRule="exact"/>
              <w:jc w:val="center"/>
              <w:rPr>
                <w:rFonts w:hint="eastAsia" w:ascii="黑体" w:hAnsi="黑体" w:eastAsia="黑体" w:cs="黑体"/>
                <w:sz w:val="28"/>
                <w:szCs w:val="28"/>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567"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0"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8"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709"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c>
          <w:tcPr>
            <w:tcW w:w="851" w:type="dxa"/>
            <w:noWrap w:val="0"/>
            <w:vAlign w:val="center"/>
          </w:tcPr>
          <w:p>
            <w:pPr>
              <w:spacing w:line="480" w:lineRule="exact"/>
              <w:jc w:val="center"/>
              <w:rPr>
                <w:rFonts w:hint="eastAsia" w:ascii="文星标宋" w:hAnsi="文星标宋" w:eastAsia="文星标宋" w:cs="文星标宋"/>
                <w:sz w:val="44"/>
                <w:szCs w:val="44"/>
              </w:rPr>
            </w:pPr>
            <w:r>
              <w:rPr>
                <w:rFonts w:hint="eastAsia" w:ascii="仿宋_GB2312" w:hAnsi="仿宋_GB2312" w:eastAsia="仿宋_GB2312" w:cs="仿宋_GB2312"/>
                <w:sz w:val="28"/>
                <w:szCs w:val="28"/>
                <w:lang w:val="en-US" w:eastAsia="zh-CN"/>
              </w:rPr>
              <w:t>0</w:t>
            </w:r>
          </w:p>
        </w:tc>
      </w:tr>
    </w:tbl>
    <w:p>
      <w:pPr>
        <w:spacing w:line="260" w:lineRule="exact"/>
        <w:ind w:left="1050" w:hanging="1050" w:hangingChars="500"/>
        <w:jc w:val="left"/>
        <w:rPr>
          <w:rFonts w:hint="eastAsia"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w:t>
      </w:r>
      <w:r>
        <w:rPr>
          <w:rFonts w:hint="eastAsia" w:ascii="仿宋_GB2312" w:hAnsi="仿宋_GB2312" w:eastAsia="仿宋_GB2312" w:cs="仿宋_GB2312"/>
          <w:color w:val="FF0000"/>
        </w:rPr>
        <w:t>1月1日至12月31日</w:t>
      </w:r>
      <w:r>
        <w:rPr>
          <w:rFonts w:hint="eastAsia" w:ascii="仿宋_GB2312" w:hAnsi="仿宋_GB2312" w:eastAsia="仿宋_GB2312" w:cs="仿宋_GB2312"/>
        </w:rPr>
        <w:t>。</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hint="eastAsia" w:ascii="仿宋_GB2312" w:hAnsi="仿宋_GB2312" w:eastAsia="仿宋_GB2312" w:cs="仿宋_GB2312"/>
        </w:rPr>
      </w:pPr>
      <w:r>
        <w:rPr>
          <w:rFonts w:hint="eastAsia" w:ascii="仿宋_GB2312" w:hAnsi="仿宋_GB2312" w:eastAsia="仿宋_GB2312" w:cs="仿宋_GB2312"/>
        </w:rPr>
        <w:t>6.“罚没金额”以处罚决定书确定的金额为准。</w:t>
      </w:r>
    </w:p>
    <w:p>
      <w:pPr>
        <w:spacing w:line="260" w:lineRule="exact"/>
        <w:ind w:firstLine="1050" w:firstLineChars="500"/>
        <w:jc w:val="left"/>
        <w:rPr>
          <w:rFonts w:hint="eastAsia" w:ascii="仿宋_GB2312" w:hAnsi="仿宋_GB2312" w:eastAsia="仿宋_GB2312" w:cs="仿宋_GB2312"/>
          <w:sz w:val="24"/>
        </w:rPr>
      </w:pPr>
      <w:r>
        <w:rPr>
          <w:rFonts w:hint="eastAsia" w:ascii="仿宋_GB2312" w:hAnsi="仿宋_GB2312" w:eastAsia="仿宋_GB2312" w:cs="仿宋_GB2312"/>
        </w:rPr>
        <w:t>7.不予处罚、减轻处罚案件情况统计范围为</w:t>
      </w:r>
      <w:r>
        <w:rPr>
          <w:rFonts w:hint="eastAsia" w:ascii="仿宋_GB2312" w:hAnsi="仿宋_GB2312" w:eastAsia="仿宋_GB2312" w:cs="仿宋_GB2312"/>
          <w:color w:val="FF0000"/>
        </w:rPr>
        <w:t>6月1日至12月31日</w:t>
      </w:r>
      <w:r>
        <w:rPr>
          <w:rFonts w:hint="eastAsia" w:ascii="仿宋_GB2312" w:hAnsi="仿宋_GB2312" w:eastAsia="仿宋_GB2312" w:cs="仿宋_GB2312"/>
        </w:rPr>
        <w:t>，以进入处罚立案程序的案件为准，不属于本次公开的范围。</w:t>
      </w:r>
    </w:p>
    <w:p>
      <w:pPr>
        <w:spacing w:line="480" w:lineRule="exact"/>
        <w:jc w:val="center"/>
        <w:rPr>
          <w:rFonts w:hint="eastAsia"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r>
        <w:rPr>
          <w:rFonts w:hint="eastAsia" w:ascii="方正小标宋简体" w:hAnsi="文星标宋" w:eastAsia="方正小标宋简体" w:cs="文星标宋"/>
          <w:sz w:val="32"/>
          <w:szCs w:val="32"/>
          <w:lang w:val="en-US" w:eastAsia="zh-CN"/>
        </w:rPr>
        <w:t>博山区统计</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val="en-US" w:eastAsia="zh-CN"/>
        </w:rPr>
        <w:t>2020</w:t>
      </w:r>
      <w:r>
        <w:rPr>
          <w:rFonts w:hint="eastAsia" w:ascii="方正小标宋简体" w:hAnsi="文星标宋" w:eastAsia="方正小标宋简体" w:cs="文星标宋"/>
          <w:sz w:val="32"/>
          <w:szCs w:val="32"/>
        </w:rPr>
        <w:t>年度行政检查情况统计表</w:t>
      </w:r>
    </w:p>
    <w:p>
      <w:pPr>
        <w:spacing w:line="480" w:lineRule="exact"/>
        <w:rPr>
          <w:rFonts w:hint="eastAsia" w:ascii="仿宋_GB2312" w:hAnsi="仿宋_GB2312" w:eastAsia="仿宋_GB2312" w:cs="仿宋_GB2312"/>
          <w:sz w:val="24"/>
        </w:rPr>
      </w:pPr>
    </w:p>
    <w:tbl>
      <w:tblPr>
        <w:tblStyle w:val="3"/>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top"/>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单位名称</w:t>
            </w:r>
          </w:p>
        </w:tc>
        <w:tc>
          <w:tcPr>
            <w:tcW w:w="6199" w:type="dxa"/>
            <w:noWrap w:val="0"/>
            <w:vAlign w:val="top"/>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8"/>
                <w:szCs w:val="28"/>
                <w:lang w:val="en-US" w:eastAsia="zh-CN"/>
              </w:rPr>
              <w:t>博山区统计</w:t>
            </w:r>
            <w:r>
              <w:rPr>
                <w:rFonts w:hint="eastAsia" w:ascii="仿宋_GB2312" w:hAnsi="仿宋_GB2312" w:eastAsia="仿宋_GB2312" w:cs="仿宋_GB2312"/>
                <w:sz w:val="28"/>
                <w:szCs w:val="28"/>
              </w:rPr>
              <w:t>局</w:t>
            </w:r>
          </w:p>
        </w:tc>
        <w:tc>
          <w:tcPr>
            <w:tcW w:w="6199" w:type="dxa"/>
            <w:noWrap w:val="0"/>
            <w:vAlign w:val="top"/>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noWrap w:val="0"/>
            <w:vAlign w:val="center"/>
          </w:tcPr>
          <w:p>
            <w:pPr>
              <w:spacing w:line="480" w:lineRule="exact"/>
              <w:jc w:val="center"/>
              <w:rPr>
                <w:rFonts w:hint="eastAsia" w:ascii="仿宋_GB2312" w:hAnsi="仿宋_GB2312" w:eastAsia="仿宋_GB2312" w:cs="仿宋_GB2312"/>
                <w:sz w:val="24"/>
              </w:rPr>
            </w:pPr>
            <w:r>
              <w:rPr>
                <w:rFonts w:hint="eastAsia" w:ascii="黑体" w:hAnsi="黑体" w:eastAsia="黑体" w:cs="黑体"/>
                <w:sz w:val="28"/>
                <w:szCs w:val="28"/>
              </w:rPr>
              <w:t>合计</w:t>
            </w:r>
          </w:p>
        </w:tc>
        <w:tc>
          <w:tcPr>
            <w:tcW w:w="6199" w:type="dxa"/>
            <w:noWrap w:val="0"/>
            <w:vAlign w:val="top"/>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r>
    </w:tbl>
    <w:p>
      <w:pPr>
        <w:spacing w:line="320" w:lineRule="exact"/>
        <w:rPr>
          <w:rFonts w:hint="eastAsia"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hint="eastAsia"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hint="eastAsia" w:ascii="方正小标宋简体" w:hAnsi="仿宋" w:eastAsia="方正小标宋简体" w:cs="仿宋_GB2312"/>
          <w:bCs/>
          <w:sz w:val="44"/>
          <w:szCs w:val="44"/>
        </w:rPr>
      </w:pPr>
    </w:p>
    <w:p/>
    <w:sectPr>
      <w:pgSz w:w="16838" w:h="11906" w:orient="landscape"/>
      <w:pgMar w:top="1587" w:right="2098" w:bottom="1474" w:left="1985" w:header="851" w:footer="992" w:gutter="0"/>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A648B"/>
    <w:rsid w:val="328A648B"/>
    <w:rsid w:val="5FC7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2021-01-11T06:38:00Z</dcterms:created>
  <dc:creator>WPS_1453359506</dc:creator>
  <cp:lastModifiedBy>WPS_1453359506</cp:lastModifiedBy>
  <cp:lastPrinted>2021-01-11T06:50:21Z</cp:lastPrinted>
  <dcterms:modified xsi:type="dcterms:W3CDTF">2021-01-11T07:08:02Z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