
<file path=[Content_Types].xml><?xml version="1.0" encoding="utf-8"?>
<Types xmlns="http://schemas.openxmlformats.org/package/2006/content-types">
  <Default Extension="xml" ContentType="application/xml"/>
  <Default Extension="emf" ContentType="image/x-emf"/>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560"/>
        <w:rPr>
          <w:rFonts w:ascii="Times New Roman" w:hAnsi="Times New Roman"/>
        </w:rPr>
      </w:pPr>
    </w:p>
    <w:p>
      <w:pPr>
        <w:ind w:firstLine="0" w:firstLineChars="0"/>
        <w:rPr>
          <w:rFonts w:ascii="Times New Roman" w:hAnsi="Times New Roman"/>
        </w:rPr>
      </w:pPr>
      <w:r>
        <w:rPr>
          <w:rFonts w:hint="eastAsia" w:ascii="Times New Roman" w:hAnsi="Times New Roman"/>
        </w:rPr>
        <w:t xml:space="preserve"> </w:t>
      </w:r>
      <w:r>
        <w:rPr>
          <w:rFonts w:ascii="Times New Roman" w:hAnsi="Times New Roman"/>
        </w:rPr>
        <w:t xml:space="preserve">   </w:t>
      </w:r>
    </w:p>
    <w:p>
      <w:pPr>
        <w:ind w:firstLine="0" w:firstLineChars="0"/>
        <w:jc w:val="center"/>
        <w:rPr>
          <w:rFonts w:ascii="Times New Roman" w:hAnsi="Times New Roman" w:eastAsia="黑体"/>
          <w:b/>
          <w:sz w:val="44"/>
        </w:rPr>
      </w:pPr>
      <w:r>
        <w:rPr>
          <w:rFonts w:hint="eastAsia" w:ascii="Times New Roman" w:hAnsi="Times New Roman" w:eastAsia="黑体"/>
          <w:b/>
          <w:sz w:val="44"/>
        </w:rPr>
        <w:t>谢家店饮用</w:t>
      </w:r>
      <w:r>
        <w:rPr>
          <w:rFonts w:ascii="Times New Roman" w:hAnsi="Times New Roman" w:eastAsia="黑体"/>
          <w:b/>
          <w:sz w:val="44"/>
        </w:rPr>
        <w:t>水水源保护区划分技术报告</w:t>
      </w:r>
    </w:p>
    <w:p>
      <w:pPr>
        <w:ind w:firstLine="0" w:firstLineChars="0"/>
        <w:rPr>
          <w:rFonts w:ascii="Times New Roman" w:hAnsi="Times New Roman" w:eastAsia="黑体"/>
          <w:b/>
          <w:sz w:val="44"/>
        </w:rPr>
      </w:pPr>
    </w:p>
    <w:p>
      <w:pPr>
        <w:ind w:firstLine="560"/>
        <w:rPr>
          <w:rFonts w:ascii="Times New Roman" w:hAnsi="Times New Roman"/>
        </w:rPr>
      </w:pPr>
    </w:p>
    <w:p>
      <w:pPr>
        <w:ind w:firstLine="560"/>
        <w:rPr>
          <w:rFonts w:ascii="Times New Roman" w:hAnsi="Times New Roman"/>
        </w:rPr>
      </w:pPr>
    </w:p>
    <w:p>
      <w:pPr>
        <w:ind w:firstLine="560"/>
        <w:rPr>
          <w:rFonts w:ascii="Times New Roman" w:hAnsi="Times New Roman"/>
        </w:rPr>
      </w:pPr>
    </w:p>
    <w:p>
      <w:pPr>
        <w:ind w:firstLine="560"/>
        <w:rPr>
          <w:rFonts w:ascii="Times New Roman" w:hAnsi="Times New Roman"/>
        </w:rPr>
      </w:pPr>
    </w:p>
    <w:p>
      <w:pPr>
        <w:ind w:firstLine="560"/>
        <w:rPr>
          <w:rFonts w:ascii="Times New Roman" w:hAnsi="Times New Roman"/>
        </w:rPr>
      </w:pPr>
    </w:p>
    <w:p>
      <w:pPr>
        <w:ind w:firstLine="560"/>
        <w:rPr>
          <w:rFonts w:ascii="Times New Roman" w:hAnsi="Times New Roman"/>
        </w:rPr>
      </w:pPr>
    </w:p>
    <w:p>
      <w:pPr>
        <w:ind w:firstLine="560"/>
        <w:rPr>
          <w:rFonts w:ascii="Times New Roman" w:hAnsi="Times New Roman"/>
        </w:rPr>
      </w:pPr>
    </w:p>
    <w:p>
      <w:pPr>
        <w:ind w:firstLine="560"/>
        <w:rPr>
          <w:rFonts w:ascii="Times New Roman" w:hAnsi="Times New Roman"/>
        </w:rPr>
      </w:pPr>
    </w:p>
    <w:p>
      <w:pPr>
        <w:ind w:firstLine="560"/>
        <w:rPr>
          <w:rFonts w:ascii="Times New Roman" w:hAnsi="Times New Roman"/>
        </w:rPr>
      </w:pPr>
    </w:p>
    <w:p>
      <w:pPr>
        <w:ind w:firstLine="560"/>
        <w:rPr>
          <w:rFonts w:ascii="Times New Roman" w:hAnsi="Times New Roman"/>
        </w:rPr>
      </w:pPr>
    </w:p>
    <w:p>
      <w:pPr>
        <w:ind w:firstLine="560"/>
        <w:rPr>
          <w:rFonts w:ascii="Times New Roman" w:hAnsi="Times New Roman"/>
        </w:rPr>
      </w:pPr>
    </w:p>
    <w:p>
      <w:pPr>
        <w:ind w:firstLine="560"/>
        <w:rPr>
          <w:rFonts w:ascii="Times New Roman" w:hAnsi="Times New Roman"/>
        </w:rPr>
      </w:pPr>
    </w:p>
    <w:p>
      <w:pPr>
        <w:ind w:firstLine="560"/>
        <w:rPr>
          <w:rFonts w:ascii="Times New Roman" w:hAnsi="Times New Roman"/>
          <w:color w:val="FF0000"/>
        </w:rPr>
      </w:pPr>
    </w:p>
    <w:p>
      <w:pPr>
        <w:ind w:firstLine="0" w:firstLineChars="0"/>
        <w:jc w:val="center"/>
        <w:rPr>
          <w:rFonts w:ascii="Times New Roman" w:hAnsi="Times New Roman" w:eastAsia="黑体"/>
          <w:color w:val="FF0000"/>
          <w:sz w:val="36"/>
        </w:rPr>
      </w:pPr>
      <w:r>
        <w:rPr>
          <w:rFonts w:hint="eastAsia" w:ascii="Times New Roman" w:hAnsi="Times New Roman" w:eastAsia="黑体"/>
          <w:color w:val="FF0000"/>
          <w:sz w:val="36"/>
        </w:rPr>
        <w:t>淄博市生态环境局博山分局</w:t>
      </w:r>
    </w:p>
    <w:p>
      <w:pPr>
        <w:ind w:firstLine="0" w:firstLineChars="0"/>
        <w:jc w:val="center"/>
        <w:rPr>
          <w:rFonts w:ascii="Times New Roman" w:hAnsi="Times New Roman" w:eastAsia="黑体"/>
          <w:sz w:val="36"/>
        </w:rPr>
      </w:pPr>
      <w:r>
        <w:rPr>
          <w:rFonts w:hint="eastAsia" w:ascii="Times New Roman" w:hAnsi="Times New Roman" w:eastAsia="黑体"/>
          <w:sz w:val="36"/>
        </w:rPr>
        <w:t>山东省生态环境规划研究院</w:t>
      </w:r>
    </w:p>
    <w:p>
      <w:pPr>
        <w:ind w:firstLine="0" w:firstLineChars="0"/>
        <w:jc w:val="center"/>
        <w:rPr>
          <w:rFonts w:ascii="Times New Roman" w:hAnsi="Times New Roman" w:eastAsia="黑体"/>
          <w:sz w:val="32"/>
        </w:rPr>
      </w:pPr>
      <w:r>
        <w:rPr>
          <w:rFonts w:ascii="Times New Roman" w:hAnsi="Times New Roman" w:eastAsia="黑体"/>
          <w:sz w:val="32"/>
        </w:rPr>
        <w:t>20</w:t>
      </w:r>
      <w:r>
        <w:rPr>
          <w:rFonts w:hint="eastAsia" w:ascii="Times New Roman" w:hAnsi="Times New Roman" w:eastAsia="黑体"/>
          <w:sz w:val="32"/>
        </w:rPr>
        <w:t>20</w:t>
      </w:r>
      <w:r>
        <w:rPr>
          <w:rFonts w:ascii="Times New Roman" w:hAnsi="Times New Roman" w:eastAsia="黑体"/>
          <w:sz w:val="32"/>
        </w:rPr>
        <w:t>年</w:t>
      </w:r>
      <w:r>
        <w:rPr>
          <w:rFonts w:hint="eastAsia" w:ascii="Times New Roman" w:hAnsi="Times New Roman" w:eastAsia="黑体"/>
          <w:sz w:val="32"/>
          <w:lang w:val="en-US" w:eastAsia="zh-CN"/>
        </w:rPr>
        <w:t>3</w:t>
      </w:r>
      <w:r>
        <w:rPr>
          <w:rFonts w:ascii="Times New Roman" w:hAnsi="Times New Roman" w:eastAsia="黑体"/>
          <w:sz w:val="32"/>
        </w:rPr>
        <w:t>月</w:t>
      </w:r>
    </w:p>
    <w:p>
      <w:pPr>
        <w:ind w:firstLine="560"/>
        <w:rPr>
          <w:rFonts w:ascii="Times New Roman" w:hAnsi="Times New Roman"/>
        </w:rPr>
      </w:pPr>
    </w:p>
    <w:p>
      <w:pPr>
        <w:ind w:firstLine="560"/>
        <w:rPr>
          <w:rFonts w:ascii="Times New Roman" w:hAnsi="Times New Roman"/>
        </w:rPr>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cols w:space="425" w:num="1"/>
          <w:docGrid w:type="lines" w:linePitch="312" w:charSpace="0"/>
        </w:sectPr>
      </w:pPr>
    </w:p>
    <w:p>
      <w:pPr>
        <w:widowControl/>
        <w:spacing w:line="240" w:lineRule="auto"/>
        <w:ind w:firstLine="720"/>
        <w:jc w:val="center"/>
        <w:rPr>
          <w:rFonts w:ascii="Times New Roman" w:hAnsi="Times New Roman" w:eastAsia="黑体"/>
          <w:sz w:val="40"/>
          <w:lang w:val="zh-CN"/>
        </w:rPr>
      </w:pPr>
      <w:r>
        <w:rPr>
          <w:rFonts w:ascii="Times New Roman" w:hAnsi="Times New Roman" w:eastAsia="黑体"/>
          <w:sz w:val="36"/>
          <w:lang w:val="zh-CN"/>
        </w:rPr>
        <w:t>目 录</w:t>
      </w:r>
    </w:p>
    <w:sdt>
      <w:sdtPr>
        <w:rPr>
          <w:rFonts w:ascii="Calibri" w:hAnsi="Calibri" w:eastAsia="宋体"/>
          <w:spacing w:val="0"/>
          <w:sz w:val="28"/>
          <w:szCs w:val="28"/>
          <w:lang w:val="zh-CN"/>
        </w:rPr>
        <w:id w:val="1211295865"/>
        <w:docPartObj>
          <w:docPartGallery w:val="Table of Contents"/>
          <w:docPartUnique/>
        </w:docPartObj>
      </w:sdtPr>
      <w:sdtEndPr>
        <w:rPr>
          <w:rFonts w:ascii="Times New Roman" w:hAnsi="Times New Roman" w:eastAsia="仿宋_GB2312"/>
          <w:b/>
          <w:bCs/>
          <w:spacing w:val="0"/>
          <w:sz w:val="28"/>
          <w:szCs w:val="22"/>
          <w:lang w:val="zh-CN"/>
        </w:rPr>
      </w:sdtEndPr>
      <w:sdtContent>
        <w:p>
          <w:pPr>
            <w:pStyle w:val="11"/>
            <w:rPr>
              <w:rFonts w:asciiTheme="minorHAnsi" w:hAnsiTheme="minorHAnsi" w:eastAsiaTheme="minorEastAsia" w:cstheme="minorBidi"/>
              <w:spacing w:val="0"/>
              <w:sz w:val="21"/>
              <w:szCs w:val="22"/>
            </w:rPr>
          </w:pPr>
          <w:r>
            <w:rPr>
              <w:rFonts w:eastAsia="宋体"/>
              <w:sz w:val="28"/>
              <w:szCs w:val="28"/>
            </w:rPr>
            <w:fldChar w:fldCharType="begin"/>
          </w:r>
          <w:r>
            <w:rPr>
              <w:rFonts w:eastAsia="宋体"/>
              <w:sz w:val="28"/>
              <w:szCs w:val="28"/>
            </w:rPr>
            <w:instrText xml:space="preserve"> TOC \o "1-3" \h \z \u </w:instrText>
          </w:r>
          <w:r>
            <w:rPr>
              <w:rFonts w:eastAsia="宋体"/>
              <w:sz w:val="28"/>
              <w:szCs w:val="28"/>
            </w:rPr>
            <w:fldChar w:fldCharType="separate"/>
          </w:r>
          <w:r>
            <w:rPr>
              <w:rStyle w:val="18"/>
            </w:rPr>
            <w:fldChar w:fldCharType="begin"/>
          </w:r>
          <w:r>
            <w:rPr>
              <w:rStyle w:val="18"/>
            </w:rPr>
            <w:instrText xml:space="preserve"> </w:instrText>
          </w:r>
          <w:r>
            <w:instrText xml:space="preserve">HYPERLINK \l "_Toc35526433"</w:instrText>
          </w:r>
          <w:r>
            <w:rPr>
              <w:rStyle w:val="18"/>
            </w:rPr>
            <w:instrText xml:space="preserve"> </w:instrText>
          </w:r>
          <w:r>
            <w:rPr>
              <w:rStyle w:val="18"/>
            </w:rPr>
            <w:fldChar w:fldCharType="separate"/>
          </w:r>
          <w:r>
            <w:rPr>
              <w:rStyle w:val="18"/>
              <w:rFonts w:hAnsi="Times New Roman" w:eastAsia="宋体"/>
              <w:lang w:val="zh-CN" w:eastAsia="zh-CN"/>
            </w:rPr>
            <w:t>第1章</w:t>
          </w:r>
          <w:r>
            <w:rPr>
              <w:rStyle w:val="18"/>
              <w:rFonts w:hAnsi="Times New Roman" w:eastAsia="宋体"/>
              <w:lang w:val="zh-CN"/>
            </w:rPr>
            <w:t xml:space="preserve"> 总则</w:t>
          </w:r>
          <w:r>
            <w:tab/>
          </w:r>
          <w:r>
            <w:fldChar w:fldCharType="begin"/>
          </w:r>
          <w:r>
            <w:instrText xml:space="preserve"> PAGEREF _Toc35526433 \h </w:instrText>
          </w:r>
          <w:r>
            <w:fldChar w:fldCharType="separate"/>
          </w:r>
          <w:r>
            <w:t>1</w:t>
          </w:r>
          <w:r>
            <w:fldChar w:fldCharType="end"/>
          </w:r>
          <w:r>
            <w:rPr>
              <w:rStyle w:val="18"/>
            </w:rP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"_Toc35526434" </w:instrText>
          </w:r>
          <w:r>
            <w:fldChar w:fldCharType="separate"/>
          </w:r>
          <w:r>
            <w:rPr>
              <w:rStyle w:val="18"/>
            </w:rPr>
            <w:t>1.1 划分目的</w:t>
          </w:r>
          <w:r>
            <w:tab/>
          </w:r>
          <w:r>
            <w:fldChar w:fldCharType="begin"/>
          </w:r>
          <w:r>
            <w:instrText xml:space="preserve"> PAGEREF _Toc35526434 \h </w:instrText>
          </w:r>
          <w:r>
            <w:fldChar w:fldCharType="separate"/>
          </w:r>
          <w:r>
            <w:t>1</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"_Toc35526435" </w:instrText>
          </w:r>
          <w:r>
            <w:fldChar w:fldCharType="separate"/>
          </w:r>
          <w:r>
            <w:rPr>
              <w:rStyle w:val="18"/>
            </w:rPr>
            <w:t>1.2 划分依据</w:t>
          </w:r>
          <w:r>
            <w:tab/>
          </w:r>
          <w:r>
            <w:fldChar w:fldCharType="begin"/>
          </w:r>
          <w:r>
            <w:instrText xml:space="preserve"> PAGEREF _Toc35526435 \h </w:instrText>
          </w:r>
          <w:r>
            <w:fldChar w:fldCharType="separate"/>
          </w:r>
          <w:r>
            <w:t>3</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"_Toc35526436" </w:instrText>
          </w:r>
          <w:r>
            <w:fldChar w:fldCharType="separate"/>
          </w:r>
          <w:r>
            <w:rPr>
              <w:rStyle w:val="18"/>
            </w:rPr>
            <w:t>1.2.1 相关法律法规</w:t>
          </w:r>
          <w:r>
            <w:tab/>
          </w:r>
          <w:r>
            <w:fldChar w:fldCharType="begin"/>
          </w:r>
          <w:r>
            <w:instrText xml:space="preserve"> PAGEREF _Toc35526436 \h </w:instrText>
          </w:r>
          <w:r>
            <w:fldChar w:fldCharType="separate"/>
          </w:r>
          <w:r>
            <w:t>3</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"_Toc35526437" </w:instrText>
          </w:r>
          <w:r>
            <w:fldChar w:fldCharType="separate"/>
          </w:r>
          <w:r>
            <w:rPr>
              <w:rStyle w:val="18"/>
            </w:rPr>
            <w:t>1.2.2 相关标准、规范</w:t>
          </w:r>
          <w:r>
            <w:tab/>
          </w:r>
          <w:r>
            <w:fldChar w:fldCharType="begin"/>
          </w:r>
          <w:r>
            <w:instrText xml:space="preserve"> PAGEREF _Toc35526437 \h </w:instrText>
          </w:r>
          <w:r>
            <w:fldChar w:fldCharType="separate"/>
          </w:r>
          <w:r>
            <w:t>4</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"_Toc35526438" </w:instrText>
          </w:r>
          <w:r>
            <w:fldChar w:fldCharType="separate"/>
          </w:r>
          <w:r>
            <w:rPr>
              <w:rStyle w:val="18"/>
            </w:rPr>
            <w:t>1.2.3 相关规划</w:t>
          </w:r>
          <w:r>
            <w:tab/>
          </w:r>
          <w:r>
            <w:fldChar w:fldCharType="begin"/>
          </w:r>
          <w:r>
            <w:instrText xml:space="preserve"> PAGEREF _Toc35526438 \h </w:instrText>
          </w:r>
          <w:r>
            <w:fldChar w:fldCharType="separate"/>
          </w:r>
          <w:r>
            <w:t>5</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"_Toc35526439" </w:instrText>
          </w:r>
          <w:r>
            <w:fldChar w:fldCharType="separate"/>
          </w:r>
          <w:r>
            <w:rPr>
              <w:rStyle w:val="18"/>
            </w:rPr>
            <w:t>1.2.4 相关技术资料</w:t>
          </w:r>
          <w:r>
            <w:tab/>
          </w:r>
          <w:r>
            <w:fldChar w:fldCharType="begin"/>
          </w:r>
          <w:r>
            <w:instrText xml:space="preserve"> PAGEREF _Toc35526439 \h </w:instrText>
          </w:r>
          <w:r>
            <w:fldChar w:fldCharType="separate"/>
          </w:r>
          <w:r>
            <w:t>5</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"_Toc35526440" </w:instrText>
          </w:r>
          <w:r>
            <w:fldChar w:fldCharType="separate"/>
          </w:r>
          <w:r>
            <w:rPr>
              <w:rStyle w:val="18"/>
            </w:rPr>
            <w:t>1.3 技术路线</w:t>
          </w:r>
          <w:r>
            <w:tab/>
          </w:r>
          <w:r>
            <w:fldChar w:fldCharType="begin"/>
          </w:r>
          <w:r>
            <w:instrText xml:space="preserve"> PAGEREF _Toc35526440 \h </w:instrText>
          </w:r>
          <w:r>
            <w:fldChar w:fldCharType="separate"/>
          </w:r>
          <w:r>
            <w:t>5</w:t>
          </w:r>
          <w:r>
            <w:fldChar w:fldCharType="end"/>
          </w:r>
          <w:r>
            <w:fldChar w:fldCharType="end"/>
          </w:r>
        </w:p>
        <w:p>
          <w:pPr>
            <w:pStyle w:val="11"/>
            <w:rPr>
              <w:rFonts w:asciiTheme="minorHAnsi" w:hAnsiTheme="minorHAnsi" w:eastAsiaTheme="minorEastAsia" w:cstheme="minorBidi"/>
              <w:spacing w:val="0"/>
              <w:sz w:val="21"/>
              <w:szCs w:val="22"/>
            </w:rPr>
          </w:pPr>
          <w:r>
            <w:fldChar w:fldCharType="begin"/>
          </w:r>
          <w:r>
            <w:instrText xml:space="preserve"> HYPERLINK \l "_Toc35526441" </w:instrText>
          </w:r>
          <w:r>
            <w:fldChar w:fldCharType="separate"/>
          </w:r>
          <w:r>
            <w:rPr>
              <w:rStyle w:val="18"/>
              <w:rFonts w:hAnsi="Times New Roman" w:eastAsia="宋体"/>
              <w:lang w:val="zh-CN" w:eastAsia="zh-CN"/>
            </w:rPr>
            <w:t>第2章 淄博市博山区基础</w:t>
          </w:r>
          <w:r>
            <w:rPr>
              <w:rStyle w:val="18"/>
              <w:rFonts w:hAnsi="Times New Roman" w:eastAsia="宋体"/>
              <w:lang w:val="zh-CN"/>
            </w:rPr>
            <w:t>状</w:t>
          </w:r>
          <w:r>
            <w:rPr>
              <w:rStyle w:val="18"/>
              <w:rFonts w:hAnsi="Times New Roman" w:eastAsia="宋体"/>
              <w:lang w:val="zh-CN" w:eastAsia="zh-CN"/>
            </w:rPr>
            <w:t>况</w:t>
          </w:r>
          <w:r>
            <w:tab/>
          </w:r>
          <w:r>
            <w:fldChar w:fldCharType="begin"/>
          </w:r>
          <w:r>
            <w:instrText xml:space="preserve"> PAGEREF _Toc35526441 \h </w:instrText>
          </w:r>
          <w:r>
            <w:fldChar w:fldCharType="separate"/>
          </w:r>
          <w:r>
            <w:t>8</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"_Toc35526442" </w:instrText>
          </w:r>
          <w:r>
            <w:fldChar w:fldCharType="separate"/>
          </w:r>
          <w:r>
            <w:rPr>
              <w:rStyle w:val="18"/>
            </w:rPr>
            <w:t>2.1 自然环境概况</w:t>
          </w:r>
          <w:r>
            <w:tab/>
          </w:r>
          <w:r>
            <w:fldChar w:fldCharType="begin"/>
          </w:r>
          <w:r>
            <w:instrText xml:space="preserve"> PAGEREF _Toc35526442 \h </w:instrText>
          </w:r>
          <w:r>
            <w:fldChar w:fldCharType="separate"/>
          </w:r>
          <w:r>
            <w:t>8</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"_Toc35526443" </w:instrText>
          </w:r>
          <w:r>
            <w:fldChar w:fldCharType="separate"/>
          </w:r>
          <w:r>
            <w:rPr>
              <w:rStyle w:val="18"/>
            </w:rPr>
            <w:t>2.1.1 地理位置和交通</w:t>
          </w:r>
          <w:r>
            <w:tab/>
          </w:r>
          <w:r>
            <w:fldChar w:fldCharType="begin"/>
          </w:r>
          <w:r>
            <w:instrText xml:space="preserve"> PAGEREF _Toc35526443 \h </w:instrText>
          </w:r>
          <w:r>
            <w:fldChar w:fldCharType="separate"/>
          </w:r>
          <w:r>
            <w:t>8</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"_Toc35526444" </w:instrText>
          </w:r>
          <w:r>
            <w:fldChar w:fldCharType="separate"/>
          </w:r>
          <w:r>
            <w:rPr>
              <w:rStyle w:val="18"/>
            </w:rPr>
            <w:t>2.1.1 气候条件</w:t>
          </w:r>
          <w:r>
            <w:tab/>
          </w:r>
          <w:r>
            <w:fldChar w:fldCharType="begin"/>
          </w:r>
          <w:r>
            <w:instrText xml:space="preserve"> PAGEREF _Toc35526444 \h </w:instrText>
          </w:r>
          <w:r>
            <w:fldChar w:fldCharType="separate"/>
          </w:r>
          <w:r>
            <w:t>8</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"_Toc35526445" </w:instrText>
          </w:r>
          <w:r>
            <w:fldChar w:fldCharType="separate"/>
          </w:r>
          <w:r>
            <w:rPr>
              <w:rStyle w:val="18"/>
            </w:rPr>
            <w:t>2.1.2 水资源概况</w:t>
          </w:r>
          <w:bookmarkStart w:id="89" w:name="_GoBack"/>
          <w:bookmarkEnd w:id="89"/>
          <w:r>
            <w:tab/>
          </w:r>
          <w:r>
            <w:fldChar w:fldCharType="begin"/>
          </w:r>
          <w:r>
            <w:instrText xml:space="preserve"> PAGEREF _Toc35526445 \h </w:instrText>
          </w:r>
          <w:r>
            <w:fldChar w:fldCharType="separate"/>
          </w:r>
          <w:r>
            <w:t>9</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"_Toc35526446" </w:instrText>
          </w:r>
          <w:r>
            <w:fldChar w:fldCharType="separate"/>
          </w:r>
          <w:r>
            <w:rPr>
              <w:rStyle w:val="18"/>
            </w:rPr>
            <w:t>2.1.3 地形地貌</w:t>
          </w:r>
          <w:r>
            <w:tab/>
          </w:r>
          <w:r>
            <w:fldChar w:fldCharType="begin"/>
          </w:r>
          <w:r>
            <w:instrText xml:space="preserve"> PAGEREF _Toc35526446 \h </w:instrText>
          </w:r>
          <w:r>
            <w:fldChar w:fldCharType="separate"/>
          </w:r>
          <w:r>
            <w:t>10</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"_Toc35526447" </w:instrText>
          </w:r>
          <w:r>
            <w:fldChar w:fldCharType="separate"/>
          </w:r>
          <w:r>
            <w:rPr>
              <w:rStyle w:val="18"/>
            </w:rPr>
            <w:t>2.1.4 地质概况</w:t>
          </w:r>
          <w:r>
            <w:tab/>
          </w:r>
          <w:r>
            <w:fldChar w:fldCharType="begin"/>
          </w:r>
          <w:r>
            <w:instrText xml:space="preserve"> PAGEREF _Toc35526447 \h </w:instrText>
          </w:r>
          <w:r>
            <w:fldChar w:fldCharType="separate"/>
          </w:r>
          <w:r>
            <w:t>11</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"_Toc35526448" </w:instrText>
          </w:r>
          <w:r>
            <w:fldChar w:fldCharType="separate"/>
          </w:r>
          <w:r>
            <w:rPr>
              <w:rStyle w:val="18"/>
            </w:rPr>
            <w:t>2.1.5 水文地质概况</w:t>
          </w:r>
          <w:r>
            <w:tab/>
          </w:r>
          <w:r>
            <w:fldChar w:fldCharType="begin"/>
          </w:r>
          <w:r>
            <w:instrText xml:space="preserve"> PAGEREF _Toc35526448 \h </w:instrText>
          </w:r>
          <w:r>
            <w:fldChar w:fldCharType="separate"/>
          </w:r>
          <w:r>
            <w:t>14</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"_Toc35526449" </w:instrText>
          </w:r>
          <w:r>
            <w:fldChar w:fldCharType="separate"/>
          </w:r>
          <w:r>
            <w:rPr>
              <w:rStyle w:val="18"/>
            </w:rPr>
            <w:t>2.2 社会经济概况</w:t>
          </w:r>
          <w:r>
            <w:tab/>
          </w:r>
          <w:r>
            <w:fldChar w:fldCharType="begin"/>
          </w:r>
          <w:r>
            <w:instrText xml:space="preserve"> PAGEREF _Toc35526449 \h </w:instrText>
          </w:r>
          <w:r>
            <w:fldChar w:fldCharType="separate"/>
          </w:r>
          <w:r>
            <w:t>15</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"_Toc35526450" </w:instrText>
          </w:r>
          <w:r>
            <w:fldChar w:fldCharType="separate"/>
          </w:r>
          <w:r>
            <w:rPr>
              <w:rStyle w:val="18"/>
            </w:rPr>
            <w:t>2.2.1 行政区域与人口</w:t>
          </w:r>
          <w:r>
            <w:tab/>
          </w:r>
          <w:r>
            <w:fldChar w:fldCharType="begin"/>
          </w:r>
          <w:r>
            <w:instrText xml:space="preserve"> PAGEREF _Toc35526450 \h </w:instrText>
          </w:r>
          <w:r>
            <w:fldChar w:fldCharType="separate"/>
          </w:r>
          <w:r>
            <w:t>15</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"_Toc35526451" </w:instrText>
          </w:r>
          <w:r>
            <w:fldChar w:fldCharType="separate"/>
          </w:r>
          <w:r>
            <w:rPr>
              <w:rStyle w:val="18"/>
            </w:rPr>
            <w:t>2.2.2 经济与产业情况</w:t>
          </w:r>
          <w:r>
            <w:tab/>
          </w:r>
          <w:r>
            <w:fldChar w:fldCharType="begin"/>
          </w:r>
          <w:r>
            <w:instrText xml:space="preserve"> PAGEREF _Toc35526451 \h </w:instrText>
          </w:r>
          <w:r>
            <w:fldChar w:fldCharType="separate"/>
          </w:r>
          <w:r>
            <w:t>16</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"_Toc35526452" </w:instrText>
          </w:r>
          <w:r>
            <w:fldChar w:fldCharType="separate"/>
          </w:r>
          <w:r>
            <w:rPr>
              <w:rStyle w:val="18"/>
            </w:rPr>
            <w:t>2.3 土地利用现状与规划</w:t>
          </w:r>
          <w:r>
            <w:tab/>
          </w:r>
          <w:r>
            <w:fldChar w:fldCharType="begin"/>
          </w:r>
          <w:r>
            <w:instrText xml:space="preserve"> PAGEREF _Toc35526452 \h </w:instrText>
          </w:r>
          <w:r>
            <w:fldChar w:fldCharType="separate"/>
          </w:r>
          <w:r>
            <w:t>16</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"_Toc35526453" </w:instrText>
          </w:r>
          <w:r>
            <w:fldChar w:fldCharType="separate"/>
          </w:r>
          <w:r>
            <w:rPr>
              <w:rStyle w:val="18"/>
            </w:rPr>
            <w:t>2.3.1 土地利用现状</w:t>
          </w:r>
          <w:r>
            <w:tab/>
          </w:r>
          <w:r>
            <w:fldChar w:fldCharType="begin"/>
          </w:r>
          <w:r>
            <w:instrText xml:space="preserve"> PAGEREF _Toc35526453 \h </w:instrText>
          </w:r>
          <w:r>
            <w:fldChar w:fldCharType="separate"/>
          </w:r>
          <w:r>
            <w:t>16</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"_Toc35526454" </w:instrText>
          </w:r>
          <w:r>
            <w:fldChar w:fldCharType="separate"/>
          </w:r>
          <w:r>
            <w:rPr>
              <w:rStyle w:val="18"/>
            </w:rPr>
            <w:t>2.3.2 土地利用规划</w:t>
          </w:r>
          <w:r>
            <w:tab/>
          </w:r>
          <w:r>
            <w:fldChar w:fldCharType="begin"/>
          </w:r>
          <w:r>
            <w:instrText xml:space="preserve"> PAGEREF _Toc35526454 \h </w:instrText>
          </w:r>
          <w:r>
            <w:fldChar w:fldCharType="separate"/>
          </w:r>
          <w:r>
            <w:t>17</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"_Toc35526455" </w:instrText>
          </w:r>
          <w:r>
            <w:fldChar w:fldCharType="separate"/>
          </w:r>
          <w:r>
            <w:rPr>
              <w:rStyle w:val="18"/>
            </w:rPr>
            <w:t>2.4 饮用水源地现状</w:t>
          </w:r>
          <w:r>
            <w:tab/>
          </w:r>
          <w:r>
            <w:fldChar w:fldCharType="begin"/>
          </w:r>
          <w:r>
            <w:instrText xml:space="preserve"> PAGEREF _Toc35526455 \h </w:instrText>
          </w:r>
          <w:r>
            <w:fldChar w:fldCharType="separate"/>
          </w:r>
          <w:r>
            <w:t>19</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"_Toc35526456" </w:instrText>
          </w:r>
          <w:r>
            <w:fldChar w:fldCharType="separate"/>
          </w:r>
          <w:r>
            <w:rPr>
              <w:rStyle w:val="18"/>
            </w:rPr>
            <w:t>2.4.1 饮用水源地及保护区划</w:t>
          </w:r>
          <w:r>
            <w:tab/>
          </w:r>
          <w:r>
            <w:fldChar w:fldCharType="begin"/>
          </w:r>
          <w:r>
            <w:instrText xml:space="preserve"> PAGEREF _Toc35526456 \h </w:instrText>
          </w:r>
          <w:r>
            <w:fldChar w:fldCharType="separate"/>
          </w:r>
          <w:r>
            <w:t>19</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"_Toc35526457" </w:instrText>
          </w:r>
          <w:r>
            <w:fldChar w:fldCharType="separate"/>
          </w:r>
          <w:r>
            <w:rPr>
              <w:rStyle w:val="18"/>
            </w:rPr>
            <w:t>2.4.2 谢家店饮用水源地利用现状</w:t>
          </w:r>
          <w:r>
            <w:tab/>
          </w:r>
          <w:r>
            <w:fldChar w:fldCharType="begin"/>
          </w:r>
          <w:r>
            <w:instrText xml:space="preserve"> PAGEREF _Toc35526457 \h </w:instrText>
          </w:r>
          <w:r>
            <w:fldChar w:fldCharType="separate"/>
          </w:r>
          <w:r>
            <w:t>19</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"_Toc35526458" </w:instrText>
          </w:r>
          <w:r>
            <w:fldChar w:fldCharType="separate"/>
          </w:r>
          <w:r>
            <w:rPr>
              <w:rStyle w:val="18"/>
            </w:rPr>
            <w:t>2.5 谢家店饮用水水源地概况</w:t>
          </w:r>
          <w:r>
            <w:tab/>
          </w:r>
          <w:r>
            <w:fldChar w:fldCharType="begin"/>
          </w:r>
          <w:r>
            <w:instrText xml:space="preserve"> PAGEREF _Toc35526458 \h </w:instrText>
          </w:r>
          <w:r>
            <w:fldChar w:fldCharType="separate"/>
          </w:r>
          <w:r>
            <w:t>20</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"_Toc35526459" </w:instrText>
          </w:r>
          <w:r>
            <w:fldChar w:fldCharType="separate"/>
          </w:r>
          <w:r>
            <w:rPr>
              <w:rStyle w:val="18"/>
            </w:rPr>
            <w:t>2.5.1 水文地质条件</w:t>
          </w:r>
          <w:r>
            <w:tab/>
          </w:r>
          <w:r>
            <w:fldChar w:fldCharType="begin"/>
          </w:r>
          <w:r>
            <w:instrText xml:space="preserve"> PAGEREF _Toc35526459 \h </w:instrText>
          </w:r>
          <w:r>
            <w:fldChar w:fldCharType="separate"/>
          </w:r>
          <w:r>
            <w:t>20</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"_Toc35526460" </w:instrText>
          </w:r>
          <w:r>
            <w:fldChar w:fldCharType="separate"/>
          </w:r>
          <w:r>
            <w:rPr>
              <w:rStyle w:val="18"/>
            </w:rPr>
            <w:t>2.5.2 水位</w:t>
          </w:r>
          <w:r>
            <w:tab/>
          </w:r>
          <w:r>
            <w:fldChar w:fldCharType="begin"/>
          </w:r>
          <w:r>
            <w:instrText xml:space="preserve"> PAGEREF _Toc35526460 \h </w:instrText>
          </w:r>
          <w:r>
            <w:fldChar w:fldCharType="separate"/>
          </w:r>
          <w:r>
            <w:t>24</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"_Toc35526461" </w:instrText>
          </w:r>
          <w:r>
            <w:fldChar w:fldCharType="separate"/>
          </w:r>
          <w:r>
            <w:rPr>
              <w:rStyle w:val="18"/>
            </w:rPr>
            <w:t>2.6 水质调查评价</w:t>
          </w:r>
          <w:r>
            <w:tab/>
          </w:r>
          <w:r>
            <w:fldChar w:fldCharType="begin"/>
          </w:r>
          <w:r>
            <w:instrText xml:space="preserve"> PAGEREF _Toc35526461 \h </w:instrText>
          </w:r>
          <w:r>
            <w:fldChar w:fldCharType="separate"/>
          </w:r>
          <w:r>
            <w:t>25</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"_Toc35526462" </w:instrText>
          </w:r>
          <w:r>
            <w:fldChar w:fldCharType="separate"/>
          </w:r>
          <w:r>
            <w:rPr>
              <w:rStyle w:val="18"/>
            </w:rPr>
            <w:t>2.7 污染源调查</w:t>
          </w:r>
          <w:r>
            <w:tab/>
          </w:r>
          <w:r>
            <w:fldChar w:fldCharType="begin"/>
          </w:r>
          <w:r>
            <w:instrText xml:space="preserve"> PAGEREF _Toc35526462 \h </w:instrText>
          </w:r>
          <w:r>
            <w:fldChar w:fldCharType="separate"/>
          </w:r>
          <w:r>
            <w:t>35</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"_Toc35526463" </w:instrText>
          </w:r>
          <w:r>
            <w:fldChar w:fldCharType="separate"/>
          </w:r>
          <w:r>
            <w:rPr>
              <w:rStyle w:val="18"/>
            </w:rPr>
            <w:t>2.8 水环境风险分析</w:t>
          </w:r>
          <w:r>
            <w:tab/>
          </w:r>
          <w:r>
            <w:fldChar w:fldCharType="begin"/>
          </w:r>
          <w:r>
            <w:instrText xml:space="preserve"> PAGEREF _Toc35526463 \h </w:instrText>
          </w:r>
          <w:r>
            <w:fldChar w:fldCharType="separate"/>
          </w:r>
          <w:r>
            <w:t>36</w:t>
          </w:r>
          <w:r>
            <w:fldChar w:fldCharType="end"/>
          </w:r>
          <w:r>
            <w:fldChar w:fldCharType="end"/>
          </w:r>
        </w:p>
        <w:p>
          <w:pPr>
            <w:pStyle w:val="11"/>
            <w:rPr>
              <w:rFonts w:asciiTheme="minorHAnsi" w:hAnsiTheme="minorHAnsi" w:eastAsiaTheme="minorEastAsia" w:cstheme="minorBidi"/>
              <w:spacing w:val="0"/>
              <w:sz w:val="21"/>
              <w:szCs w:val="22"/>
            </w:rPr>
          </w:pPr>
          <w:r>
            <w:fldChar w:fldCharType="begin"/>
          </w:r>
          <w:r>
            <w:instrText xml:space="preserve"> HYPERLINK \l "_Toc35526464" </w:instrText>
          </w:r>
          <w:r>
            <w:fldChar w:fldCharType="separate"/>
          </w:r>
          <w:r>
            <w:rPr>
              <w:rStyle w:val="18"/>
              <w:rFonts w:hAnsi="Times New Roman"/>
            </w:rPr>
            <w:t>第3章 饮用水水源保护区划分与定界</w:t>
          </w:r>
          <w:r>
            <w:tab/>
          </w:r>
          <w:r>
            <w:fldChar w:fldCharType="begin"/>
          </w:r>
          <w:r>
            <w:instrText xml:space="preserve"> PAGEREF _Toc35526464 \h </w:instrText>
          </w:r>
          <w:r>
            <w:fldChar w:fldCharType="separate"/>
          </w:r>
          <w:r>
            <w:t>39</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"_Toc35526465" </w:instrText>
          </w:r>
          <w:r>
            <w:fldChar w:fldCharType="separate"/>
          </w:r>
          <w:r>
            <w:rPr>
              <w:rStyle w:val="18"/>
            </w:rPr>
            <w:t>3.1 保护区划分</w:t>
          </w:r>
          <w:r>
            <w:tab/>
          </w:r>
          <w:r>
            <w:fldChar w:fldCharType="begin"/>
          </w:r>
          <w:r>
            <w:instrText xml:space="preserve"> PAGEREF _Toc35526465 \h </w:instrText>
          </w:r>
          <w:r>
            <w:fldChar w:fldCharType="separate"/>
          </w:r>
          <w:r>
            <w:t>39</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"_Toc35526466" </w:instrText>
          </w:r>
          <w:r>
            <w:fldChar w:fldCharType="separate"/>
          </w:r>
          <w:r>
            <w:rPr>
              <w:rStyle w:val="18"/>
            </w:rPr>
            <w:t>3.1.1 保护区划分要求</w:t>
          </w:r>
          <w:r>
            <w:tab/>
          </w:r>
          <w:r>
            <w:fldChar w:fldCharType="begin"/>
          </w:r>
          <w:r>
            <w:instrText xml:space="preserve"> PAGEREF _Toc35526466 \h </w:instrText>
          </w:r>
          <w:r>
            <w:fldChar w:fldCharType="separate"/>
          </w:r>
          <w:r>
            <w:t>39</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"_Toc35526467" </w:instrText>
          </w:r>
          <w:r>
            <w:fldChar w:fldCharType="separate"/>
          </w:r>
          <w:r>
            <w:rPr>
              <w:rStyle w:val="18"/>
            </w:rPr>
            <w:t>3.1.2 保护区划分步骤和方法</w:t>
          </w:r>
          <w:r>
            <w:tab/>
          </w:r>
          <w:r>
            <w:fldChar w:fldCharType="begin"/>
          </w:r>
          <w:r>
            <w:instrText xml:space="preserve"> PAGEREF _Toc35526467 \h </w:instrText>
          </w:r>
          <w:r>
            <w:fldChar w:fldCharType="separate"/>
          </w:r>
          <w:r>
            <w:t>40</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"_Toc35526468" </w:instrText>
          </w:r>
          <w:r>
            <w:fldChar w:fldCharType="separate"/>
          </w:r>
          <w:r>
            <w:rPr>
              <w:rStyle w:val="18"/>
            </w:rPr>
            <w:t>3.1.3 保护区划分的数值计算方法</w:t>
          </w:r>
          <w:r>
            <w:tab/>
          </w:r>
          <w:r>
            <w:fldChar w:fldCharType="begin"/>
          </w:r>
          <w:r>
            <w:instrText xml:space="preserve"> PAGEREF _Toc35526468 \h </w:instrText>
          </w:r>
          <w:r>
            <w:fldChar w:fldCharType="separate"/>
          </w:r>
          <w:r>
            <w:t>42</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"_Toc35526469" </w:instrText>
          </w:r>
          <w:r>
            <w:fldChar w:fldCharType="separate"/>
          </w:r>
          <w:r>
            <w:rPr>
              <w:rStyle w:val="18"/>
            </w:rPr>
            <w:t>3.2 保护区划分结果及分析</w:t>
          </w:r>
          <w:r>
            <w:tab/>
          </w:r>
          <w:r>
            <w:fldChar w:fldCharType="begin"/>
          </w:r>
          <w:r>
            <w:instrText xml:space="preserve"> PAGEREF _Toc35526469 \h </w:instrText>
          </w:r>
          <w:r>
            <w:fldChar w:fldCharType="separate"/>
          </w:r>
          <w:r>
            <w:t>47</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"_Toc35526470" </w:instrText>
          </w:r>
          <w:r>
            <w:fldChar w:fldCharType="separate"/>
          </w:r>
          <w:r>
            <w:rPr>
              <w:rStyle w:val="18"/>
            </w:rPr>
            <w:t>3.2.1 一级保护区</w:t>
          </w:r>
          <w:r>
            <w:tab/>
          </w:r>
          <w:r>
            <w:fldChar w:fldCharType="begin"/>
          </w:r>
          <w:r>
            <w:instrText xml:space="preserve"> PAGEREF _Toc35526470 \h </w:instrText>
          </w:r>
          <w:r>
            <w:fldChar w:fldCharType="separate"/>
          </w:r>
          <w:r>
            <w:t>47</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"_Toc35526471" </w:instrText>
          </w:r>
          <w:r>
            <w:fldChar w:fldCharType="separate"/>
          </w:r>
          <w:r>
            <w:rPr>
              <w:rStyle w:val="18"/>
            </w:rPr>
            <w:t>3.2.2 准保护区</w:t>
          </w:r>
          <w:r>
            <w:tab/>
          </w:r>
          <w:r>
            <w:fldChar w:fldCharType="begin"/>
          </w:r>
          <w:r>
            <w:instrText xml:space="preserve"> PAGEREF _Toc35526471 \h </w:instrText>
          </w:r>
          <w:r>
            <w:fldChar w:fldCharType="separate"/>
          </w:r>
          <w:r>
            <w:t>48</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"_Toc35526472" </w:instrText>
          </w:r>
          <w:r>
            <w:fldChar w:fldCharType="separate"/>
          </w:r>
          <w:r>
            <w:rPr>
              <w:rStyle w:val="18"/>
            </w:rPr>
            <w:t>3.3 保护区定界方案</w:t>
          </w:r>
          <w:r>
            <w:tab/>
          </w:r>
          <w:r>
            <w:fldChar w:fldCharType="begin"/>
          </w:r>
          <w:r>
            <w:instrText xml:space="preserve"> PAGEREF _Toc35526472 \h </w:instrText>
          </w:r>
          <w:r>
            <w:fldChar w:fldCharType="separate"/>
          </w:r>
          <w:r>
            <w:t>49</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"_Toc35526473" </w:instrText>
          </w:r>
          <w:r>
            <w:fldChar w:fldCharType="separate"/>
          </w:r>
          <w:r>
            <w:rPr>
              <w:rStyle w:val="18"/>
            </w:rPr>
            <w:t>3.3.1 建立水源保护区</w:t>
          </w:r>
          <w:r>
            <w:tab/>
          </w:r>
          <w:r>
            <w:fldChar w:fldCharType="begin"/>
          </w:r>
          <w:r>
            <w:instrText xml:space="preserve"> PAGEREF _Toc35526473 \h </w:instrText>
          </w:r>
          <w:r>
            <w:fldChar w:fldCharType="separate"/>
          </w:r>
          <w:r>
            <w:t>49</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"_Toc35526474" </w:instrText>
          </w:r>
          <w:r>
            <w:fldChar w:fldCharType="separate"/>
          </w:r>
          <w:r>
            <w:rPr>
              <w:rStyle w:val="18"/>
            </w:rPr>
            <w:t>3.3.2 饮用水水源保护区标志设置</w:t>
          </w:r>
          <w:r>
            <w:tab/>
          </w:r>
          <w:r>
            <w:fldChar w:fldCharType="begin"/>
          </w:r>
          <w:r>
            <w:instrText xml:space="preserve"> PAGEREF _Toc35526474 \h </w:instrText>
          </w:r>
          <w:r>
            <w:fldChar w:fldCharType="separate"/>
          </w:r>
          <w:r>
            <w:t>49</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"_Toc35526475" </w:instrText>
          </w:r>
          <w:r>
            <w:fldChar w:fldCharType="separate"/>
          </w:r>
          <w:r>
            <w:rPr>
              <w:rStyle w:val="18"/>
            </w:rPr>
            <w:t>3.3.3 饮用水水源保护区界标</w:t>
          </w:r>
          <w:r>
            <w:tab/>
          </w:r>
          <w:r>
            <w:fldChar w:fldCharType="begin"/>
          </w:r>
          <w:r>
            <w:instrText xml:space="preserve"> PAGEREF _Toc35526475 \h </w:instrText>
          </w:r>
          <w:r>
            <w:fldChar w:fldCharType="separate"/>
          </w:r>
          <w:r>
            <w:t>50</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"_Toc35526476" </w:instrText>
          </w:r>
          <w:r>
            <w:fldChar w:fldCharType="separate"/>
          </w:r>
          <w:r>
            <w:rPr>
              <w:rStyle w:val="18"/>
            </w:rPr>
            <w:t>3.3.4 饮用水水源保护区交通警示牌</w:t>
          </w:r>
          <w:r>
            <w:tab/>
          </w:r>
          <w:r>
            <w:fldChar w:fldCharType="begin"/>
          </w:r>
          <w:r>
            <w:instrText xml:space="preserve"> PAGEREF _Toc35526476 \h </w:instrText>
          </w:r>
          <w:r>
            <w:fldChar w:fldCharType="separate"/>
          </w:r>
          <w:r>
            <w:t>53</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"_Toc35526477" </w:instrText>
          </w:r>
          <w:r>
            <w:fldChar w:fldCharType="separate"/>
          </w:r>
          <w:r>
            <w:rPr>
              <w:rStyle w:val="18"/>
            </w:rPr>
            <w:t>3.3.5 饮用水水源保护区宣传牌</w:t>
          </w:r>
          <w:r>
            <w:tab/>
          </w:r>
          <w:r>
            <w:fldChar w:fldCharType="begin"/>
          </w:r>
          <w:r>
            <w:instrText xml:space="preserve"> PAGEREF _Toc35526477 \h </w:instrText>
          </w:r>
          <w:r>
            <w:fldChar w:fldCharType="separate"/>
          </w:r>
          <w:r>
            <w:t>55</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"_Toc35526478" </w:instrText>
          </w:r>
          <w:r>
            <w:fldChar w:fldCharType="separate"/>
          </w:r>
          <w:r>
            <w:rPr>
              <w:rStyle w:val="18"/>
            </w:rPr>
            <w:t>3.3.6 饮用水水源保护区标志的构造</w:t>
          </w:r>
          <w:r>
            <w:tab/>
          </w:r>
          <w:r>
            <w:fldChar w:fldCharType="begin"/>
          </w:r>
          <w:r>
            <w:instrText xml:space="preserve"> PAGEREF _Toc35526478 \h </w:instrText>
          </w:r>
          <w:r>
            <w:fldChar w:fldCharType="separate"/>
          </w:r>
          <w:r>
            <w:t>57</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"_Toc35526479" </w:instrText>
          </w:r>
          <w:r>
            <w:fldChar w:fldCharType="separate"/>
          </w:r>
          <w:r>
            <w:rPr>
              <w:rStyle w:val="18"/>
            </w:rPr>
            <w:t>3.4 保护区定界技术说明</w:t>
          </w:r>
          <w:r>
            <w:tab/>
          </w:r>
          <w:r>
            <w:fldChar w:fldCharType="begin"/>
          </w:r>
          <w:r>
            <w:instrText xml:space="preserve"> PAGEREF _Toc35526479 \h </w:instrText>
          </w:r>
          <w:r>
            <w:fldChar w:fldCharType="separate"/>
          </w:r>
          <w:r>
            <w:t>59</w:t>
          </w:r>
          <w:r>
            <w:fldChar w:fldCharType="end"/>
          </w:r>
          <w:r>
            <w:fldChar w:fldCharType="end"/>
          </w:r>
        </w:p>
        <w:p>
          <w:pPr>
            <w:pStyle w:val="11"/>
            <w:rPr>
              <w:rFonts w:asciiTheme="minorHAnsi" w:hAnsiTheme="minorHAnsi" w:eastAsiaTheme="minorEastAsia" w:cstheme="minorBidi"/>
              <w:spacing w:val="0"/>
              <w:sz w:val="21"/>
              <w:szCs w:val="22"/>
            </w:rPr>
          </w:pPr>
          <w:r>
            <w:fldChar w:fldCharType="begin"/>
          </w:r>
          <w:r>
            <w:instrText xml:space="preserve"> HYPERLINK \l "_Toc35526480" </w:instrText>
          </w:r>
          <w:r>
            <w:fldChar w:fldCharType="separate"/>
          </w:r>
          <w:r>
            <w:rPr>
              <w:rStyle w:val="18"/>
              <w:rFonts w:hAnsi="Times New Roman"/>
              <w:lang w:eastAsia="zh-CN"/>
            </w:rPr>
            <w:t>第4章</w:t>
          </w:r>
          <w:r>
            <w:rPr>
              <w:rStyle w:val="18"/>
              <w:rFonts w:hAnsi="Times New Roman"/>
            </w:rPr>
            <w:t xml:space="preserve"> 饮用水水源地规范化建设与管理要求</w:t>
          </w:r>
          <w:r>
            <w:tab/>
          </w:r>
          <w:r>
            <w:fldChar w:fldCharType="begin"/>
          </w:r>
          <w:r>
            <w:instrText xml:space="preserve"> PAGEREF _Toc35526480 \h </w:instrText>
          </w:r>
          <w:r>
            <w:fldChar w:fldCharType="separate"/>
          </w:r>
          <w:r>
            <w:t>61</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"_Toc35526481" </w:instrText>
          </w:r>
          <w:r>
            <w:fldChar w:fldCharType="separate"/>
          </w:r>
          <w:r>
            <w:rPr>
              <w:rStyle w:val="18"/>
            </w:rPr>
            <w:t>4.1 饮用水水源的环境保护目标</w:t>
          </w:r>
          <w:r>
            <w:tab/>
          </w:r>
          <w:r>
            <w:fldChar w:fldCharType="begin"/>
          </w:r>
          <w:r>
            <w:instrText xml:space="preserve"> PAGEREF _Toc35526481 \h </w:instrText>
          </w:r>
          <w:r>
            <w:fldChar w:fldCharType="separate"/>
          </w:r>
          <w:r>
            <w:t>61</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"_Toc35526482" </w:instrText>
          </w:r>
          <w:r>
            <w:fldChar w:fldCharType="separate"/>
          </w:r>
          <w:r>
            <w:rPr>
              <w:rStyle w:val="18"/>
            </w:rPr>
            <w:t>4.1.1 水质目标</w:t>
          </w:r>
          <w:r>
            <w:tab/>
          </w:r>
          <w:r>
            <w:fldChar w:fldCharType="begin"/>
          </w:r>
          <w:r>
            <w:instrText xml:space="preserve"> PAGEREF _Toc35526482 \h </w:instrText>
          </w:r>
          <w:r>
            <w:fldChar w:fldCharType="separate"/>
          </w:r>
          <w:r>
            <w:t>61</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"_Toc35526483" </w:instrText>
          </w:r>
          <w:r>
            <w:fldChar w:fldCharType="separate"/>
          </w:r>
          <w:r>
            <w:rPr>
              <w:rStyle w:val="18"/>
            </w:rPr>
            <w:t>4.1.2 监管目标</w:t>
          </w:r>
          <w:r>
            <w:tab/>
          </w:r>
          <w:r>
            <w:fldChar w:fldCharType="begin"/>
          </w:r>
          <w:r>
            <w:instrText xml:space="preserve"> PAGEREF _Toc35526483 \h </w:instrText>
          </w:r>
          <w:r>
            <w:fldChar w:fldCharType="separate"/>
          </w:r>
          <w:r>
            <w:t>61</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"_Toc35526484" </w:instrText>
          </w:r>
          <w:r>
            <w:fldChar w:fldCharType="separate"/>
          </w:r>
          <w:r>
            <w:rPr>
              <w:rStyle w:val="18"/>
            </w:rPr>
            <w:t>4.2 制定饮用水水源环境监管方案</w:t>
          </w:r>
          <w:r>
            <w:tab/>
          </w:r>
          <w:r>
            <w:fldChar w:fldCharType="begin"/>
          </w:r>
          <w:r>
            <w:instrText xml:space="preserve"> PAGEREF _Toc35526484 \h </w:instrText>
          </w:r>
          <w:r>
            <w:fldChar w:fldCharType="separate"/>
          </w:r>
          <w:r>
            <w:t>62</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"_Toc35526485" </w:instrText>
          </w:r>
          <w:r>
            <w:fldChar w:fldCharType="separate"/>
          </w:r>
          <w:r>
            <w:rPr>
              <w:rStyle w:val="18"/>
            </w:rPr>
            <w:t>4.2.1 取缔违法建设项目</w:t>
          </w:r>
          <w:r>
            <w:tab/>
          </w:r>
          <w:r>
            <w:fldChar w:fldCharType="begin"/>
          </w:r>
          <w:r>
            <w:instrText xml:space="preserve"> PAGEREF _Toc35526485 \h </w:instrText>
          </w:r>
          <w:r>
            <w:fldChar w:fldCharType="separate"/>
          </w:r>
          <w:r>
            <w:t>62</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"_Toc35526486" </w:instrText>
          </w:r>
          <w:r>
            <w:fldChar w:fldCharType="separate"/>
          </w:r>
          <w:r>
            <w:rPr>
              <w:rStyle w:val="18"/>
            </w:rPr>
            <w:t>4.2.2 加强准保护区内环境准入</w:t>
          </w:r>
          <w:r>
            <w:tab/>
          </w:r>
          <w:r>
            <w:fldChar w:fldCharType="begin"/>
          </w:r>
          <w:r>
            <w:instrText xml:space="preserve"> PAGEREF _Toc35526486 \h </w:instrText>
          </w:r>
          <w:r>
            <w:fldChar w:fldCharType="separate"/>
          </w:r>
          <w:r>
            <w:t>62</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"_Toc35526487" </w:instrText>
          </w:r>
          <w:r>
            <w:fldChar w:fldCharType="separate"/>
          </w:r>
          <w:r>
            <w:rPr>
              <w:rStyle w:val="18"/>
            </w:rPr>
            <w:t>4.2.3 研究制定饮用水水源环境监测和预警方案</w:t>
          </w:r>
          <w:r>
            <w:tab/>
          </w:r>
          <w:r>
            <w:fldChar w:fldCharType="begin"/>
          </w:r>
          <w:r>
            <w:instrText xml:space="preserve"> PAGEREF _Toc35526487 \h </w:instrText>
          </w:r>
          <w:r>
            <w:fldChar w:fldCharType="separate"/>
          </w:r>
          <w:r>
            <w:t>63</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"_Toc35526488" </w:instrText>
          </w:r>
          <w:r>
            <w:fldChar w:fldCharType="separate"/>
          </w:r>
          <w:r>
            <w:rPr>
              <w:rStyle w:val="18"/>
            </w:rPr>
            <w:t>4.2.4 科学合理开发地下水资源</w:t>
          </w:r>
          <w:r>
            <w:tab/>
          </w:r>
          <w:r>
            <w:fldChar w:fldCharType="begin"/>
          </w:r>
          <w:r>
            <w:instrText xml:space="preserve"> PAGEREF _Toc35526488 \h </w:instrText>
          </w:r>
          <w:r>
            <w:fldChar w:fldCharType="separate"/>
          </w:r>
          <w:r>
            <w:t>65</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"_Toc35526489" </w:instrText>
          </w:r>
          <w:r>
            <w:fldChar w:fldCharType="separate"/>
          </w:r>
          <w:r>
            <w:rPr>
              <w:rStyle w:val="18"/>
            </w:rPr>
            <w:t>4.2.5 全面推进水源环境基础设施建设</w:t>
          </w:r>
          <w:r>
            <w:tab/>
          </w:r>
          <w:r>
            <w:fldChar w:fldCharType="begin"/>
          </w:r>
          <w:r>
            <w:instrText xml:space="preserve"> PAGEREF _Toc35526489 \h </w:instrText>
          </w:r>
          <w:r>
            <w:fldChar w:fldCharType="separate"/>
          </w:r>
          <w:r>
            <w:t>66</w:t>
          </w:r>
          <w:r>
            <w:fldChar w:fldCharType="end"/>
          </w:r>
          <w:r>
            <w:fldChar w:fldCharType="end"/>
          </w:r>
        </w:p>
        <w:p>
          <w:pPr>
            <w:pStyle w:val="7"/>
            <w:rPr>
              <w:rFonts w:asciiTheme="minorHAnsi" w:hAnsiTheme="minorHAnsi" w:eastAsiaTheme="minorEastAsia" w:cstheme="minorBidi"/>
              <w:spacing w:val="0"/>
              <w:sz w:val="21"/>
              <w:szCs w:val="22"/>
            </w:rPr>
          </w:pPr>
          <w:r>
            <w:fldChar w:fldCharType="begin"/>
          </w:r>
          <w:r>
            <w:instrText xml:space="preserve"> HYPERLINK \l "_Toc35526490" </w:instrText>
          </w:r>
          <w:r>
            <w:fldChar w:fldCharType="separate"/>
          </w:r>
          <w:r>
            <w:rPr>
              <w:rStyle w:val="18"/>
            </w:rPr>
            <w:t>4.2.6 制定水源法律法规和保障措施</w:t>
          </w:r>
          <w:r>
            <w:tab/>
          </w:r>
          <w:r>
            <w:fldChar w:fldCharType="begin"/>
          </w:r>
          <w:r>
            <w:instrText xml:space="preserve"> PAGEREF _Toc35526490 \h </w:instrText>
          </w:r>
          <w:r>
            <w:fldChar w:fldCharType="separate"/>
          </w:r>
          <w:r>
            <w:t>66</w:t>
          </w:r>
          <w:r>
            <w:fldChar w:fldCharType="end"/>
          </w:r>
          <w:r>
            <w:fldChar w:fldCharType="end"/>
          </w:r>
        </w:p>
        <w:p>
          <w:pPr>
            <w:pStyle w:val="11"/>
            <w:rPr>
              <w:rFonts w:asciiTheme="minorHAnsi" w:hAnsiTheme="minorHAnsi" w:eastAsiaTheme="minorEastAsia" w:cstheme="minorBidi"/>
              <w:spacing w:val="0"/>
              <w:sz w:val="21"/>
              <w:szCs w:val="22"/>
            </w:rPr>
          </w:pPr>
          <w:r>
            <w:fldChar w:fldCharType="begin"/>
          </w:r>
          <w:r>
            <w:instrText xml:space="preserve"> HYPERLINK \l "_Toc35526491" </w:instrText>
          </w:r>
          <w:r>
            <w:fldChar w:fldCharType="separate"/>
          </w:r>
          <w:r>
            <w:rPr>
              <w:rStyle w:val="18"/>
              <w:rFonts w:hAnsi="Times New Roman"/>
            </w:rPr>
            <w:t>第5章 饮用水水源保护区建设投资估算</w:t>
          </w:r>
          <w:r>
            <w:tab/>
          </w:r>
          <w:r>
            <w:fldChar w:fldCharType="begin"/>
          </w:r>
          <w:r>
            <w:instrText xml:space="preserve"> PAGEREF _Toc35526491 \h </w:instrText>
          </w:r>
          <w:r>
            <w:fldChar w:fldCharType="separate"/>
          </w:r>
          <w:r>
            <w:t>68</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"_Toc35526492" </w:instrText>
          </w:r>
          <w:r>
            <w:fldChar w:fldCharType="separate"/>
          </w:r>
          <w:r>
            <w:rPr>
              <w:rStyle w:val="18"/>
            </w:rPr>
            <w:t>5.1 保护区规范化建设项目投资估算</w:t>
          </w:r>
          <w:r>
            <w:tab/>
          </w:r>
          <w:r>
            <w:fldChar w:fldCharType="begin"/>
          </w:r>
          <w:r>
            <w:instrText xml:space="preserve"> PAGEREF _Toc35526492 \h </w:instrText>
          </w:r>
          <w:r>
            <w:fldChar w:fldCharType="separate"/>
          </w:r>
          <w:r>
            <w:t>68</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"_Toc35526493" </w:instrText>
          </w:r>
          <w:r>
            <w:fldChar w:fldCharType="separate"/>
          </w:r>
          <w:r>
            <w:rPr>
              <w:rStyle w:val="18"/>
            </w:rPr>
            <w:t>5.2 规范化建设项目达标的可行性分析</w:t>
          </w:r>
          <w:r>
            <w:tab/>
          </w:r>
          <w:r>
            <w:fldChar w:fldCharType="begin"/>
          </w:r>
          <w:r>
            <w:instrText xml:space="preserve"> PAGEREF _Toc35526493 \h </w:instrText>
          </w:r>
          <w:r>
            <w:fldChar w:fldCharType="separate"/>
          </w:r>
          <w:r>
            <w:t>69</w:t>
          </w:r>
          <w:r>
            <w:fldChar w:fldCharType="end"/>
          </w:r>
          <w:r>
            <w:fldChar w:fldCharType="end"/>
          </w:r>
        </w:p>
        <w:p>
          <w:pPr>
            <w:pStyle w:val="11"/>
            <w:rPr>
              <w:rFonts w:asciiTheme="minorHAnsi" w:hAnsiTheme="minorHAnsi" w:eastAsiaTheme="minorEastAsia" w:cstheme="minorBidi"/>
              <w:spacing w:val="0"/>
              <w:sz w:val="21"/>
              <w:szCs w:val="22"/>
            </w:rPr>
          </w:pPr>
          <w:r>
            <w:fldChar w:fldCharType="begin"/>
          </w:r>
          <w:r>
            <w:instrText xml:space="preserve"> HYPERLINK \l "_Toc35526494" </w:instrText>
          </w:r>
          <w:r>
            <w:fldChar w:fldCharType="separate"/>
          </w:r>
          <w:r>
            <w:rPr>
              <w:rStyle w:val="18"/>
              <w:rFonts w:hAnsi="Times New Roman"/>
            </w:rPr>
            <w:t>第6章 饮用水水源保护区划分方案、图件及有关说明</w:t>
          </w:r>
          <w:r>
            <w:tab/>
          </w:r>
          <w:r>
            <w:fldChar w:fldCharType="begin"/>
          </w:r>
          <w:r>
            <w:instrText xml:space="preserve"> PAGEREF _Toc35526494 \h </w:instrText>
          </w:r>
          <w:r>
            <w:fldChar w:fldCharType="separate"/>
          </w:r>
          <w:r>
            <w:t>70</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"_Toc35526495" </w:instrText>
          </w:r>
          <w:r>
            <w:fldChar w:fldCharType="separate"/>
          </w:r>
          <w:r>
            <w:rPr>
              <w:rStyle w:val="18"/>
            </w:rPr>
            <w:t>6.1 谢家店饮用水水源保护区划分方案</w:t>
          </w:r>
          <w:r>
            <w:tab/>
          </w:r>
          <w:r>
            <w:fldChar w:fldCharType="begin"/>
          </w:r>
          <w:r>
            <w:instrText xml:space="preserve"> PAGEREF _Toc35526495 \h </w:instrText>
          </w:r>
          <w:r>
            <w:fldChar w:fldCharType="separate"/>
          </w:r>
          <w:r>
            <w:t>70</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"_Toc35526496" </w:instrText>
          </w:r>
          <w:r>
            <w:fldChar w:fldCharType="separate"/>
          </w:r>
          <w:r>
            <w:rPr>
              <w:rStyle w:val="18"/>
            </w:rPr>
            <w:t>6.2 谢家店饮用水水源保护区界标</w:t>
          </w:r>
          <w:r>
            <w:tab/>
          </w:r>
          <w:r>
            <w:fldChar w:fldCharType="begin"/>
          </w:r>
          <w:r>
            <w:instrText xml:space="preserve"> PAGEREF _Toc35526496 \h </w:instrText>
          </w:r>
          <w:r>
            <w:fldChar w:fldCharType="separate"/>
          </w:r>
          <w:r>
            <w:t>73</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"_Toc35526497" </w:instrText>
          </w:r>
          <w:r>
            <w:fldChar w:fldCharType="separate"/>
          </w:r>
          <w:r>
            <w:rPr>
              <w:rStyle w:val="18"/>
            </w:rPr>
            <w:t>6.3 谢家店饮用水水源保护区交通警示牌</w:t>
          </w:r>
          <w:r>
            <w:tab/>
          </w:r>
          <w:r>
            <w:fldChar w:fldCharType="begin"/>
          </w:r>
          <w:r>
            <w:instrText xml:space="preserve"> PAGEREF _Toc35526497 \h </w:instrText>
          </w:r>
          <w:r>
            <w:fldChar w:fldCharType="separate"/>
          </w:r>
          <w:r>
            <w:t>74</w:t>
          </w:r>
          <w:r>
            <w:fldChar w:fldCharType="end"/>
          </w:r>
          <w:r>
            <w:fldChar w:fldCharType="end"/>
          </w:r>
        </w:p>
        <w:p>
          <w:pPr>
            <w:pStyle w:val="12"/>
            <w:rPr>
              <w:rFonts w:asciiTheme="minorHAnsi" w:hAnsiTheme="minorHAnsi" w:eastAsiaTheme="minorEastAsia" w:cstheme="minorBidi"/>
              <w:spacing w:val="0"/>
              <w:sz w:val="21"/>
              <w:szCs w:val="22"/>
            </w:rPr>
          </w:pPr>
          <w:r>
            <w:fldChar w:fldCharType="begin"/>
          </w:r>
          <w:r>
            <w:instrText xml:space="preserve"> HYPERLINK \l "_Toc35526498" </w:instrText>
          </w:r>
          <w:r>
            <w:fldChar w:fldCharType="separate"/>
          </w:r>
          <w:r>
            <w:rPr>
              <w:rStyle w:val="18"/>
            </w:rPr>
            <w:t>6.4 谢家店饮用水水源保护区宣传牌</w:t>
          </w:r>
          <w:r>
            <w:tab/>
          </w:r>
          <w:r>
            <w:fldChar w:fldCharType="begin"/>
          </w:r>
          <w:r>
            <w:instrText xml:space="preserve"> PAGEREF _Toc35526498 \h </w:instrText>
          </w:r>
          <w:r>
            <w:fldChar w:fldCharType="separate"/>
          </w:r>
          <w:r>
            <w:t>75</w:t>
          </w:r>
          <w:r>
            <w:fldChar w:fldCharType="end"/>
          </w:r>
          <w:r>
            <w:fldChar w:fldCharType="end"/>
          </w:r>
        </w:p>
        <w:p>
          <w:pPr>
            <w:pStyle w:val="11"/>
            <w:rPr>
              <w:rFonts w:asciiTheme="minorHAnsi" w:hAnsiTheme="minorHAnsi" w:eastAsiaTheme="minorEastAsia" w:cstheme="minorBidi"/>
              <w:spacing w:val="0"/>
              <w:sz w:val="21"/>
              <w:szCs w:val="22"/>
            </w:rPr>
          </w:pPr>
          <w:r>
            <w:fldChar w:fldCharType="begin"/>
          </w:r>
          <w:r>
            <w:instrText xml:space="preserve"> HYPERLINK \l "_Toc35526499" </w:instrText>
          </w:r>
          <w:r>
            <w:fldChar w:fldCharType="separate"/>
          </w:r>
          <w:r>
            <w:rPr>
              <w:rStyle w:val="18"/>
              <w:rFonts w:ascii="Times New Roman" w:hAnsi="Times New Roman"/>
            </w:rPr>
            <w:t>附件</w:t>
          </w:r>
          <w:r>
            <w:tab/>
          </w:r>
          <w:r>
            <w:fldChar w:fldCharType="begin"/>
          </w:r>
          <w:r>
            <w:instrText xml:space="preserve"> PAGEREF _Toc35526499 \h </w:instrText>
          </w:r>
          <w:r>
            <w:fldChar w:fldCharType="separate"/>
          </w:r>
          <w:r>
            <w:t>77</w:t>
          </w:r>
          <w:r>
            <w:fldChar w:fldCharType="end"/>
          </w:r>
          <w:r>
            <w:fldChar w:fldCharType="end"/>
          </w:r>
        </w:p>
        <w:p>
          <w:pPr>
            <w:ind w:firstLine="0" w:firstLineChars="0"/>
            <w:rPr>
              <w:rFonts w:ascii="宋体" w:hAnsi="宋体" w:eastAsia="宋体"/>
              <w:b/>
              <w:bCs/>
              <w:szCs w:val="28"/>
              <w:lang w:val="zh-CN"/>
            </w:rPr>
            <w:sectPr>
              <w:headerReference r:id="rId9" w:type="default"/>
              <w:footerReference r:id="rId10" w:type="default"/>
              <w:pgSz w:w="11906" w:h="16838"/>
              <w:pgMar w:top="1440" w:right="1800" w:bottom="1440" w:left="1800" w:header="851" w:footer="992" w:gutter="0"/>
              <w:pgNumType w:fmt="upperRoman" w:start="1"/>
              <w:cols w:space="425" w:num="1"/>
              <w:docGrid w:type="lines" w:linePitch="312" w:charSpace="0"/>
            </w:sectPr>
          </w:pPr>
          <w:r>
            <w:rPr>
              <w:rFonts w:ascii="宋体" w:hAnsi="宋体" w:eastAsia="宋体"/>
              <w:b/>
              <w:bCs/>
              <w:szCs w:val="28"/>
              <w:lang w:val="zh-CN"/>
            </w:rPr>
            <w:fldChar w:fldCharType="end"/>
          </w:r>
        </w:p>
      </w:sdtContent>
    </w:sdt>
    <w:p>
      <w:pPr>
        <w:pStyle w:val="2"/>
        <w:numPr>
          <w:ilvl w:val="0"/>
          <w:numId w:val="1"/>
        </w:numPr>
        <w:spacing w:before="120" w:after="120" w:line="360" w:lineRule="auto"/>
        <w:ind w:left="715" w:hanging="432" w:firstLineChars="0"/>
        <w:jc w:val="center"/>
        <w:rPr>
          <w:rFonts w:hAnsi="Times New Roman" w:eastAsia="宋体"/>
          <w:sz w:val="36"/>
          <w:szCs w:val="36"/>
          <w:lang w:val="zh-CN" w:eastAsia="zh-CN"/>
        </w:rPr>
      </w:pPr>
      <w:bookmarkStart w:id="0" w:name="_Toc35526433"/>
      <w:r>
        <w:rPr>
          <w:rFonts w:hint="eastAsia" w:hAnsi="Times New Roman" w:eastAsia="宋体"/>
          <w:sz w:val="36"/>
          <w:szCs w:val="36"/>
          <w:lang w:val="zh-CN"/>
        </w:rPr>
        <w:t>总则</w:t>
      </w:r>
      <w:bookmarkEnd w:id="0"/>
    </w:p>
    <w:p>
      <w:pPr>
        <w:pStyle w:val="27"/>
      </w:pPr>
      <w:bookmarkStart w:id="1" w:name="_Toc35526434"/>
      <w:r>
        <w:t>划分目的</w:t>
      </w:r>
      <w:bookmarkEnd w:id="1"/>
    </w:p>
    <w:p>
      <w:pPr>
        <w:snapToGrid w:val="0"/>
        <w:ind w:firstLine="560"/>
        <w:rPr>
          <w:rFonts w:ascii="Times New Roman" w:hAnsi="Times New Roman"/>
        </w:rPr>
      </w:pPr>
      <w:r>
        <w:rPr>
          <w:rFonts w:ascii="Times New Roman" w:hAnsi="Times New Roman"/>
        </w:rPr>
        <w:t>饮用水水源安全是保障人民生命和身体健康的重要基础，是人与社会经济协调发展的根本保证。党中央、国务院高度重视饮用水安全工作，要求把“切实保护好饮用水源，让群众喝上放心水”作为环境保护工作重中之重的首要任务。习近平总书记系列重要讲话中提出加大生态环境保护力度，集中力量优先解决好饮用水等损害群众健康的突出问题，而划分饮用水水源保护区是保障饮用水安全的基础和抓手。因此，科学划分饮用水水源保护区对于保障群众饮水安全、维护社会长治久安、实现全面小康社会意义重大。</w:t>
      </w:r>
    </w:p>
    <w:p>
      <w:pPr>
        <w:snapToGrid w:val="0"/>
        <w:ind w:firstLine="560"/>
        <w:rPr>
          <w:rFonts w:ascii="Times New Roman" w:hAnsi="Times New Roman"/>
        </w:rPr>
      </w:pPr>
      <w:r>
        <w:rPr>
          <w:rFonts w:ascii="Times New Roman" w:hAnsi="Times New Roman"/>
        </w:rPr>
        <w:t>我国饮用水水源保护工作始于上世纪50年代末。1959年，原卫生部和建设工程部颁布了《生活饮用水卫生规程》，对水源选择做出了规定，首次将饮用水水质安全的源头控制列入法规。1985年，卫生部颁布了《生活饮用水卫生标准》（GB 5749-85），提出“水源卫生防护距离”的概念，为早期保护区划分提供了依据。</w:t>
      </w:r>
    </w:p>
    <w:p>
      <w:pPr>
        <w:snapToGrid w:val="0"/>
        <w:ind w:firstLine="560"/>
        <w:rPr>
          <w:rFonts w:ascii="Times New Roman" w:hAnsi="Times New Roman"/>
        </w:rPr>
      </w:pPr>
      <w:r>
        <w:rPr>
          <w:rFonts w:ascii="Times New Roman" w:hAnsi="Times New Roman"/>
        </w:rPr>
        <w:t>“十一五”期间，以2007年《饮用水水源保护区划分技术规范》（HJ T 338-2007）和2008年《中华人民共和国水污染防治法》的相继出台为代表，饮用水水源保护区的划分和保护工作步入正轨。</w:t>
      </w:r>
      <w:r>
        <w:rPr>
          <w:rFonts w:hint="eastAsia" w:ascii="Times New Roman" w:hAnsi="Times New Roman"/>
        </w:rPr>
        <w:t>2017年8月30日，环境保护部办公厅组织修订了《饮用水水源保护区划分技术规范》（HJ/T338-2007)。2018年3月，《饮用水水源保护区划分技术规范》（HJ 338-2018）发布，新版标准是对《饮用水水源保护区划分技术规范》（HJ/T 338-2007）的第一次修订。与</w:t>
      </w:r>
      <w:r>
        <w:rPr>
          <w:rFonts w:ascii="Times New Roman" w:hAnsi="Times New Roman"/>
        </w:rPr>
        <w:t>旧</w:t>
      </w:r>
      <w:r>
        <w:rPr>
          <w:rFonts w:hint="eastAsia" w:ascii="Times New Roman" w:hAnsi="Times New Roman"/>
        </w:rPr>
        <w:t>版</w:t>
      </w:r>
      <w:r>
        <w:rPr>
          <w:rFonts w:ascii="Times New Roman" w:hAnsi="Times New Roman"/>
        </w:rPr>
        <w:t>一致</w:t>
      </w:r>
      <w:r>
        <w:rPr>
          <w:rFonts w:hint="eastAsia" w:ascii="Times New Roman" w:hAnsi="Times New Roman"/>
        </w:rPr>
        <w:t>，</w:t>
      </w:r>
      <w:r>
        <w:rPr>
          <w:rFonts w:ascii="Times New Roman" w:hAnsi="Times New Roman"/>
        </w:rPr>
        <w:t>新</w:t>
      </w:r>
      <w:r>
        <w:rPr>
          <w:rFonts w:hint="eastAsia" w:ascii="Times New Roman" w:hAnsi="Times New Roman"/>
        </w:rPr>
        <w:t>版技术</w:t>
      </w:r>
      <w:r>
        <w:rPr>
          <w:rFonts w:ascii="Times New Roman" w:hAnsi="Times New Roman"/>
        </w:rPr>
        <w:t>规范</w:t>
      </w:r>
      <w:r>
        <w:rPr>
          <w:rFonts w:hint="eastAsia" w:ascii="Times New Roman" w:hAnsi="Times New Roman"/>
        </w:rPr>
        <w:t>在全面阐述了河流型、湖库型、地下水型等各类水源保护区划分的依据、要点和标准的基础</w:t>
      </w:r>
      <w:r>
        <w:rPr>
          <w:rFonts w:ascii="Times New Roman" w:hAnsi="Times New Roman"/>
        </w:rPr>
        <w:t>上</w:t>
      </w:r>
      <w:r>
        <w:rPr>
          <w:rFonts w:hint="eastAsia" w:ascii="Times New Roman" w:hAnsi="Times New Roman"/>
        </w:rPr>
        <w:t>，</w:t>
      </w:r>
      <w:r>
        <w:rPr>
          <w:rFonts w:ascii="Times New Roman" w:hAnsi="Times New Roman"/>
        </w:rPr>
        <w:t>还</w:t>
      </w:r>
      <w:r>
        <w:rPr>
          <w:rFonts w:hint="eastAsia" w:ascii="Times New Roman" w:hAnsi="Times New Roman"/>
        </w:rPr>
        <w:t>修订了</w:t>
      </w:r>
      <w:r>
        <w:rPr>
          <w:rFonts w:ascii="Times New Roman" w:hAnsi="Times New Roman"/>
        </w:rPr>
        <w:t>以</w:t>
      </w:r>
      <w:r>
        <w:rPr>
          <w:rFonts w:hint="eastAsia" w:ascii="Times New Roman" w:hAnsi="Times New Roman"/>
        </w:rPr>
        <w:t>下主要内容：增加了饮用水水源地环境状况调查的技术要求；增加了饮用水水源保护区划分技术步骤的要求；增加了饮用水水源保护区划分的基本方法；增加了饮用水水源保护区图件制作的技术要求；完善了饮用水水源保护区定界的技术要求；完善了饮用水水源保护区划分技术报告编制的要求。</w:t>
      </w:r>
      <w:r>
        <w:rPr>
          <w:rFonts w:ascii="Times New Roman" w:hAnsi="Times New Roman"/>
        </w:rPr>
        <w:t>《饮用水水源保护区划分技术规范》</w:t>
      </w:r>
      <w:r>
        <w:rPr>
          <w:rFonts w:hint="eastAsia" w:ascii="Times New Roman" w:hAnsi="Times New Roman"/>
        </w:rPr>
        <w:t>（HJ/T 338-2018）</w:t>
      </w:r>
      <w:r>
        <w:rPr>
          <w:rFonts w:ascii="Times New Roman" w:hAnsi="Times New Roman"/>
        </w:rPr>
        <w:t>（以下简称《规范》）</w:t>
      </w:r>
      <w:r>
        <w:rPr>
          <w:rFonts w:hint="eastAsia" w:ascii="Times New Roman" w:hAnsi="Times New Roman"/>
        </w:rPr>
        <w:t>自2018年7月1日起实施。</w:t>
      </w:r>
      <w:r>
        <w:rPr>
          <w:rFonts w:ascii="Times New Roman" w:hAnsi="Times New Roman"/>
        </w:rPr>
        <w:t>《中华人民共和国水污染防治法》第五章提出“饮用水水源和其他特殊水体保护”的内容，明确了饮用水水源一级、二级和准保护区的管控要求。</w:t>
      </w:r>
    </w:p>
    <w:p>
      <w:pPr>
        <w:snapToGrid w:val="0"/>
        <w:ind w:firstLine="560"/>
        <w:rPr>
          <w:rFonts w:ascii="Times New Roman" w:hAnsi="Times New Roman"/>
        </w:rPr>
      </w:pPr>
      <w:r>
        <w:rPr>
          <w:rFonts w:ascii="Times New Roman" w:hAnsi="Times New Roman"/>
        </w:rPr>
        <w:t>2014年，淄博地区遭遇特大干旱，博山区全年降水量仅427.3mm，为1965年以来最低值。区域地下水水位大幅度下降，作为博山城区主要生活供水水源地的源泉水源地与天津湾水源地地下水水位呈持续快速下降趋势。源泉水源地多年平均水位埋深为3-5m， 2014年源泉水源地最大动水位埋深已达 90m，供水形势非常严峻。为保障博山城区在特大干旱年份的供水安全，博山区政府在源泉水源地的上游开展</w:t>
      </w:r>
      <w:r>
        <w:rPr>
          <w:rFonts w:hint="eastAsia" w:ascii="Times New Roman" w:hAnsi="Times New Roman"/>
        </w:rPr>
        <w:t>了一系列</w:t>
      </w:r>
      <w:r>
        <w:rPr>
          <w:rFonts w:ascii="Times New Roman" w:hAnsi="Times New Roman"/>
        </w:rPr>
        <w:t>供水水文地质勘察工作，</w:t>
      </w:r>
      <w:r>
        <w:rPr>
          <w:rFonts w:hint="eastAsia" w:ascii="Times New Roman" w:hAnsi="Times New Roman"/>
        </w:rPr>
        <w:t>并探明了谢家店</w:t>
      </w:r>
      <w:r>
        <w:rPr>
          <w:rFonts w:ascii="Times New Roman" w:hAnsi="Times New Roman"/>
        </w:rPr>
        <w:t>地下水</w:t>
      </w:r>
      <w:r>
        <w:rPr>
          <w:rFonts w:hint="eastAsia" w:ascii="Times New Roman" w:hAnsi="Times New Roman"/>
        </w:rPr>
        <w:t>富水地段</w:t>
      </w:r>
      <w:r>
        <w:rPr>
          <w:rFonts w:ascii="Times New Roman" w:hAnsi="Times New Roman"/>
        </w:rPr>
        <w:t>。2016年经科学的调查与论证后，淄博市确定博山区谢家店地下水水源地作为</w:t>
      </w:r>
      <w:r>
        <w:rPr>
          <w:rFonts w:hint="eastAsia" w:ascii="Times New Roman" w:hAnsi="Times New Roman"/>
        </w:rPr>
        <w:t>应急供水工程</w:t>
      </w:r>
      <w:r>
        <w:rPr>
          <w:rFonts w:ascii="Times New Roman" w:hAnsi="Times New Roman"/>
        </w:rPr>
        <w:t>进行开工建设。</w:t>
      </w:r>
      <w:r>
        <w:rPr>
          <w:rFonts w:hint="eastAsia" w:ascii="Times New Roman" w:hAnsi="Times New Roman"/>
        </w:rPr>
        <w:t>为</w:t>
      </w:r>
      <w:r>
        <w:rPr>
          <w:rFonts w:ascii="Times New Roman" w:hAnsi="Times New Roman"/>
        </w:rPr>
        <w:t>使谢家店饮用水水源保护区的管理工作</w:t>
      </w:r>
      <w:r>
        <w:rPr>
          <w:rFonts w:hint="eastAsia" w:ascii="Times New Roman" w:hAnsi="Times New Roman"/>
        </w:rPr>
        <w:t>更加规范、高效和</w:t>
      </w:r>
      <w:r>
        <w:rPr>
          <w:rFonts w:ascii="Times New Roman" w:hAnsi="Times New Roman"/>
        </w:rPr>
        <w:t>准确</w:t>
      </w:r>
      <w:r>
        <w:rPr>
          <w:rFonts w:hint="eastAsia" w:ascii="Times New Roman" w:hAnsi="Times New Roman"/>
        </w:rPr>
        <w:t>，</w:t>
      </w:r>
      <w:r>
        <w:rPr>
          <w:rFonts w:ascii="Times New Roman" w:hAnsi="Times New Roman"/>
        </w:rPr>
        <w:t>保障人民群众饮水安全</w:t>
      </w:r>
      <w:r>
        <w:rPr>
          <w:rFonts w:hint="eastAsia" w:ascii="Times New Roman" w:hAnsi="Times New Roman"/>
        </w:rPr>
        <w:t>，淄博市决定启动</w:t>
      </w:r>
      <w:r>
        <w:rPr>
          <w:rFonts w:ascii="Times New Roman" w:hAnsi="Times New Roman"/>
        </w:rPr>
        <w:t>谢家店饮用水水源</w:t>
      </w:r>
      <w:r>
        <w:rPr>
          <w:rFonts w:hint="eastAsia" w:ascii="Times New Roman" w:hAnsi="Times New Roman"/>
        </w:rPr>
        <w:t>保护区划分与管理工作。</w:t>
      </w:r>
    </w:p>
    <w:p>
      <w:pPr>
        <w:snapToGrid w:val="0"/>
        <w:ind w:firstLine="560"/>
        <w:rPr>
          <w:rFonts w:ascii="Times New Roman" w:hAnsi="Times New Roman"/>
        </w:rPr>
      </w:pPr>
      <w:r>
        <w:rPr>
          <w:rFonts w:hint="eastAsia" w:ascii="Times New Roman" w:hAnsi="Times New Roman"/>
        </w:rPr>
        <w:t>本报告根据《山东省淄博市博山区谢家店地区供水水文地质勘察报告》、《博山区水系专项规划》等</w:t>
      </w:r>
      <w:r>
        <w:rPr>
          <w:rFonts w:ascii="Times New Roman" w:hAnsi="Times New Roman"/>
        </w:rPr>
        <w:t>资料，</w:t>
      </w:r>
      <w:r>
        <w:rPr>
          <w:rFonts w:hint="eastAsia" w:ascii="Times New Roman" w:hAnsi="Times New Roman"/>
        </w:rPr>
        <w:t>按照《饮用水水源保护区划分技术规范》（HJ/T338-2018）要求</w:t>
      </w:r>
      <w:r>
        <w:rPr>
          <w:rFonts w:ascii="Times New Roman" w:hAnsi="Times New Roman"/>
        </w:rPr>
        <w:t>对谢家店饮用水水源保护区进行</w:t>
      </w:r>
      <w:r>
        <w:rPr>
          <w:rFonts w:hint="eastAsia" w:ascii="Times New Roman" w:hAnsi="Times New Roman"/>
        </w:rPr>
        <w:t>划分</w:t>
      </w:r>
      <w:r>
        <w:rPr>
          <w:rFonts w:ascii="Times New Roman" w:hAnsi="Times New Roman"/>
        </w:rPr>
        <w:t>，明确保护区边界范围，保障人民群众饮水安全和水资源可持续开发利用，为做好饮用水水源保护的各项工作和开展</w:t>
      </w:r>
      <w:r>
        <w:rPr>
          <w:rFonts w:hint="eastAsia" w:ascii="Times New Roman" w:hAnsi="Times New Roman"/>
        </w:rPr>
        <w:t>生态</w:t>
      </w:r>
      <w:r>
        <w:rPr>
          <w:rFonts w:ascii="Times New Roman" w:hAnsi="Times New Roman"/>
        </w:rPr>
        <w:t>环境保护工作奠定基础。</w:t>
      </w:r>
    </w:p>
    <w:p>
      <w:pPr>
        <w:pStyle w:val="27"/>
      </w:pPr>
      <w:bookmarkStart w:id="2" w:name="_Toc368002195"/>
      <w:bookmarkStart w:id="3" w:name="_Toc35526435"/>
      <w:bookmarkStart w:id="4" w:name="_Toc445738620"/>
      <w:bookmarkStart w:id="5" w:name="_Toc367651651"/>
      <w:bookmarkStart w:id="6" w:name="_Toc283458573"/>
      <w:r>
        <w:rPr>
          <w:rFonts w:hint="eastAsia"/>
        </w:rPr>
        <w:t>划分</w:t>
      </w:r>
      <w:r>
        <w:t>依据</w:t>
      </w:r>
      <w:bookmarkEnd w:id="2"/>
      <w:bookmarkEnd w:id="3"/>
      <w:bookmarkEnd w:id="4"/>
      <w:bookmarkEnd w:id="5"/>
      <w:bookmarkEnd w:id="6"/>
    </w:p>
    <w:p>
      <w:pPr>
        <w:pStyle w:val="25"/>
      </w:pPr>
      <w:bookmarkStart w:id="7" w:name="_Toc368002196"/>
      <w:bookmarkStart w:id="8" w:name="_Toc283458574"/>
      <w:bookmarkStart w:id="9" w:name="_Toc367651652"/>
      <w:bookmarkStart w:id="10" w:name="_Toc445738621"/>
      <w:bookmarkStart w:id="11" w:name="_Toc35526436"/>
      <w:r>
        <w:t>相关</w:t>
      </w:r>
      <w:r>
        <w:rPr>
          <w:rFonts w:hint="eastAsia"/>
        </w:rPr>
        <w:t>法律</w:t>
      </w:r>
      <w:bookmarkEnd w:id="7"/>
      <w:bookmarkEnd w:id="8"/>
      <w:bookmarkEnd w:id="9"/>
      <w:bookmarkEnd w:id="10"/>
      <w:r>
        <w:rPr>
          <w:rFonts w:hint="eastAsia"/>
        </w:rPr>
        <w:t>法规</w:t>
      </w:r>
      <w:bookmarkEnd w:id="11"/>
    </w:p>
    <w:p>
      <w:pPr>
        <w:snapToGrid w:val="0"/>
        <w:ind w:firstLine="560"/>
        <w:rPr>
          <w:rFonts w:ascii="Times New Roman" w:hAnsi="Times New Roman"/>
        </w:rPr>
      </w:pPr>
      <w:r>
        <w:rPr>
          <w:rFonts w:hint="eastAsia" w:ascii="Times New Roman" w:hAnsi="Times New Roman"/>
        </w:rPr>
        <w:t>（1）《中华人民共和国环境保护法》，1989 年 12 月 26 日第七届全国人民代表大会常务委员会第十一次会议通过，2014 年 4 月 24 日第十二届全国人民代表大会常务委员会第八次会议修订，自 2015 年 1 月 1 日起施行；</w:t>
      </w:r>
    </w:p>
    <w:p>
      <w:pPr>
        <w:snapToGrid w:val="0"/>
        <w:ind w:firstLine="560"/>
        <w:rPr>
          <w:rFonts w:ascii="Times New Roman" w:hAnsi="Times New Roman"/>
        </w:rPr>
      </w:pPr>
      <w:r>
        <w:rPr>
          <w:rFonts w:hint="eastAsia" w:ascii="Times New Roman" w:hAnsi="Times New Roman"/>
        </w:rPr>
        <w:t>（2）《中华人民共和国水污染防治法》，2017 年 6 月 27 日第十二届全国人民代表大会常务委员会第二十八次会议修订通过，自 2018 年 1 月 1 日起施行；</w:t>
      </w:r>
    </w:p>
    <w:p>
      <w:pPr>
        <w:snapToGrid w:val="0"/>
        <w:ind w:firstLine="560"/>
        <w:rPr>
          <w:rFonts w:ascii="Times New Roman" w:hAnsi="Times New Roman"/>
        </w:rPr>
      </w:pPr>
      <w:r>
        <w:rPr>
          <w:rFonts w:hint="eastAsia" w:ascii="Times New Roman" w:hAnsi="Times New Roman"/>
        </w:rPr>
        <w:t>（3）《中华人民共和国水法》，2016 年 7 月 2 日第十二届全国人民代表大会常务委员会第二十一次会议修订通过，自 2018 年 1 月 1 日起施行；</w:t>
      </w:r>
    </w:p>
    <w:p>
      <w:pPr>
        <w:snapToGrid w:val="0"/>
        <w:ind w:firstLine="560"/>
        <w:rPr>
          <w:rFonts w:ascii="Times New Roman" w:hAnsi="Times New Roman"/>
        </w:rPr>
      </w:pPr>
      <w:r>
        <w:rPr>
          <w:rFonts w:hint="eastAsia" w:ascii="Times New Roman" w:hAnsi="Times New Roman"/>
        </w:rPr>
        <w:t>（4）《中华人民共和国城乡规划法》，2015 年 4 月 24 日第十二届全国人民大表大会常务委员会第十四次会议修订；</w:t>
      </w:r>
    </w:p>
    <w:p>
      <w:pPr>
        <w:snapToGrid w:val="0"/>
        <w:ind w:firstLine="560"/>
        <w:rPr>
          <w:rFonts w:ascii="Times New Roman" w:hAnsi="Times New Roman"/>
        </w:rPr>
      </w:pPr>
      <w:r>
        <w:rPr>
          <w:rFonts w:hint="eastAsia" w:ascii="Times New Roman" w:hAnsi="Times New Roman"/>
        </w:rPr>
        <w:t>（5）《山东省湖泊保护条例》，2012年9月27日经山东省第十一届人民代表大会常务委员会第三十三次会议通过，自2013年1月1日起施行；</w:t>
      </w:r>
    </w:p>
    <w:p>
      <w:pPr>
        <w:snapToGrid w:val="0"/>
        <w:ind w:firstLine="560"/>
        <w:rPr>
          <w:rFonts w:ascii="Times New Roman" w:hAnsi="Times New Roman"/>
        </w:rPr>
      </w:pPr>
      <w:r>
        <w:rPr>
          <w:rFonts w:hint="eastAsia" w:ascii="Times New Roman" w:hAnsi="Times New Roman"/>
        </w:rPr>
        <w:t>（6）《山东省水污染防治条例》，2018年9月21日山东省十三届人大常委会第五次会议通过，自2018年12月1日起施行；</w:t>
      </w:r>
    </w:p>
    <w:p>
      <w:pPr>
        <w:snapToGrid w:val="0"/>
        <w:ind w:firstLine="560"/>
        <w:rPr>
          <w:rFonts w:ascii="Times New Roman" w:hAnsi="Times New Roman"/>
        </w:rPr>
      </w:pPr>
      <w:r>
        <w:rPr>
          <w:rFonts w:hint="eastAsia" w:ascii="Times New Roman" w:hAnsi="Times New Roman"/>
        </w:rPr>
        <w:t>（7）《淄博市城市供水管理办法》，2009年10月9日淄博市政府第28次常务会议通过，自2010年1月1日起施行；</w:t>
      </w:r>
    </w:p>
    <w:p>
      <w:pPr>
        <w:snapToGrid w:val="0"/>
        <w:ind w:firstLine="560"/>
        <w:rPr>
          <w:rFonts w:ascii="Times New Roman" w:hAnsi="Times New Roman"/>
        </w:rPr>
      </w:pPr>
      <w:r>
        <w:rPr>
          <w:rFonts w:ascii="Times New Roman" w:hAnsi="Times New Roman"/>
        </w:rPr>
        <w:t>（8）《</w:t>
      </w:r>
      <w:r>
        <w:rPr>
          <w:rFonts w:hint="eastAsia" w:ascii="Times New Roman" w:hAnsi="Times New Roman"/>
        </w:rPr>
        <w:t>淄博市太河水库饮用水源地保护管理条例</w:t>
      </w:r>
      <w:r>
        <w:rPr>
          <w:rFonts w:ascii="Times New Roman" w:hAnsi="Times New Roman"/>
        </w:rPr>
        <w:t>》</w:t>
      </w:r>
      <w:r>
        <w:rPr>
          <w:rFonts w:hint="eastAsia" w:ascii="Times New Roman" w:hAnsi="Times New Roman"/>
        </w:rPr>
        <w:t>，1996年8月9日淄博市第十届人民代表大会常务委员会第二十六次会议通过 ，2013年6月29日淄博市第十四届人民代表大会常务委员会第十二次会议修订通过，自2013年9月1日起施行。</w:t>
      </w:r>
    </w:p>
    <w:p>
      <w:pPr>
        <w:snapToGrid w:val="0"/>
        <w:ind w:firstLine="560"/>
        <w:rPr>
          <w:rFonts w:ascii="Times New Roman" w:hAnsi="Times New Roman"/>
        </w:rPr>
      </w:pPr>
      <w:r>
        <w:rPr>
          <w:rFonts w:hint="eastAsia" w:ascii="Times New Roman" w:hAnsi="Times New Roman"/>
        </w:rPr>
        <w:t>（9）《淄博市水资源保护管理条例》，</w:t>
      </w:r>
      <w:r>
        <w:rPr>
          <w:rFonts w:ascii="Times New Roman" w:hAnsi="Times New Roman"/>
        </w:rPr>
        <w:t>2018</w:t>
      </w:r>
      <w:r>
        <w:rPr>
          <w:rFonts w:hint="eastAsia" w:ascii="Times New Roman" w:hAnsi="Times New Roman"/>
        </w:rPr>
        <w:t>年</w:t>
      </w:r>
      <w:r>
        <w:rPr>
          <w:rFonts w:ascii="Times New Roman" w:hAnsi="Times New Roman"/>
        </w:rPr>
        <w:t>8</w:t>
      </w:r>
      <w:r>
        <w:rPr>
          <w:rFonts w:hint="eastAsia" w:ascii="Times New Roman" w:hAnsi="Times New Roman"/>
        </w:rPr>
        <w:t>月</w:t>
      </w:r>
      <w:r>
        <w:rPr>
          <w:rFonts w:ascii="Times New Roman" w:hAnsi="Times New Roman"/>
        </w:rPr>
        <w:t>29</w:t>
      </w:r>
      <w:r>
        <w:rPr>
          <w:rFonts w:hint="eastAsia" w:ascii="Times New Roman" w:hAnsi="Times New Roman"/>
        </w:rPr>
        <w:t>日淄博市第十五届人民代表大会常务委员会第十六次会议通过并经</w:t>
      </w:r>
      <w:r>
        <w:rPr>
          <w:rFonts w:ascii="Times New Roman" w:hAnsi="Times New Roman"/>
        </w:rPr>
        <w:t>2018</w:t>
      </w:r>
      <w:r>
        <w:rPr>
          <w:rFonts w:hint="eastAsia" w:ascii="Times New Roman" w:hAnsi="Times New Roman"/>
        </w:rPr>
        <w:t>年</w:t>
      </w:r>
      <w:r>
        <w:rPr>
          <w:rFonts w:ascii="Times New Roman" w:hAnsi="Times New Roman"/>
        </w:rPr>
        <w:t>9</w:t>
      </w:r>
      <w:r>
        <w:rPr>
          <w:rFonts w:hint="eastAsia" w:ascii="Times New Roman" w:hAnsi="Times New Roman"/>
        </w:rPr>
        <w:t>月</w:t>
      </w:r>
      <w:r>
        <w:rPr>
          <w:rFonts w:ascii="Times New Roman" w:hAnsi="Times New Roman"/>
        </w:rPr>
        <w:t>21</w:t>
      </w:r>
      <w:r>
        <w:rPr>
          <w:rFonts w:hint="eastAsia" w:ascii="Times New Roman" w:hAnsi="Times New Roman"/>
        </w:rPr>
        <w:t>日山东省第十三届人民代表大会常务委员会第五次会议批准，自2018年9月25日起施行；</w:t>
      </w:r>
    </w:p>
    <w:p>
      <w:pPr>
        <w:snapToGrid w:val="0"/>
        <w:ind w:firstLine="560"/>
        <w:rPr>
          <w:rFonts w:ascii="Times New Roman" w:hAnsi="Times New Roman"/>
        </w:rPr>
      </w:pPr>
    </w:p>
    <w:p>
      <w:pPr>
        <w:pStyle w:val="25"/>
      </w:pPr>
      <w:bookmarkStart w:id="12" w:name="_Toc35526437"/>
      <w:r>
        <w:rPr>
          <w:rFonts w:hint="eastAsia"/>
        </w:rPr>
        <w:t>相关标准、规范</w:t>
      </w:r>
      <w:bookmarkEnd w:id="12"/>
    </w:p>
    <w:p>
      <w:pPr>
        <w:snapToGrid w:val="0"/>
        <w:ind w:firstLine="560"/>
        <w:rPr>
          <w:rFonts w:ascii="Times New Roman" w:hAnsi="Times New Roman"/>
        </w:rPr>
      </w:pPr>
      <w:r>
        <w:rPr>
          <w:rFonts w:hint="eastAsia" w:ascii="Times New Roman" w:hAnsi="Times New Roman"/>
        </w:rPr>
        <w:t>（1）《饮用水水源保护区划分技术规范》（HJ/T338-2018）；</w:t>
      </w:r>
    </w:p>
    <w:p>
      <w:pPr>
        <w:snapToGrid w:val="0"/>
        <w:ind w:firstLine="560"/>
        <w:rPr>
          <w:rFonts w:ascii="Times New Roman" w:hAnsi="Times New Roman"/>
        </w:rPr>
      </w:pPr>
      <w:r>
        <w:rPr>
          <w:rFonts w:hint="eastAsia" w:ascii="Times New Roman" w:hAnsi="Times New Roman"/>
        </w:rPr>
        <w:t>（2）《集中式饮用水水源地环境保护状况评估技术规范》（HJ774-2015）；</w:t>
      </w:r>
    </w:p>
    <w:p>
      <w:pPr>
        <w:snapToGrid w:val="0"/>
        <w:ind w:firstLine="560"/>
        <w:rPr>
          <w:rFonts w:ascii="Times New Roman" w:hAnsi="Times New Roman"/>
        </w:rPr>
      </w:pPr>
      <w:r>
        <w:rPr>
          <w:rFonts w:hint="eastAsia" w:ascii="Times New Roman" w:hAnsi="Times New Roman"/>
        </w:rPr>
        <w:t>（3）《集中式饮用水水源编码规范》（HJ747-2015）；</w:t>
      </w:r>
    </w:p>
    <w:p>
      <w:pPr>
        <w:snapToGrid w:val="0"/>
        <w:ind w:firstLine="560"/>
        <w:rPr>
          <w:rFonts w:ascii="Times New Roman" w:hAnsi="Times New Roman"/>
        </w:rPr>
      </w:pPr>
      <w:r>
        <w:rPr>
          <w:rFonts w:hint="eastAsia" w:ascii="Times New Roman" w:hAnsi="Times New Roman"/>
        </w:rPr>
        <w:t>（4）《集中式饮用水水源地规范化建设环境保护技术要求》（HJ773-2015）；</w:t>
      </w:r>
    </w:p>
    <w:p>
      <w:pPr>
        <w:snapToGrid w:val="0"/>
        <w:ind w:firstLine="560"/>
        <w:rPr>
          <w:rFonts w:ascii="Times New Roman" w:hAnsi="Times New Roman"/>
        </w:rPr>
      </w:pPr>
      <w:r>
        <w:rPr>
          <w:rFonts w:hint="eastAsia" w:ascii="Times New Roman" w:hAnsi="Times New Roman"/>
        </w:rPr>
        <w:t>（5）《饮用水水源保护区标志技术规范》（HJ/T433-2008）；</w:t>
      </w:r>
    </w:p>
    <w:p>
      <w:pPr>
        <w:snapToGrid w:val="0"/>
        <w:ind w:firstLine="560"/>
        <w:rPr>
          <w:rFonts w:ascii="Times New Roman" w:hAnsi="Times New Roman"/>
        </w:rPr>
      </w:pPr>
      <w:r>
        <w:rPr>
          <w:rFonts w:hint="eastAsia" w:ascii="Times New Roman" w:hAnsi="Times New Roman"/>
        </w:rPr>
        <w:t>（6）《集中式饮用水水源环境保护指南（试行）》（环办【2012】50 号）；</w:t>
      </w:r>
    </w:p>
    <w:p>
      <w:pPr>
        <w:snapToGrid w:val="0"/>
        <w:ind w:firstLine="560"/>
        <w:rPr>
          <w:rFonts w:ascii="Times New Roman" w:hAnsi="Times New Roman"/>
        </w:rPr>
      </w:pPr>
      <w:r>
        <w:rPr>
          <w:rFonts w:hint="eastAsia" w:ascii="Times New Roman" w:hAnsi="Times New Roman"/>
        </w:rPr>
        <w:t>（7）《集中式地表水饮用水水源地环境应急管理工作指南（试行）》（环办【2011】93 号）；</w:t>
      </w:r>
    </w:p>
    <w:p>
      <w:pPr>
        <w:snapToGrid w:val="0"/>
        <w:ind w:firstLine="560"/>
        <w:rPr>
          <w:rFonts w:ascii="Times New Roman" w:hAnsi="Times New Roman"/>
        </w:rPr>
      </w:pPr>
      <w:r>
        <w:rPr>
          <w:rFonts w:hint="eastAsia" w:ascii="Times New Roman" w:hAnsi="Times New Roman"/>
        </w:rPr>
        <w:t>（8）《生活饮用水集中式供水单位规范》（2001 年 9 月 1 日）；</w:t>
      </w:r>
    </w:p>
    <w:p>
      <w:pPr>
        <w:snapToGrid w:val="0"/>
        <w:ind w:firstLine="560"/>
        <w:rPr>
          <w:rFonts w:ascii="Times New Roman" w:hAnsi="Times New Roman"/>
        </w:rPr>
      </w:pPr>
      <w:r>
        <w:rPr>
          <w:rFonts w:hint="eastAsia" w:ascii="Times New Roman" w:hAnsi="Times New Roman"/>
        </w:rPr>
        <w:t>（9）《地表水和污水监测技术规范》（HJ/T91-2002）；</w:t>
      </w:r>
    </w:p>
    <w:p>
      <w:pPr>
        <w:snapToGrid w:val="0"/>
        <w:ind w:firstLine="560"/>
        <w:rPr>
          <w:rFonts w:ascii="Times New Roman" w:hAnsi="Times New Roman"/>
        </w:rPr>
      </w:pPr>
      <w:r>
        <w:rPr>
          <w:rFonts w:hint="eastAsia" w:ascii="Times New Roman" w:hAnsi="Times New Roman"/>
        </w:rPr>
        <w:t>（10）《生活饮用水集中式供水单位卫生规范》（卫监发[2001]161 号）；</w:t>
      </w:r>
    </w:p>
    <w:p>
      <w:pPr>
        <w:snapToGrid w:val="0"/>
        <w:ind w:firstLine="560"/>
        <w:rPr>
          <w:rFonts w:ascii="Times New Roman" w:hAnsi="Times New Roman"/>
        </w:rPr>
      </w:pPr>
      <w:r>
        <w:rPr>
          <w:rFonts w:hint="eastAsia" w:ascii="Times New Roman" w:hAnsi="Times New Roman"/>
        </w:rPr>
        <w:t>（11）《地表水环境质量标准》（GB3838-2002）；</w:t>
      </w:r>
    </w:p>
    <w:p>
      <w:pPr>
        <w:snapToGrid w:val="0"/>
        <w:ind w:firstLine="560"/>
        <w:rPr>
          <w:rFonts w:ascii="Times New Roman" w:hAnsi="Times New Roman"/>
        </w:rPr>
      </w:pPr>
      <w:r>
        <w:rPr>
          <w:rFonts w:hint="eastAsia" w:ascii="Times New Roman" w:hAnsi="Times New Roman"/>
        </w:rPr>
        <w:t>（12）《生活饮用水卫生标准》（GB5749-2006）。</w:t>
      </w:r>
    </w:p>
    <w:p>
      <w:pPr>
        <w:pStyle w:val="25"/>
      </w:pPr>
      <w:bookmarkStart w:id="13" w:name="_Toc35526438"/>
      <w:r>
        <w:rPr>
          <w:rFonts w:hint="eastAsia"/>
        </w:rPr>
        <w:t>相关规划</w:t>
      </w:r>
      <w:bookmarkEnd w:id="13"/>
    </w:p>
    <w:p>
      <w:pPr>
        <w:ind w:firstLine="560"/>
      </w:pPr>
      <w:r>
        <w:rPr>
          <w:rFonts w:hint="eastAsia"/>
        </w:rPr>
        <w:t>（1）《全国城市饮用水水源地环境保护规划》（2013年）；</w:t>
      </w:r>
    </w:p>
    <w:p>
      <w:pPr>
        <w:ind w:firstLine="560"/>
      </w:pPr>
      <w:r>
        <w:rPr>
          <w:rFonts w:hint="eastAsia"/>
        </w:rPr>
        <w:t>（2）《《山东省生态环境保护“十三五”规划》（201</w:t>
      </w:r>
      <w:r>
        <w:t>7</w:t>
      </w:r>
      <w:r>
        <w:rPr>
          <w:rFonts w:hint="eastAsia"/>
        </w:rPr>
        <w:t>年）；</w:t>
      </w:r>
    </w:p>
    <w:p>
      <w:pPr>
        <w:ind w:firstLine="560"/>
      </w:pPr>
      <w:r>
        <w:rPr>
          <w:rFonts w:hint="eastAsia"/>
        </w:rPr>
        <w:t>（3）《淄博市国民经济和社会发展第十三个五年规划纲要》（</w:t>
      </w:r>
      <w:r>
        <w:t>2016</w:t>
      </w:r>
      <w:r>
        <w:rPr>
          <w:rFonts w:hint="eastAsia"/>
        </w:rPr>
        <w:t>年）</w:t>
      </w:r>
    </w:p>
    <w:p>
      <w:pPr>
        <w:ind w:firstLine="560"/>
      </w:pPr>
      <w:r>
        <w:rPr>
          <w:rFonts w:hint="eastAsia"/>
        </w:rPr>
        <w:t>（4）《淄博市城市总体规划（2006-2020年）》（2007年）</w:t>
      </w:r>
    </w:p>
    <w:p>
      <w:pPr>
        <w:ind w:firstLine="560"/>
      </w:pPr>
      <w:r>
        <w:rPr>
          <w:rFonts w:hint="eastAsia"/>
        </w:rPr>
        <w:t>（5）《淄博市水利发展“十三五”规划》（2018年）</w:t>
      </w:r>
    </w:p>
    <w:p>
      <w:pPr>
        <w:ind w:firstLine="560"/>
      </w:pPr>
      <w:r>
        <w:rPr>
          <w:rFonts w:hint="eastAsia"/>
        </w:rPr>
        <w:t>（6）《淄博市生态建设规划》（2005年）</w:t>
      </w:r>
    </w:p>
    <w:p>
      <w:pPr>
        <w:ind w:firstLine="560"/>
        <w:rPr>
          <w:rFonts w:ascii="Times New Roman" w:hAnsi="Times New Roman"/>
        </w:rPr>
      </w:pPr>
      <w:r>
        <w:rPr>
          <w:rFonts w:hint="eastAsia"/>
        </w:rPr>
        <w:t>（7）《淄博市水安全保障规划》（2018年）</w:t>
      </w:r>
    </w:p>
    <w:p>
      <w:pPr>
        <w:ind w:firstLine="560"/>
      </w:pPr>
      <w:r>
        <w:rPr>
          <w:rFonts w:hint="eastAsia"/>
        </w:rPr>
        <w:t>（8）《博山区水系专项规划》（2018年）</w:t>
      </w:r>
    </w:p>
    <w:p>
      <w:pPr>
        <w:ind w:firstLine="560"/>
      </w:pPr>
      <w:r>
        <w:rPr>
          <w:rFonts w:hint="eastAsia"/>
        </w:rPr>
        <w:t>（9）《博山区土地利用总体规划（</w:t>
      </w:r>
      <w:r>
        <w:t>2006-2020</w:t>
      </w:r>
      <w:r>
        <w:rPr>
          <w:rFonts w:hint="eastAsia"/>
        </w:rPr>
        <w:t>年）调整完善方案》（2017年）</w:t>
      </w:r>
    </w:p>
    <w:p>
      <w:pPr>
        <w:pStyle w:val="25"/>
      </w:pPr>
      <w:bookmarkStart w:id="14" w:name="_Toc35526439"/>
      <w:bookmarkStart w:id="15" w:name="_Toc445738622"/>
      <w:bookmarkStart w:id="16" w:name="_Toc367651653"/>
      <w:bookmarkStart w:id="17" w:name="_Toc368002197"/>
      <w:bookmarkStart w:id="18" w:name="_Toc283458576"/>
      <w:r>
        <w:rPr>
          <w:rFonts w:hint="eastAsia"/>
        </w:rPr>
        <w:t>相关技术资料</w:t>
      </w:r>
      <w:bookmarkEnd w:id="14"/>
    </w:p>
    <w:bookmarkEnd w:id="15"/>
    <w:bookmarkEnd w:id="16"/>
    <w:bookmarkEnd w:id="17"/>
    <w:bookmarkEnd w:id="18"/>
    <w:p>
      <w:pPr>
        <w:snapToGrid w:val="0"/>
        <w:ind w:firstLine="560"/>
        <w:rPr>
          <w:rFonts w:ascii="Times New Roman" w:hAnsi="Times New Roman"/>
        </w:rPr>
      </w:pPr>
      <w:r>
        <w:rPr>
          <w:rFonts w:hint="eastAsia" w:ascii="Times New Roman" w:hAnsi="Times New Roman"/>
        </w:rPr>
        <w:t>（1）</w:t>
      </w:r>
      <w:r>
        <w:rPr>
          <w:rFonts w:ascii="Times New Roman" w:hAnsi="Times New Roman"/>
        </w:rPr>
        <w:t>《</w:t>
      </w:r>
      <w:r>
        <w:rPr>
          <w:rFonts w:hint="eastAsia" w:ascii="Times New Roman" w:hAnsi="Times New Roman"/>
        </w:rPr>
        <w:t>山东省</w:t>
      </w:r>
      <w:r>
        <w:rPr>
          <w:rFonts w:ascii="Times New Roman" w:hAnsi="Times New Roman"/>
        </w:rPr>
        <w:t>淄博市博山区谢家店</w:t>
      </w:r>
      <w:r>
        <w:rPr>
          <w:rFonts w:hint="eastAsia" w:ascii="Times New Roman" w:hAnsi="Times New Roman"/>
        </w:rPr>
        <w:t>地区供水水文</w:t>
      </w:r>
      <w:r>
        <w:rPr>
          <w:rFonts w:ascii="Times New Roman" w:hAnsi="Times New Roman"/>
        </w:rPr>
        <w:t>地质勘查报告》（</w:t>
      </w:r>
      <w:r>
        <w:rPr>
          <w:rFonts w:hint="eastAsia" w:ascii="Times New Roman" w:hAnsi="Times New Roman"/>
        </w:rPr>
        <w:t>山东省地矿工程勘察院，</w:t>
      </w:r>
      <w:r>
        <w:rPr>
          <w:rFonts w:ascii="Times New Roman" w:hAnsi="Times New Roman"/>
        </w:rPr>
        <w:t>2018.</w:t>
      </w:r>
      <w:r>
        <w:rPr>
          <w:rFonts w:hint="eastAsia" w:ascii="Times New Roman" w:hAnsi="Times New Roman"/>
        </w:rPr>
        <w:t>0</w:t>
      </w:r>
      <w:r>
        <w:rPr>
          <w:rFonts w:ascii="Times New Roman" w:hAnsi="Times New Roman"/>
        </w:rPr>
        <w:t>2）</w:t>
      </w:r>
    </w:p>
    <w:p>
      <w:pPr>
        <w:pStyle w:val="27"/>
      </w:pPr>
      <w:bookmarkStart w:id="19" w:name="_Toc35526440"/>
      <w:r>
        <w:t>技术路线</w:t>
      </w:r>
      <w:bookmarkEnd w:id="19"/>
    </w:p>
    <w:p>
      <w:pPr>
        <w:snapToGrid w:val="0"/>
        <w:ind w:firstLine="560"/>
        <w:rPr>
          <w:rFonts w:ascii="Times New Roman" w:hAnsi="Times New Roman"/>
        </w:rPr>
      </w:pPr>
      <w:r>
        <w:rPr>
          <w:rFonts w:ascii="Times New Roman" w:hAnsi="Times New Roman"/>
        </w:rPr>
        <w:t>按照国家有关法律法规和党中央、国务院“切实保护好饮用水源，让群众喝上放心水”的要求，保护区范围的划分和调整以保障饮用水水质安全为第一要务。基于水源地基本情况、规划、区域地形地貌、地质和水文地质条件等资料，严格遵循《饮用水水源保护区划分技术规范》（HJ/T 338-20</w:t>
      </w:r>
      <w:r>
        <w:rPr>
          <w:rFonts w:hint="eastAsia" w:ascii="Times New Roman" w:hAnsi="Times New Roman"/>
        </w:rPr>
        <w:t>18</w:t>
      </w:r>
      <w:r>
        <w:rPr>
          <w:rFonts w:ascii="Times New Roman" w:hAnsi="Times New Roman"/>
        </w:rPr>
        <w:t>），科学合理</w:t>
      </w:r>
      <w:r>
        <w:rPr>
          <w:rFonts w:hint="eastAsia" w:ascii="Times New Roman" w:hAnsi="Times New Roman"/>
        </w:rPr>
        <w:t>划分</w:t>
      </w:r>
      <w:r>
        <w:rPr>
          <w:rFonts w:ascii="Times New Roman" w:hAnsi="Times New Roman"/>
        </w:rPr>
        <w:t>调整保护区范围。</w:t>
      </w:r>
      <w:bookmarkStart w:id="20" w:name="_Hlk486406170"/>
      <w:r>
        <w:rPr>
          <w:rFonts w:ascii="Times New Roman" w:hAnsi="Times New Roman"/>
        </w:rPr>
        <w:t>与博山区供水规划、土地利用总体规划、城市发展规划等做好充分衔接，保障</w:t>
      </w:r>
      <w:r>
        <w:rPr>
          <w:rFonts w:hint="eastAsia" w:ascii="Times New Roman" w:hAnsi="Times New Roman"/>
        </w:rPr>
        <w:t>饮用水</w:t>
      </w:r>
      <w:r>
        <w:rPr>
          <w:rFonts w:ascii="Times New Roman" w:hAnsi="Times New Roman"/>
        </w:rPr>
        <w:t>水源保护区调整方案的合理性和可操作性。</w:t>
      </w:r>
      <w:bookmarkEnd w:id="20"/>
      <w:r>
        <w:rPr>
          <w:rFonts w:ascii="Times New Roman" w:hAnsi="Times New Roman"/>
        </w:rPr>
        <w:t>尽量利用行政区界、山脊线、公路等地形、地标、地物为边界，便于边界识别和日常监督管理。</w:t>
      </w:r>
    </w:p>
    <w:p>
      <w:pPr>
        <w:snapToGrid w:val="0"/>
        <w:ind w:firstLine="560"/>
        <w:rPr>
          <w:rFonts w:ascii="Times New Roman" w:hAnsi="Times New Roman"/>
        </w:rPr>
      </w:pPr>
      <w:r>
        <w:rPr>
          <w:rFonts w:ascii="Times New Roman" w:hAnsi="Times New Roman"/>
        </w:rPr>
        <w:t>本工作</w:t>
      </w:r>
      <w:r>
        <w:rPr>
          <w:rFonts w:hint="eastAsia" w:ascii="Times New Roman" w:hAnsi="Times New Roman"/>
        </w:rPr>
        <w:t>主要内容是谢家店</w:t>
      </w:r>
      <w:r>
        <w:rPr>
          <w:rFonts w:ascii="Times New Roman" w:hAnsi="Times New Roman"/>
        </w:rPr>
        <w:t>饮用水水源保护区的</w:t>
      </w:r>
      <w:r>
        <w:rPr>
          <w:rFonts w:hint="eastAsia" w:ascii="Times New Roman" w:hAnsi="Times New Roman"/>
        </w:rPr>
        <w:t>划分</w:t>
      </w:r>
      <w:r>
        <w:rPr>
          <w:rFonts w:ascii="Times New Roman" w:hAnsi="Times New Roman"/>
        </w:rPr>
        <w:t>，工作技术路线如下：</w:t>
      </w:r>
    </w:p>
    <w:p>
      <w:pPr>
        <w:snapToGrid w:val="0"/>
        <w:ind w:firstLine="560"/>
        <w:rPr>
          <w:rFonts w:ascii="Times New Roman" w:hAnsi="Times New Roman"/>
        </w:rPr>
      </w:pPr>
      <w:r>
        <w:rPr>
          <w:rFonts w:ascii="Times New Roman" w:hAnsi="Times New Roman"/>
        </w:rPr>
        <w:t>（1）资料收集、现场调查和汇总。收集相关自然、社会经济、水资源利用量、水文地质、环境现状和发展规划等方面的资料，进行分类汇总；收集淄博市博山区地表、地下水源地基本情况。</w:t>
      </w:r>
    </w:p>
    <w:p>
      <w:pPr>
        <w:snapToGrid w:val="0"/>
        <w:ind w:firstLine="560"/>
        <w:rPr>
          <w:rFonts w:ascii="Times New Roman" w:hAnsi="Times New Roman"/>
        </w:rPr>
      </w:pPr>
      <w:r>
        <w:rPr>
          <w:rFonts w:ascii="Times New Roman" w:hAnsi="Times New Roman"/>
        </w:rPr>
        <w:t>（2）资料分析和评价。分析水资源利用现状。对地下水水源地水质进行水质类别评价及水质定性综合评价，确定水质类别和地下水质量评价级别。</w:t>
      </w:r>
    </w:p>
    <w:p>
      <w:pPr>
        <w:snapToGrid w:val="0"/>
        <w:ind w:firstLine="560"/>
        <w:rPr>
          <w:rFonts w:ascii="Times New Roman" w:hAnsi="Times New Roman"/>
        </w:rPr>
      </w:pPr>
      <w:r>
        <w:rPr>
          <w:rFonts w:ascii="Times New Roman" w:hAnsi="Times New Roman"/>
        </w:rPr>
        <w:t>（3）确定划分原则和依据。根据各饮用水水源地的实际情况，确定适合本市（区域）饮用水水源保护区划分原则和依据。</w:t>
      </w:r>
    </w:p>
    <w:p>
      <w:pPr>
        <w:snapToGrid w:val="0"/>
        <w:ind w:firstLine="560"/>
        <w:rPr>
          <w:rFonts w:ascii="Times New Roman" w:hAnsi="Times New Roman"/>
        </w:rPr>
      </w:pPr>
      <w:r>
        <w:rPr>
          <w:rFonts w:ascii="Times New Roman" w:hAnsi="Times New Roman"/>
        </w:rPr>
        <w:t>（4）筛选划分方法。根据资料收集情况，选择合适的方法划分保护区。</w:t>
      </w:r>
    </w:p>
    <w:p>
      <w:pPr>
        <w:snapToGrid w:val="0"/>
        <w:ind w:firstLine="560"/>
        <w:rPr>
          <w:rFonts w:ascii="Times New Roman" w:hAnsi="Times New Roman"/>
        </w:rPr>
      </w:pPr>
      <w:r>
        <w:rPr>
          <w:rFonts w:ascii="Times New Roman" w:hAnsi="Times New Roman"/>
        </w:rPr>
        <w:t>（5）调整饮用水水源保护区。根据实地调研的饮用水水源地的实际情况，按照划分方法的要求，计算或统计饮用水水源保护区范围，并完成勘界工作。</w:t>
      </w:r>
    </w:p>
    <w:p>
      <w:pPr>
        <w:snapToGrid w:val="0"/>
        <w:ind w:firstLine="560"/>
        <w:rPr>
          <w:rFonts w:ascii="Times New Roman" w:hAnsi="Times New Roman"/>
        </w:rPr>
      </w:pPr>
      <w:r>
        <w:rPr>
          <w:rFonts w:ascii="Times New Roman" w:hAnsi="Times New Roman"/>
        </w:rPr>
        <w:t>（6）专家咨询。针对调整方案向环保、水利、水文地质相关领域的专家进行咨询，论证方案的科学性。</w:t>
      </w:r>
    </w:p>
    <w:p>
      <w:pPr>
        <w:snapToGrid w:val="0"/>
        <w:ind w:firstLine="560"/>
        <w:rPr>
          <w:rFonts w:ascii="Times New Roman" w:hAnsi="Times New Roman"/>
        </w:rPr>
      </w:pPr>
      <w:r>
        <w:rPr>
          <w:rFonts w:ascii="Times New Roman" w:hAnsi="Times New Roman"/>
        </w:rPr>
        <w:t>（7）征求有关部门意见。征集各饮用水水源地所属主要行政区环保、水利、流域和水文地质等相关部门的意见，进行归纳，分析后重新修改，绘制图件。</w:t>
      </w:r>
    </w:p>
    <w:p>
      <w:pPr>
        <w:snapToGrid w:val="0"/>
        <w:ind w:firstLine="560"/>
        <w:rPr>
          <w:rFonts w:ascii="Times New Roman" w:hAnsi="Times New Roman"/>
        </w:rPr>
      </w:pPr>
      <w:r>
        <w:rPr>
          <w:rFonts w:ascii="Times New Roman" w:hAnsi="Times New Roman"/>
        </w:rPr>
        <w:t>（8）审查报批。将淄博市博山区谢家店饮用水水源保护区方案报政府批准实施。</w:t>
      </w:r>
    </w:p>
    <w:p>
      <w:pPr>
        <w:snapToGrid w:val="0"/>
        <w:ind w:firstLine="0" w:firstLineChars="0"/>
        <w:rPr>
          <w:rFonts w:ascii="Times New Roman" w:hAnsi="Times New Roman"/>
        </w:rPr>
      </w:pPr>
      <w:r>
        <w:rPr>
          <w:rFonts w:ascii="Times New Roman" w:hAnsi="Times New Roman"/>
        </w:rPr>
        <w:drawing>
          <wp:inline distT="0" distB="0" distL="0" distR="0">
            <wp:extent cx="5274310" cy="5310505"/>
            <wp:effectExtent l="0" t="0" r="254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74310" cy="5310505"/>
                    </a:xfrm>
                    <a:prstGeom prst="rect">
                      <a:avLst/>
                    </a:prstGeom>
                    <a:noFill/>
                    <a:ln>
                      <a:noFill/>
                    </a:ln>
                  </pic:spPr>
                </pic:pic>
              </a:graphicData>
            </a:graphic>
          </wp:inline>
        </w:drawing>
      </w:r>
    </w:p>
    <w:p>
      <w:pPr>
        <w:snapToGrid w:val="0"/>
        <w:ind w:firstLine="0" w:firstLineChars="0"/>
        <w:jc w:val="center"/>
        <w:rPr>
          <w:rFonts w:ascii="Times New Roman" w:hAnsi="Times New Roman"/>
          <w:b/>
          <w:sz w:val="24"/>
        </w:rPr>
      </w:pPr>
      <w:r>
        <w:rPr>
          <w:rFonts w:hint="eastAsia" w:ascii="Times New Roman" w:hAnsi="Times New Roman"/>
          <w:b/>
          <w:sz w:val="24"/>
        </w:rPr>
        <w:t>图1-1</w:t>
      </w:r>
      <w:r>
        <w:rPr>
          <w:rFonts w:ascii="Times New Roman" w:hAnsi="Times New Roman"/>
          <w:b/>
          <w:sz w:val="24"/>
        </w:rPr>
        <w:t xml:space="preserve"> </w:t>
      </w:r>
      <w:r>
        <w:rPr>
          <w:rFonts w:hint="eastAsia" w:ascii="Times New Roman" w:hAnsi="Times New Roman"/>
          <w:b/>
          <w:sz w:val="24"/>
        </w:rPr>
        <w:t>技术路线</w:t>
      </w:r>
    </w:p>
    <w:p>
      <w:pPr>
        <w:snapToGrid w:val="0"/>
        <w:ind w:firstLine="0" w:firstLineChars="0"/>
        <w:rPr>
          <w:rFonts w:ascii="Times New Roman" w:hAnsi="Times New Roman"/>
          <w:b/>
        </w:rPr>
        <w:sectPr>
          <w:footerReference r:id="rId11" w:type="default"/>
          <w:pgSz w:w="11906" w:h="16838"/>
          <w:pgMar w:top="1440" w:right="1800" w:bottom="1440" w:left="1800" w:header="851" w:footer="992" w:gutter="0"/>
          <w:pgNumType w:start="1"/>
          <w:cols w:space="425" w:num="1"/>
          <w:docGrid w:type="lines" w:linePitch="312" w:charSpace="0"/>
        </w:sectPr>
      </w:pPr>
    </w:p>
    <w:p>
      <w:pPr>
        <w:pStyle w:val="2"/>
        <w:numPr>
          <w:ilvl w:val="0"/>
          <w:numId w:val="1"/>
        </w:numPr>
        <w:spacing w:before="120" w:after="120" w:line="360" w:lineRule="auto"/>
        <w:ind w:left="715" w:hanging="432" w:firstLineChars="0"/>
        <w:jc w:val="center"/>
        <w:rPr>
          <w:rFonts w:hAnsi="Times New Roman" w:eastAsia="宋体"/>
          <w:sz w:val="36"/>
          <w:szCs w:val="36"/>
          <w:lang w:val="zh-CN" w:eastAsia="zh-CN"/>
        </w:rPr>
      </w:pPr>
      <w:bookmarkStart w:id="21" w:name="_Toc35526441"/>
      <w:r>
        <w:rPr>
          <w:rFonts w:hAnsi="Times New Roman" w:eastAsia="宋体"/>
          <w:sz w:val="36"/>
          <w:szCs w:val="36"/>
          <w:lang w:val="zh-CN" w:eastAsia="zh-CN"/>
        </w:rPr>
        <w:t>淄博市博山区基础</w:t>
      </w:r>
      <w:r>
        <w:rPr>
          <w:rFonts w:hint="eastAsia" w:hAnsi="Times New Roman" w:eastAsia="宋体"/>
          <w:sz w:val="36"/>
          <w:szCs w:val="36"/>
          <w:lang w:val="zh-CN"/>
        </w:rPr>
        <w:t>状</w:t>
      </w:r>
      <w:r>
        <w:rPr>
          <w:rFonts w:hAnsi="Times New Roman" w:eastAsia="宋体"/>
          <w:sz w:val="36"/>
          <w:szCs w:val="36"/>
          <w:lang w:val="zh-CN" w:eastAsia="zh-CN"/>
        </w:rPr>
        <w:t>况</w:t>
      </w:r>
      <w:bookmarkEnd w:id="21"/>
    </w:p>
    <w:p>
      <w:pPr>
        <w:pStyle w:val="27"/>
      </w:pPr>
      <w:bookmarkStart w:id="22" w:name="_Toc35526442"/>
      <w:r>
        <w:t>自然环境概况</w:t>
      </w:r>
      <w:bookmarkEnd w:id="22"/>
    </w:p>
    <w:p>
      <w:pPr>
        <w:pStyle w:val="25"/>
      </w:pPr>
      <w:bookmarkStart w:id="23" w:name="_Toc35526443"/>
      <w:r>
        <w:t>地理位置</w:t>
      </w:r>
      <w:r>
        <w:rPr>
          <w:rFonts w:hint="eastAsia"/>
        </w:rPr>
        <w:t>和</w:t>
      </w:r>
      <w:r>
        <w:t>交通</w:t>
      </w:r>
      <w:bookmarkEnd w:id="23"/>
    </w:p>
    <w:p>
      <w:pPr>
        <w:snapToGrid w:val="0"/>
        <w:ind w:firstLine="560"/>
        <w:rPr>
          <w:rFonts w:ascii="Times New Roman" w:hAnsi="Times New Roman"/>
        </w:rPr>
      </w:pPr>
      <w:r>
        <w:rPr>
          <w:rFonts w:hint="eastAsia" w:ascii="Times New Roman" w:hAnsi="Times New Roman"/>
        </w:rPr>
        <w:t>博山区位于鲁中山区北部，淄博市南部，位置坐标：东经117°43′—118°42′，北纬36°16′—36°31′。南与沂源县接壤，西南接莱芜，西北与章丘交界，东部和北部与淄川区毗邻，南北长49.4公里，东西宽20公里，总面积698.2平方公里。距济南国际飞机场70公里。</w:t>
      </w:r>
      <w:r>
        <w:rPr>
          <w:rFonts w:ascii="Times New Roman" w:hAnsi="Times New Roman"/>
        </w:rPr>
        <w:t>区内交通方便，济青高速、滨莱高速、309国道、205国道、胶济铁路等多条高速、国道和铁路从境内穿过，济南至青州等6条省道以及乡镇公路与主干交通线共同组成了四通八达的公路、铁路交通网络</w:t>
      </w:r>
      <w:r>
        <w:rPr>
          <w:rFonts w:hint="eastAsia" w:ascii="Times New Roman" w:hAnsi="Times New Roman"/>
        </w:rPr>
        <w:t>（见图2-1）</w:t>
      </w:r>
      <w:r>
        <w:rPr>
          <w:rFonts w:ascii="Times New Roman" w:hAnsi="Times New Roman"/>
        </w:rPr>
        <w:t>，沟通了淄博市博山区与全国各地的联系。</w:t>
      </w:r>
    </w:p>
    <w:p>
      <w:pPr>
        <w:pStyle w:val="25"/>
        <w:numPr>
          <w:ilvl w:val="2"/>
          <w:numId w:val="2"/>
        </w:numPr>
      </w:pPr>
      <w:bookmarkStart w:id="24" w:name="_Toc35526444"/>
      <w:r>
        <w:t>气候</w:t>
      </w:r>
      <w:r>
        <w:rPr>
          <w:rFonts w:hint="eastAsia"/>
        </w:rPr>
        <w:t>条件</w:t>
      </w:r>
      <w:bookmarkEnd w:id="24"/>
    </w:p>
    <w:p>
      <w:pPr>
        <w:snapToGrid w:val="0"/>
        <w:ind w:firstLine="560"/>
        <w:rPr>
          <w:rFonts w:ascii="Times New Roman" w:hAnsi="Times New Roman"/>
        </w:rPr>
      </w:pPr>
      <w:r>
        <w:rPr>
          <w:rFonts w:hint="eastAsia" w:ascii="Times New Roman" w:hAnsi="Times New Roman"/>
        </w:rPr>
        <w:t xml:space="preserve">博山区大陆度为61.3，属暖温带季风区半湿润气候。年平均气温13.6℃，全年无霜期201天。年平均降水量为719.3毫米，分布不均。四季分明，季风气候明显，春季空气干燥，降水少，温度回升快，多西南大风，常有干旱、霜冻等灾害发生；夏季高温高湿，降水量集中且多雷雨大风；秋季气温下降，雨量突减，天气晴朗稳定；冬季气候干燥寒冷，雨雪少，多北向大风。四季分布是冬夏长，春秋短。冬季最长，为140天；夏季次之，为100天；春季最短，为60天。 </w:t>
      </w:r>
    </w:p>
    <w:p>
      <w:pPr>
        <w:snapToGrid w:val="0"/>
        <w:ind w:firstLine="560"/>
        <w:rPr>
          <w:rFonts w:ascii="Times New Roman" w:hAnsi="Times New Roman"/>
          <w:highlight w:val="yellow"/>
        </w:rPr>
      </w:pPr>
      <w:r>
        <w:rPr>
          <w:rFonts w:hint="eastAsia" w:ascii="Times New Roman" w:hAnsi="Times New Roman"/>
        </w:rPr>
        <w:t>博山区年平均相对空气湿度为60%，呈半湿润状况。夏季风控制的6—10月份月平均值在60—80%之间；冬季风控制的11至严年5月份在50—60%之间。蒸发量年平均为</w:t>
      </w:r>
      <w:r>
        <w:rPr>
          <w:rFonts w:ascii="Times New Roman" w:hAnsi="Times New Roman"/>
        </w:rPr>
        <w:t>1939.7</w:t>
      </w:r>
      <w:r>
        <w:rPr>
          <w:rFonts w:hint="eastAsia" w:ascii="Times New Roman" w:hAnsi="Times New Roman"/>
        </w:rPr>
        <w:t>毫米。各季相差大。</w:t>
      </w:r>
      <w:r>
        <w:rPr>
          <w:rFonts w:ascii="Times New Roman" w:hAnsi="Times New Roman"/>
        </w:rPr>
        <w:t>5</w:t>
      </w:r>
      <w:r>
        <w:rPr>
          <w:rFonts w:hint="cs" w:ascii="Times New Roman" w:hAnsi="Times New Roman"/>
        </w:rPr>
        <w:t>—</w:t>
      </w:r>
      <w:r>
        <w:rPr>
          <w:rFonts w:ascii="Times New Roman" w:hAnsi="Times New Roman"/>
        </w:rPr>
        <w:t>6</w:t>
      </w:r>
      <w:r>
        <w:rPr>
          <w:rFonts w:hint="eastAsia" w:ascii="Times New Roman" w:hAnsi="Times New Roman"/>
        </w:rPr>
        <w:t>月超过</w:t>
      </w:r>
      <w:r>
        <w:rPr>
          <w:rFonts w:ascii="Times New Roman" w:hAnsi="Times New Roman"/>
        </w:rPr>
        <w:t>280</w:t>
      </w:r>
      <w:r>
        <w:rPr>
          <w:rFonts w:hint="eastAsia" w:ascii="Times New Roman" w:hAnsi="Times New Roman"/>
        </w:rPr>
        <w:t>毫米，</w:t>
      </w:r>
      <w:r>
        <w:rPr>
          <w:rFonts w:ascii="Times New Roman" w:hAnsi="Times New Roman"/>
        </w:rPr>
        <w:t>12</w:t>
      </w:r>
      <w:r>
        <w:rPr>
          <w:rFonts w:hint="eastAsia" w:ascii="Times New Roman" w:hAnsi="Times New Roman"/>
        </w:rPr>
        <w:t>月、</w:t>
      </w:r>
      <w:r>
        <w:rPr>
          <w:rFonts w:ascii="Times New Roman" w:hAnsi="Times New Roman"/>
        </w:rPr>
        <w:t>1</w:t>
      </w:r>
      <w:r>
        <w:rPr>
          <w:rFonts w:hint="eastAsia" w:ascii="Times New Roman" w:hAnsi="Times New Roman"/>
        </w:rPr>
        <w:t>月、</w:t>
      </w:r>
      <w:r>
        <w:rPr>
          <w:rFonts w:ascii="Times New Roman" w:hAnsi="Times New Roman"/>
        </w:rPr>
        <w:t>2</w:t>
      </w:r>
      <w:r>
        <w:rPr>
          <w:rFonts w:hint="eastAsia" w:ascii="Times New Roman" w:hAnsi="Times New Roman"/>
        </w:rPr>
        <w:t>月都不足</w:t>
      </w:r>
      <w:r>
        <w:rPr>
          <w:rFonts w:ascii="Times New Roman" w:hAnsi="Times New Roman"/>
        </w:rPr>
        <w:t>80</w:t>
      </w:r>
      <w:r>
        <w:rPr>
          <w:rFonts w:hint="eastAsia" w:ascii="Times New Roman" w:hAnsi="Times New Roman"/>
        </w:rPr>
        <w:t>毫米。</w:t>
      </w:r>
    </w:p>
    <w:p>
      <w:pPr>
        <w:snapToGrid w:val="0"/>
        <w:ind w:firstLine="560"/>
        <w:rPr>
          <w:rFonts w:ascii="Times New Roman" w:hAnsi="Times New Roman"/>
        </w:rPr>
      </w:pPr>
    </w:p>
    <w:p>
      <w:pPr>
        <w:snapToGrid w:val="0"/>
        <w:ind w:firstLine="0" w:firstLineChars="0"/>
        <w:jc w:val="center"/>
        <w:rPr>
          <w:rFonts w:ascii="Times New Roman" w:hAnsi="Times New Roman"/>
        </w:rPr>
      </w:pPr>
      <w:r>
        <w:rPr>
          <w:rFonts w:ascii="Times New Roman" w:hAnsi="Times New Roman"/>
        </w:rPr>
        <w:drawing>
          <wp:inline distT="0" distB="0" distL="0" distR="0">
            <wp:extent cx="5274310" cy="6242050"/>
            <wp:effectExtent l="0" t="0" r="2540"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274310" cy="6242050"/>
                    </a:xfrm>
                    <a:prstGeom prst="rect">
                      <a:avLst/>
                    </a:prstGeom>
                  </pic:spPr>
                </pic:pic>
              </a:graphicData>
            </a:graphic>
          </wp:inline>
        </w:drawing>
      </w:r>
    </w:p>
    <w:p>
      <w:pPr>
        <w:snapToGrid w:val="0"/>
        <w:ind w:firstLine="0" w:firstLineChars="0"/>
        <w:jc w:val="center"/>
        <w:rPr>
          <w:rFonts w:ascii="Times New Roman" w:hAnsi="Times New Roman"/>
          <w:b/>
          <w:sz w:val="24"/>
        </w:rPr>
      </w:pPr>
      <w:r>
        <w:rPr>
          <w:rFonts w:ascii="Times New Roman" w:hAnsi="Times New Roman"/>
          <w:b/>
          <w:sz w:val="24"/>
        </w:rPr>
        <w:t>图2-1</w:t>
      </w:r>
      <w:r>
        <w:rPr>
          <w:rFonts w:hint="eastAsia" w:ascii="Times New Roman" w:hAnsi="Times New Roman"/>
          <w:b/>
          <w:sz w:val="24"/>
        </w:rPr>
        <w:t>工作区及水源地交通位置图</w:t>
      </w:r>
    </w:p>
    <w:p>
      <w:pPr>
        <w:pStyle w:val="25"/>
      </w:pPr>
      <w:bookmarkStart w:id="25" w:name="_Toc35526445"/>
      <w:r>
        <w:t>水资源概况</w:t>
      </w:r>
      <w:bookmarkEnd w:id="25"/>
    </w:p>
    <w:p>
      <w:pPr>
        <w:snapToGrid w:val="0"/>
        <w:ind w:firstLine="560"/>
        <w:rPr>
          <w:rFonts w:ascii="Times New Roman" w:hAnsi="Times New Roman"/>
        </w:rPr>
      </w:pPr>
      <w:r>
        <w:rPr>
          <w:rFonts w:ascii="Times New Roman" w:hAnsi="Times New Roman"/>
        </w:rPr>
        <w:t>淄河位于淄博市东部，有东西两源，东源发源于鲁山北麓，西源发源于禹王山东麓，东西两源于博山区源泉镇二郎山东南麓汇合，自西南向东北流经博山、淄川、临淄三区，到广饶县入小清河。全长 180 公里，市境断面以上长度 124 公里，流域面积 1397 平方公里，其中市内流域面积 993平方公里。主要有幸福、岳阴、张庄、峨庄、黑旺、仁河等支流，其中以仁河支流最大，发源于青州市青崖顶，流域面积 140 平方公里。孝妇河位于淄博市中西部，发源于博山区的岳阳山、青石关、禹王山一带，自南向北穿越博山、淄川、张店、周村四区，经滨州市邹平县，在桓台县入小清河。全长 136 公里，流域面积 1682 平方公里，市内长度 109公里，流域面积 1434 平方公里。主要支流有盘阳河、漫泗河、范阳河、泔沟河、米沟河、新月河、西猪龙河。其中以范阳河最大，全长 48.3 公里。石马水库位于淄博市博山区石马镇桥东村南 2 公里处，距博山城区 15公里，地处淄河上游，属小清河水系，控制流域面积 75 平方公里，流域形状呈叶状。水库流域自 1959 年以来，先后兴建各类蓄水工程 26 处。石马水库是一座集防洪、灌溉、养殖及旅游等综合效益为一体的全国防洪重点中型水库。总库容 1840 万立方米，兴利库容 905 万立方米。下游核定灌溉面积 2.13 万亩，有效灌溉面积 8000 亩。</w:t>
      </w:r>
    </w:p>
    <w:p>
      <w:pPr>
        <w:pStyle w:val="25"/>
      </w:pPr>
      <w:bookmarkStart w:id="26" w:name="_Toc35526446"/>
      <w:r>
        <w:t>地形地貌</w:t>
      </w:r>
      <w:bookmarkEnd w:id="26"/>
    </w:p>
    <w:p>
      <w:pPr>
        <w:snapToGrid w:val="0"/>
        <w:ind w:firstLine="560"/>
      </w:pPr>
      <w:r>
        <w:rPr>
          <w:rFonts w:hint="eastAsia"/>
        </w:rPr>
        <w:t>地势。全区总体地势为南高北低，南、东、西三面中低山环绕，中间低山、丘陵、山涧、河谷排列，北面为丘陵河谷地带，地势变化在130-1100米之间，南部淄河流域与北部孝妇河流域河底高度相差在160-200米之间。</w:t>
      </w:r>
    </w:p>
    <w:p>
      <w:pPr>
        <w:snapToGrid w:val="0"/>
        <w:ind w:firstLine="560"/>
      </w:pPr>
      <w:r>
        <w:rPr>
          <w:rFonts w:hint="eastAsia"/>
        </w:rPr>
        <w:t>南、东、西三面中低山区面积为334.7平方公里，占</w:t>
      </w:r>
      <w:r>
        <w:rPr>
          <w:rFonts w:hint="eastAsia" w:ascii="Times New Roman" w:hAnsi="Times New Roman"/>
        </w:rPr>
        <w:t>全区</w:t>
      </w:r>
      <w:r>
        <w:rPr>
          <w:rFonts w:hint="eastAsia"/>
        </w:rPr>
        <w:t>总面积的49.1%。淄河流域南部地势高起，相对高差500-700米，沟壑纵横，东部地势高峻挺拔；樵岭前至桃园一线西部，地形相对高差550米左右，沟谷幽深，山势峥嵘，随处可见。</w:t>
      </w:r>
    </w:p>
    <w:p>
      <w:pPr>
        <w:snapToGrid w:val="0"/>
        <w:ind w:firstLine="560"/>
      </w:pPr>
      <w:r>
        <w:rPr>
          <w:rFonts w:hint="eastAsia"/>
        </w:rPr>
        <w:t>中部低山丘陵区（包括淄河流域中北部和孝妇河流域的南部）面积297.55平方公里，占全区总面积的43.6%。孝妇河与淄河分水岭立于其中，西起羊峪岭，东至671高地，呈弧形东西分布，沟谷切割较深，河谷发育，冲洪积层沿淄河两岸分布。</w:t>
      </w:r>
    </w:p>
    <w:p>
      <w:pPr>
        <w:snapToGrid w:val="0"/>
        <w:ind w:firstLine="560"/>
      </w:pPr>
      <w:r>
        <w:rPr>
          <w:rFonts w:hint="eastAsia"/>
        </w:rPr>
        <w:t>北部丘陵区位于城区以北，面积49.75平方公里，占全区总面积的7.3%。山岭起伏平缓，最高山顶大尖山海拔295.5米。地形最低处孝妇河出界口海拔130米。孝妇河沿岸冲洪积层连续分布。</w:t>
      </w:r>
    </w:p>
    <w:p>
      <w:pPr>
        <w:snapToGrid w:val="0"/>
        <w:ind w:firstLine="560"/>
      </w:pPr>
      <w:r>
        <w:rPr>
          <w:rFonts w:hint="eastAsia"/>
        </w:rPr>
        <w:t>山脉。区境内山岭起伏，层峦叠嶂。海拔800米以上的山峰有47个，500米以上的山峰81个。山脉属鲁中山系，西连泰山，向东蜿蜒深入益都，群峰攒簇，逶迤相接。较大的属鲁山、原山、岳阳山、鹿角山。</w:t>
      </w:r>
    </w:p>
    <w:p>
      <w:pPr>
        <w:snapToGrid w:val="0"/>
        <w:ind w:firstLine="560"/>
        <w:rPr>
          <w:b/>
          <w:bCs/>
          <w:szCs w:val="24"/>
        </w:rPr>
      </w:pPr>
      <w:r>
        <w:rPr>
          <w:rFonts w:hint="eastAsia"/>
        </w:rPr>
        <w:t>河流。区境内的河流主要有淄河和孝妇河，次有青阳河和牛角河。前3条属小青河水系，后1条属黄河水系。</w:t>
      </w:r>
    </w:p>
    <w:p>
      <w:pPr>
        <w:pStyle w:val="25"/>
      </w:pPr>
      <w:bookmarkStart w:id="27" w:name="_Toc35526447"/>
      <w:r>
        <w:t>地质概况</w:t>
      </w:r>
      <w:bookmarkEnd w:id="27"/>
    </w:p>
    <w:p>
      <w:pPr>
        <w:snapToGrid w:val="0"/>
        <w:ind w:firstLine="560"/>
      </w:pPr>
      <w:r>
        <w:t>1、</w:t>
      </w:r>
      <w:r>
        <w:rPr>
          <w:rFonts w:hint="eastAsia"/>
        </w:rPr>
        <w:t>地层。博山区地层发育比较齐全，自老至新有四界七系。其中：太古界——泰山群。此层分布于岭西、乐疃、南博山、池上、李家等。岩性为黑云斜长片麻岩、黑云变粒岩、斜长角闪岩、角闪片岩等。地层厚2700-15000米左右，距今约24亿年；古生界——寒武、奥陶、石炭、二迭四系。寒武系分布于石门、北博山、李家、池上、源泉、岭西、南博山等。岩性下部为页岩夹灰岩，中部是厚层鲡状灰岩及页岩与博层灰岩互层，上部为泥质条纸灰岩夹薄层灰岩与页岩互层。沉积环境属海相，含动物化石。层厚600米左右，距今5亿年之多；奥陶系分布于石门、夏家庄、石马、乐疃、八陡、源泉、岳庄、北博山等。岩性为纯灰岩、泥灰岩、白云质灰岩及白云岩，属海相碳酸盐岩沉积建造，含动物化石。层厚800米左右，距今4.4亿年；石炭系分布于八陡、福山、山头、域城、白塔、夏家庄等。岩性为砂、页岩互层加灰岩，属海陆交互相含煤沉积地层，富含动物化石。层厚140米，距今约2.7亿年；二迭系分布于八陡、山头、福山、夏家庄、白塔、蕉庄、域城等，层厚430米左右，属陆相沉积，含植物化石，距今约2.7亿年。中生界。区境内只在蕉庄乡露侏罗系中、下统，由砂岩、页岩及岩质页岩组成，属河湖沼泽沉积，含植物化石。厚180米，距今约1.4亿年。新生界。区境内仅有第四系，广泛分布于河谷、河川、低洼处，以粘质沙土为主，间夹砂砾层，厚3-4米。</w:t>
      </w:r>
    </w:p>
    <w:p>
      <w:pPr>
        <w:snapToGrid w:val="0"/>
        <w:ind w:firstLine="560"/>
      </w:pPr>
      <w:r>
        <w:t>2</w:t>
      </w:r>
      <w:r>
        <w:rPr>
          <w:rFonts w:hint="eastAsia"/>
        </w:rPr>
        <w:t>、构造。境内存在着两种类型。一为太古代的基地构造，以线状紧密褶皱为主，褶皱轴向与片理方向一致，呈330-340方向展布，基底断裂也较发育，只是由于岩性的区域质作用而难以识别；一为中、新生代的盖层结构，以断裂为主，褶皱次之。</w:t>
      </w:r>
    </w:p>
    <w:p>
      <w:pPr>
        <w:snapToGrid w:val="0"/>
        <w:ind w:firstLine="560"/>
      </w:pPr>
      <w:r>
        <w:rPr>
          <w:rFonts w:hint="eastAsia"/>
        </w:rPr>
        <w:t>3、断裂。南北向断裂称姚家峪断裂，南自莱芜市苗山东南一带，向北过樵岭前、姚家峪至周村区的金山，全长60公里，纵贯区境16公里。走向N5°W-N10°E，倾角NW或S。倾角55°-75°以上。由2-3条正断层组成断裂带。破碎带宽100-200米，直断层南小北大，在区境内的垂直断距300米左右，水平断距10公里。北东向断裂有二：一称淄河断裂，南自新汶盆地向北，最终入渤海湾，全长110公里，宽一般400-1000米，出露地表60公里。在区境内一段贯穿博山、源泉诸乡镇，长19公里。由3-5条断裂组成的断裂带，走向35°左右南东倾，倾角一般80°左右，从整体向东盘上升，西盘下降，垂直距离100-400米，属逆断层性质。一称秋谷断裂，西南自乐疃向东北经北神头、秋谷、西河、田庄，终点与淄河断裂相会，全长近30公里。在区境内一段长20公里。此断裂切割了姚家峪断裂，断裂走向N70°E，倾向SE，倾角50°-70°，属正断层性质。东西向断裂亦有二：一称石马断裂，西起石马，北至源泉，与淄河断裂衔接，全长近20公里，属正断层性质。大部分地断被黄土覆盖，局部地段有出露，断层走向EW，倾向S，属正断层。位于山头黑山一带，长约7公里，走向EW，倾向S，倾角70°-80°，上盘为二迭系上统地层，下盘为二迭系下统地层。落差自西向东由数十米增至百余米。北西向断层称福山镇断层，位于福山镇一带，切割秋谷断层，长近10公里，属正断层性质。走向N50°W，倾向SW，倾角70°。上盘为二迭系地层，下盘为中奥陶统地层。落差南部约500米，北部700米。</w:t>
      </w:r>
    </w:p>
    <w:p>
      <w:pPr>
        <w:snapToGrid w:val="0"/>
        <w:ind w:firstLine="560"/>
      </w:pPr>
      <w:r>
        <w:rPr>
          <w:rFonts w:hint="eastAsia"/>
        </w:rPr>
        <w:t>4、褶皱。淄博向斜（也称淄博盆地），由于受桃花峪断裂的影响而形成不对称性。在博山呈狭窄状向北开阔的箕形盆地。向斜轴在区境内，走向N20°E。其东翼地层走向NE，倾向NW，倾角8°-13°；西翼地层走向SN-NW，倾向E-NE，倾角18°-40°。西河向斜位于福山-西河一带，西南宽，东北窄。轴向N65°E。向斜核部为石炭系太原组地层；东南翼为石炭系本溪组及奥陶统地层，倾角10°；北西翼以秋谷断层与中奥陶统地层接触，产状略陡，约20度。博山区境内地质构造特点是：断裂发育，褶皱次之，高角度的张力性断裂为主。较大的断裂往往由两条以上相互平行的断裂构成断裂带。南北向断裂及北东东向断裂发育，且控制了大量沉积矿产的展布。断裂活动频繁，至今仍在不断活动。</w:t>
      </w:r>
    </w:p>
    <w:p>
      <w:pPr>
        <w:snapToGrid w:val="0"/>
        <w:ind w:firstLine="560"/>
      </w:pPr>
      <w:r>
        <w:rPr>
          <w:rFonts w:hint="eastAsia"/>
        </w:rPr>
        <w:t>5、岩浆岩。博山区境内的岩浆岩活动与其他区比较明显微弱，根据时代的不同可分两期：一期是元古代桃科期岩浆岩，仅见于乐疃樵岭前村西的老猫头。岩性为蛇纹岩，属古老的浸入岩体，约20亿年左右。岩体呈小岩株，平面椭圆，长轴方向NW，与地层的片理方向一致，变质程度较深，在岩体与混合岩的接触带上形成了小型蛭石矿。另一期是中生代燕山期岩浆岩，主要呈岩墙或岩床产出。岭西桃花峪村一带有十几层1～2米厚的辉绿岩床浸入到寒武系中、下统地层中。石马镇的淄井和北博山镇的沙井一带，在奥陶统石灰岩中浸入了1～2层云斜煌班岩岩床，由于含副矿物磷灰石往往形成一些品位不很高的磷矿床。在煤系地层中（石炭系、二迭系）也有辉绿岩的浸入，有些破坏了煤层的连续性，有些影响了煤的质量。在蕉庄境内，辉绿岩床顺层浸入到二迭系上统地层内，其产状与地层产状一致，走向为N50度E，出露面积0.44平方公里。</w:t>
      </w:r>
    </w:p>
    <w:p>
      <w:pPr>
        <w:pStyle w:val="25"/>
      </w:pPr>
      <w:bookmarkStart w:id="28" w:name="_Toc35526448"/>
      <w:r>
        <w:t>水文地质概况</w:t>
      </w:r>
      <w:bookmarkEnd w:id="28"/>
    </w:p>
    <w:p>
      <w:pPr>
        <w:snapToGrid w:val="0"/>
        <w:ind w:firstLine="560"/>
        <w:rPr>
          <w:rFonts w:ascii="Times New Roman" w:hAnsi="Times New Roman"/>
        </w:rPr>
      </w:pPr>
      <w:r>
        <w:rPr>
          <w:rFonts w:hint="eastAsia" w:ascii="Times New Roman" w:hAnsi="Times New Roman"/>
        </w:rPr>
        <w:t>博山区位于淄博市南部，座落在淄博盆地的南缘。地形南高北低，南面为东西向的鲁山山脉，东西两侧为低山丘陵，形态像一个向北开口的簸箕。水系为孝妇河及其支流白杨河、岳阳河、范阳河。孝妇河由南向北流穿过城区。</w:t>
      </w:r>
    </w:p>
    <w:p>
      <w:pPr>
        <w:snapToGrid w:val="0"/>
        <w:ind w:firstLine="560"/>
        <w:rPr>
          <w:rFonts w:ascii="Times New Roman" w:hAnsi="Times New Roman"/>
        </w:rPr>
      </w:pPr>
      <w:r>
        <w:rPr>
          <w:rFonts w:hint="eastAsia" w:ascii="Times New Roman" w:hAnsi="Times New Roman"/>
        </w:rPr>
        <w:t>淄博向斜轴部在博山城西,向北倾伏,轴部为石炭二叠纪的煤系地层。在南、东、西三面围绕煤系地层的是中奥陶系马家沟组。该组厚度687米,岩性为厚层灰岩、豹皮状灰岩和白云质灰岩,为本区的主要含水层,也是取水的目的层。马家沟组按岩性自下而上分为6段,即O</w:t>
      </w:r>
      <w:r>
        <w:rPr>
          <w:rFonts w:hint="eastAsia" w:ascii="Times New Roman" w:hAnsi="Times New Roman"/>
          <w:vertAlign w:val="subscript"/>
        </w:rPr>
        <w:t>2</w:t>
      </w:r>
      <w:r>
        <w:rPr>
          <w:rFonts w:hint="eastAsia" w:ascii="Times New Roman" w:hAnsi="Times New Roman"/>
          <w:vertAlign w:val="superscript"/>
        </w:rPr>
        <w:t>1</w:t>
      </w:r>
      <w:r>
        <w:rPr>
          <w:rFonts w:hint="eastAsia" w:ascii="Times New Roman" w:hAnsi="Times New Roman"/>
          <w:vertAlign w:val="subscript"/>
        </w:rPr>
        <w:t>m</w:t>
      </w:r>
      <w:r>
        <w:rPr>
          <w:rFonts w:hint="eastAsia" w:ascii="Times New Roman" w:hAnsi="Times New Roman"/>
        </w:rPr>
        <w:t>、O</w:t>
      </w:r>
      <w:r>
        <w:rPr>
          <w:rFonts w:hint="eastAsia" w:ascii="Times New Roman" w:hAnsi="Times New Roman"/>
          <w:vertAlign w:val="subscript"/>
        </w:rPr>
        <w:t>2</w:t>
      </w:r>
      <w:r>
        <w:rPr>
          <w:rFonts w:hint="eastAsia" w:ascii="Times New Roman" w:hAnsi="Times New Roman"/>
          <w:vertAlign w:val="superscript"/>
        </w:rPr>
        <w:t>2</w:t>
      </w:r>
      <w:r>
        <w:rPr>
          <w:rFonts w:hint="eastAsia" w:ascii="Times New Roman" w:hAnsi="Times New Roman"/>
          <w:vertAlign w:val="subscript"/>
        </w:rPr>
        <w:t>m</w:t>
      </w:r>
      <w:r>
        <w:rPr>
          <w:rFonts w:hint="eastAsia" w:ascii="Times New Roman" w:hAnsi="Times New Roman"/>
        </w:rPr>
        <w:t>、O</w:t>
      </w:r>
      <w:r>
        <w:rPr>
          <w:rFonts w:hint="eastAsia" w:ascii="Times New Roman" w:hAnsi="Times New Roman"/>
          <w:vertAlign w:val="subscript"/>
        </w:rPr>
        <w:t>2</w:t>
      </w:r>
      <w:r>
        <w:rPr>
          <w:rFonts w:hint="eastAsia" w:ascii="Times New Roman" w:hAnsi="Times New Roman"/>
          <w:vertAlign w:val="superscript"/>
        </w:rPr>
        <w:t>3</w:t>
      </w:r>
      <w:r>
        <w:rPr>
          <w:rFonts w:hint="eastAsia" w:ascii="Times New Roman" w:hAnsi="Times New Roman"/>
          <w:vertAlign w:val="subscript"/>
        </w:rPr>
        <w:t>m</w:t>
      </w:r>
      <w:r>
        <w:rPr>
          <w:rFonts w:hint="eastAsia" w:ascii="Times New Roman" w:hAnsi="Times New Roman"/>
        </w:rPr>
        <w:t>、O</w:t>
      </w:r>
      <w:r>
        <w:rPr>
          <w:rFonts w:hint="eastAsia" w:ascii="Times New Roman" w:hAnsi="Times New Roman"/>
          <w:vertAlign w:val="subscript"/>
        </w:rPr>
        <w:t>2</w:t>
      </w:r>
      <w:r>
        <w:rPr>
          <w:rFonts w:hint="eastAsia" w:ascii="Times New Roman" w:hAnsi="Times New Roman"/>
          <w:vertAlign w:val="superscript"/>
        </w:rPr>
        <w:t>4</w:t>
      </w:r>
      <w:r>
        <w:rPr>
          <w:rFonts w:hint="eastAsia" w:ascii="Times New Roman" w:hAnsi="Times New Roman"/>
          <w:vertAlign w:val="subscript"/>
        </w:rPr>
        <w:t>m</w:t>
      </w:r>
      <w:r>
        <w:rPr>
          <w:rFonts w:hint="eastAsia" w:ascii="Times New Roman" w:hAnsi="Times New Roman"/>
        </w:rPr>
        <w:t>、O</w:t>
      </w:r>
      <w:r>
        <w:rPr>
          <w:rFonts w:hint="eastAsia" w:ascii="Times New Roman" w:hAnsi="Times New Roman"/>
          <w:vertAlign w:val="subscript"/>
        </w:rPr>
        <w:t>2</w:t>
      </w:r>
      <w:r>
        <w:rPr>
          <w:rFonts w:hint="eastAsia" w:ascii="Times New Roman" w:hAnsi="Times New Roman"/>
          <w:vertAlign w:val="superscript"/>
        </w:rPr>
        <w:t>5</w:t>
      </w:r>
      <w:r>
        <w:rPr>
          <w:rFonts w:hint="eastAsia" w:ascii="Times New Roman" w:hAnsi="Times New Roman"/>
          <w:vertAlign w:val="subscript"/>
        </w:rPr>
        <w:t>m</w:t>
      </w:r>
      <w:r>
        <w:rPr>
          <w:rFonts w:hint="eastAsia" w:ascii="Times New Roman" w:hAnsi="Times New Roman"/>
        </w:rPr>
        <w:t>、O</w:t>
      </w:r>
      <w:r>
        <w:rPr>
          <w:rFonts w:hint="eastAsia" w:ascii="Times New Roman" w:hAnsi="Times New Roman"/>
          <w:vertAlign w:val="subscript"/>
        </w:rPr>
        <w:t>2</w:t>
      </w:r>
      <w:r>
        <w:rPr>
          <w:rFonts w:hint="eastAsia" w:ascii="Times New Roman" w:hAnsi="Times New Roman"/>
          <w:vertAlign w:val="superscript"/>
        </w:rPr>
        <w:t>6</w:t>
      </w:r>
      <w:r>
        <w:rPr>
          <w:rFonts w:hint="eastAsia" w:ascii="Times New Roman" w:hAnsi="Times New Roman"/>
          <w:vertAlign w:val="subscript"/>
        </w:rPr>
        <w:t>m</w:t>
      </w:r>
      <w:r>
        <w:rPr>
          <w:rFonts w:hint="eastAsia" w:ascii="Times New Roman" w:hAnsi="Times New Roman"/>
        </w:rPr>
        <w:t>。其中O</w:t>
      </w:r>
      <w:r>
        <w:rPr>
          <w:rFonts w:hint="eastAsia" w:ascii="Times New Roman" w:hAnsi="Times New Roman"/>
          <w:vertAlign w:val="subscript"/>
        </w:rPr>
        <w:t>2</w:t>
      </w:r>
      <w:r>
        <w:rPr>
          <w:rFonts w:hint="eastAsia" w:ascii="Times New Roman" w:hAnsi="Times New Roman"/>
          <w:vertAlign w:val="superscript"/>
        </w:rPr>
        <w:t>2</w:t>
      </w:r>
      <w:r>
        <w:rPr>
          <w:rFonts w:hint="eastAsia" w:ascii="Times New Roman" w:hAnsi="Times New Roman"/>
          <w:vertAlign w:val="subscript"/>
        </w:rPr>
        <w:t>m</w:t>
      </w:r>
      <w:r>
        <w:rPr>
          <w:rFonts w:hint="eastAsia" w:ascii="Times New Roman" w:hAnsi="Times New Roman"/>
        </w:rPr>
        <w:t>、O</w:t>
      </w:r>
      <w:r>
        <w:rPr>
          <w:rFonts w:hint="eastAsia" w:ascii="Times New Roman" w:hAnsi="Times New Roman"/>
          <w:vertAlign w:val="subscript"/>
        </w:rPr>
        <w:t>2</w:t>
      </w:r>
      <w:r>
        <w:rPr>
          <w:rFonts w:hint="eastAsia" w:ascii="Times New Roman" w:hAnsi="Times New Roman"/>
          <w:vertAlign w:val="superscript"/>
        </w:rPr>
        <w:t>4</w:t>
      </w:r>
      <w:r>
        <w:rPr>
          <w:rFonts w:hint="eastAsia" w:ascii="Times New Roman" w:hAnsi="Times New Roman"/>
          <w:vertAlign w:val="subscript"/>
        </w:rPr>
        <w:t>m</w:t>
      </w:r>
      <w:r>
        <w:rPr>
          <w:rFonts w:hint="eastAsia" w:ascii="Times New Roman" w:hAnsi="Times New Roman"/>
        </w:rPr>
        <w:t>、O</w:t>
      </w:r>
      <w:r>
        <w:rPr>
          <w:rFonts w:hint="eastAsia" w:ascii="Times New Roman" w:hAnsi="Times New Roman"/>
          <w:vertAlign w:val="subscript"/>
        </w:rPr>
        <w:t>2</w:t>
      </w:r>
      <w:r>
        <w:rPr>
          <w:rFonts w:hint="eastAsia" w:ascii="Times New Roman" w:hAnsi="Times New Roman"/>
          <w:vertAlign w:val="superscript"/>
        </w:rPr>
        <w:t>5</w:t>
      </w:r>
      <w:r>
        <w:rPr>
          <w:rFonts w:hint="eastAsia" w:ascii="Times New Roman" w:hAnsi="Times New Roman"/>
          <w:vertAlign w:val="subscript"/>
        </w:rPr>
        <w:t>m</w:t>
      </w:r>
      <w:r>
        <w:rPr>
          <w:rFonts w:hint="eastAsia" w:ascii="Times New Roman" w:hAnsi="Times New Roman"/>
        </w:rPr>
        <w:t>、O</w:t>
      </w:r>
      <w:r>
        <w:rPr>
          <w:rFonts w:hint="eastAsia" w:ascii="Times New Roman" w:hAnsi="Times New Roman"/>
          <w:vertAlign w:val="subscript"/>
        </w:rPr>
        <w:t>2</w:t>
      </w:r>
      <w:r>
        <w:rPr>
          <w:rFonts w:hint="eastAsia" w:ascii="Times New Roman" w:hAnsi="Times New Roman"/>
          <w:vertAlign w:val="superscript"/>
        </w:rPr>
        <w:t>6</w:t>
      </w:r>
      <w:r>
        <w:rPr>
          <w:rFonts w:hint="eastAsia" w:ascii="Times New Roman" w:hAnsi="Times New Roman"/>
          <w:vertAlign w:val="subscript"/>
        </w:rPr>
        <w:t>m</w:t>
      </w:r>
      <w:r>
        <w:rPr>
          <w:rFonts w:hint="eastAsia" w:ascii="Times New Roman" w:hAnsi="Times New Roman"/>
        </w:rPr>
        <w:t>为主要含水层，O</w:t>
      </w:r>
      <w:r>
        <w:rPr>
          <w:rFonts w:hint="eastAsia" w:ascii="Times New Roman" w:hAnsi="Times New Roman"/>
          <w:vertAlign w:val="subscript"/>
        </w:rPr>
        <w:t>2</w:t>
      </w:r>
      <w:r>
        <w:rPr>
          <w:rFonts w:hint="eastAsia" w:ascii="Times New Roman" w:hAnsi="Times New Roman"/>
          <w:vertAlign w:val="superscript"/>
        </w:rPr>
        <w:t>1</w:t>
      </w:r>
      <w:r>
        <w:rPr>
          <w:rFonts w:hint="eastAsia" w:ascii="Times New Roman" w:hAnsi="Times New Roman"/>
          <w:vertAlign w:val="subscript"/>
        </w:rPr>
        <w:t>m</w:t>
      </w:r>
      <w:r>
        <w:rPr>
          <w:rFonts w:hint="eastAsia" w:ascii="Times New Roman" w:hAnsi="Times New Roman"/>
        </w:rPr>
        <w:t>和 O</w:t>
      </w:r>
      <w:r>
        <w:rPr>
          <w:rFonts w:hint="eastAsia" w:ascii="Times New Roman" w:hAnsi="Times New Roman"/>
          <w:vertAlign w:val="subscript"/>
        </w:rPr>
        <w:t>2</w:t>
      </w:r>
      <w:r>
        <w:rPr>
          <w:rFonts w:hint="eastAsia" w:ascii="Times New Roman" w:hAnsi="Times New Roman"/>
          <w:vertAlign w:val="superscript"/>
        </w:rPr>
        <w:t>3</w:t>
      </w:r>
      <w:r>
        <w:rPr>
          <w:rFonts w:hint="eastAsia" w:ascii="Times New Roman" w:hAnsi="Times New Roman"/>
          <w:vertAlign w:val="subscript"/>
        </w:rPr>
        <w:t>m</w:t>
      </w:r>
      <w:r>
        <w:rPr>
          <w:rFonts w:hint="eastAsia" w:ascii="Times New Roman" w:hAnsi="Times New Roman"/>
        </w:rPr>
        <w:t>岩性为泥灰岩、页岩等，为相对隔水层。</w:t>
      </w:r>
    </w:p>
    <w:p>
      <w:pPr>
        <w:snapToGrid w:val="0"/>
        <w:ind w:firstLine="560"/>
        <w:rPr>
          <w:rFonts w:ascii="Times New Roman" w:hAnsi="Times New Roman"/>
        </w:rPr>
      </w:pPr>
      <w:r>
        <w:rPr>
          <w:rFonts w:hint="eastAsia" w:ascii="Times New Roman" w:hAnsi="Times New Roman"/>
        </w:rPr>
        <w:t>马家沟组灰岩的含水岩组为一系列断裂切割成断块状。主要断裂为神头—西河断裂(F</w:t>
      </w:r>
      <w:r>
        <w:rPr>
          <w:rFonts w:hint="eastAsia" w:ascii="Times New Roman" w:hAnsi="Times New Roman"/>
          <w:vertAlign w:val="subscript"/>
        </w:rPr>
        <w:t>1</w:t>
      </w:r>
      <w:r>
        <w:rPr>
          <w:rFonts w:hint="eastAsia" w:ascii="Times New Roman" w:hAnsi="Times New Roman"/>
        </w:rPr>
        <w:t>),福山—源泉断裂(F</w:t>
      </w:r>
      <w:r>
        <w:rPr>
          <w:rFonts w:hint="eastAsia" w:ascii="Times New Roman" w:hAnsi="Times New Roman"/>
          <w:vertAlign w:val="subscript"/>
        </w:rPr>
        <w:t>2</w:t>
      </w:r>
      <w:r>
        <w:rPr>
          <w:rFonts w:hint="eastAsia" w:ascii="Times New Roman" w:hAnsi="Times New Roman"/>
        </w:rPr>
        <w:t>),禹王山浙裂(F</w:t>
      </w:r>
      <w:r>
        <w:rPr>
          <w:rFonts w:hint="eastAsia" w:ascii="Times New Roman" w:hAnsi="Times New Roman"/>
          <w:vertAlign w:val="subscript"/>
        </w:rPr>
        <w:t>3</w:t>
      </w:r>
      <w:r>
        <w:rPr>
          <w:rFonts w:hint="eastAsia" w:ascii="Times New Roman" w:hAnsi="Times New Roman"/>
        </w:rPr>
        <w:t>)，石马断裂(F</w:t>
      </w:r>
      <w:r>
        <w:rPr>
          <w:rFonts w:hint="eastAsia" w:ascii="Times New Roman" w:hAnsi="Times New Roman"/>
          <w:vertAlign w:val="subscript"/>
        </w:rPr>
        <w:t>4</w:t>
      </w:r>
      <w:r>
        <w:rPr>
          <w:rFonts w:hint="eastAsia" w:ascii="Times New Roman" w:hAnsi="Times New Roman"/>
        </w:rPr>
        <w:t>)和岳荫断裂(F</w:t>
      </w:r>
      <w:r>
        <w:rPr>
          <w:rFonts w:hint="eastAsia" w:ascii="Times New Roman" w:hAnsi="Times New Roman"/>
          <w:vertAlign w:val="subscript"/>
        </w:rPr>
        <w:t>5</w:t>
      </w:r>
      <w:r>
        <w:rPr>
          <w:rFonts w:hint="eastAsia" w:ascii="Times New Roman" w:hAnsi="Times New Roman"/>
        </w:rPr>
        <w:t>)。由F</w:t>
      </w:r>
      <w:r>
        <w:rPr>
          <w:rFonts w:hint="eastAsia" w:ascii="Times New Roman" w:hAnsi="Times New Roman"/>
          <w:vertAlign w:val="subscript"/>
        </w:rPr>
        <w:t>1</w:t>
      </w:r>
      <w:r>
        <w:rPr>
          <w:rFonts w:hint="eastAsia" w:ascii="Times New Roman" w:hAnsi="Times New Roman"/>
        </w:rPr>
        <w:t>、F</w:t>
      </w:r>
      <w:r>
        <w:rPr>
          <w:rFonts w:hint="eastAsia" w:ascii="Times New Roman" w:hAnsi="Times New Roman"/>
          <w:vertAlign w:val="subscript"/>
        </w:rPr>
        <w:t>2</w:t>
      </w:r>
      <w:r>
        <w:rPr>
          <w:rFonts w:hint="eastAsia" w:ascii="Times New Roman" w:hAnsi="Times New Roman"/>
        </w:rPr>
        <w:t>、F</w:t>
      </w:r>
      <w:r>
        <w:rPr>
          <w:rFonts w:hint="eastAsia" w:ascii="Times New Roman" w:hAnsi="Times New Roman"/>
          <w:vertAlign w:val="subscript"/>
        </w:rPr>
        <w:t>4</w:t>
      </w:r>
      <w:r>
        <w:rPr>
          <w:rFonts w:hint="eastAsia" w:ascii="Times New Roman" w:hAnsi="Times New Roman"/>
        </w:rPr>
        <w:t>、F</w:t>
      </w:r>
      <w:r>
        <w:rPr>
          <w:rFonts w:hint="eastAsia" w:ascii="Times New Roman" w:hAnsi="Times New Roman"/>
          <w:vertAlign w:val="subscript"/>
        </w:rPr>
        <w:t>3</w:t>
      </w:r>
      <w:r>
        <w:rPr>
          <w:rFonts w:hint="eastAsia" w:ascii="Times New Roman" w:hAnsi="Times New Roman"/>
        </w:rPr>
        <w:t>切割的断块为博山城区地下水的主要补给区。</w:t>
      </w:r>
    </w:p>
    <w:p>
      <w:pPr>
        <w:snapToGrid w:val="0"/>
        <w:ind w:firstLine="560"/>
        <w:rPr>
          <w:rFonts w:ascii="Times New Roman" w:hAnsi="Times New Roman"/>
        </w:rPr>
      </w:pPr>
      <w:r>
        <w:rPr>
          <w:rFonts w:hint="eastAsia" w:ascii="Times New Roman" w:hAnsi="Times New Roman"/>
        </w:rPr>
        <w:t>中奥陶系的灰岩裸露在东南部和南部的山坡上，溶沟、溶槽和漏斗等喀斯特形态发育，加之山坡平缓，有利于降水入渗。其次，地表水的渗漏也是一个重要的补给来源。白杨河发源于西部的花岗片麻岩地区，在博山西南有几公里河段流经马家沟组的O</w:t>
      </w:r>
      <w:r>
        <w:rPr>
          <w:rFonts w:hint="eastAsia" w:ascii="Times New Roman" w:hAnsi="Times New Roman"/>
          <w:vertAlign w:val="subscript"/>
        </w:rPr>
        <w:t>2</w:t>
      </w:r>
      <w:r>
        <w:rPr>
          <w:rFonts w:hint="eastAsia" w:ascii="Times New Roman" w:hAnsi="Times New Roman"/>
          <w:vertAlign w:val="superscript"/>
        </w:rPr>
        <w:t>4</w:t>
      </w:r>
      <w:r>
        <w:rPr>
          <w:rFonts w:hint="eastAsia" w:ascii="Times New Roman" w:hAnsi="Times New Roman"/>
          <w:vertAlign w:val="subscript"/>
        </w:rPr>
        <w:t>m</w:t>
      </w:r>
      <w:r>
        <w:rPr>
          <w:rFonts w:hint="eastAsia" w:ascii="Times New Roman" w:hAnsi="Times New Roman"/>
        </w:rPr>
        <w:t>、O</w:t>
      </w:r>
      <w:r>
        <w:rPr>
          <w:rFonts w:hint="eastAsia" w:ascii="Times New Roman" w:hAnsi="Times New Roman"/>
          <w:vertAlign w:val="subscript"/>
        </w:rPr>
        <w:t>2</w:t>
      </w:r>
      <w:r>
        <w:rPr>
          <w:rFonts w:hint="eastAsia" w:ascii="Times New Roman" w:hAnsi="Times New Roman"/>
          <w:vertAlign w:val="superscript"/>
        </w:rPr>
        <w:t>5</w:t>
      </w:r>
      <w:r>
        <w:rPr>
          <w:rFonts w:hint="eastAsia" w:ascii="Times New Roman" w:hAnsi="Times New Roman"/>
          <w:vertAlign w:val="subscript"/>
        </w:rPr>
        <w:t>m</w:t>
      </w:r>
      <w:r>
        <w:rPr>
          <w:rFonts w:hint="eastAsia" w:ascii="Times New Roman" w:hAnsi="Times New Roman"/>
        </w:rPr>
        <w:t>、O</w:t>
      </w:r>
      <w:r>
        <w:rPr>
          <w:rFonts w:hint="eastAsia" w:ascii="Times New Roman" w:hAnsi="Times New Roman"/>
          <w:vertAlign w:val="subscript"/>
        </w:rPr>
        <w:t>2</w:t>
      </w:r>
      <w:r>
        <w:rPr>
          <w:rFonts w:hint="eastAsia" w:ascii="Times New Roman" w:hAnsi="Times New Roman"/>
          <w:vertAlign w:val="superscript"/>
        </w:rPr>
        <w:t>6</w:t>
      </w:r>
      <w:r>
        <w:rPr>
          <w:rFonts w:hint="eastAsia" w:ascii="Times New Roman" w:hAnsi="Times New Roman"/>
          <w:vertAlign w:val="subscript"/>
        </w:rPr>
        <w:t>m</w:t>
      </w:r>
      <w:r>
        <w:rPr>
          <w:rFonts w:hint="eastAsia" w:ascii="Times New Roman" w:hAnsi="Times New Roman"/>
        </w:rPr>
        <w:t>段灰岩分布区，河水大量漏失，补给地下水。除汛期以外，平时已成为干河床。</w:t>
      </w:r>
    </w:p>
    <w:p>
      <w:pPr>
        <w:snapToGrid w:val="0"/>
        <w:ind w:firstLine="560"/>
        <w:rPr>
          <w:rFonts w:ascii="Times New Roman" w:hAnsi="Times New Roman"/>
        </w:rPr>
      </w:pPr>
      <w:r>
        <w:drawing>
          <wp:anchor distT="0" distB="0" distL="114300" distR="114300" simplePos="0" relativeHeight="251662336" behindDoc="0" locked="0" layoutInCell="1" allowOverlap="1">
            <wp:simplePos x="0" y="0"/>
            <wp:positionH relativeFrom="margin">
              <wp:posOffset>-916940</wp:posOffset>
            </wp:positionH>
            <wp:positionV relativeFrom="paragraph">
              <wp:posOffset>1316355</wp:posOffset>
            </wp:positionV>
            <wp:extent cx="7241540" cy="4653915"/>
            <wp:effectExtent l="0" t="0" r="0" b="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241510" cy="4653886"/>
                    </a:xfrm>
                    <a:prstGeom prst="rect">
                      <a:avLst/>
                    </a:prstGeom>
                  </pic:spPr>
                </pic:pic>
              </a:graphicData>
            </a:graphic>
          </wp:anchor>
        </w:drawing>
      </w:r>
      <w:r>
        <w:rPr>
          <w:rFonts w:hint="eastAsia" w:ascii="Times New Roman" w:hAnsi="Times New Roman"/>
        </w:rPr>
        <w:t>补给区的地下水沿岩层倾斜方向向北、东北、西北方向流动。在博山城附近遇煤系地层或弱透水断层阻隔,溢出地表成泉。主要有神头泉群、秋谷泉群、珠龙泉和良庄泉群。在大量开采地下水之前，泉群的总流量约为5</w:t>
      </w:r>
      <w:r>
        <w:rPr>
          <w:rFonts w:hint="eastAsia"/>
        </w:rPr>
        <w:t>—</w:t>
      </w:r>
      <w:r>
        <w:rPr>
          <w:rFonts w:hint="eastAsia" w:ascii="Times New Roman" w:hAnsi="Times New Roman"/>
        </w:rPr>
        <w:t>6万立方米每天。</w:t>
      </w:r>
    </w:p>
    <w:p>
      <w:pPr>
        <w:snapToGrid w:val="0"/>
        <w:ind w:firstLine="560"/>
        <w:rPr>
          <w:rFonts w:ascii="Times New Roman" w:hAnsi="Times New Roman"/>
        </w:rPr>
      </w:pPr>
    </w:p>
    <w:p>
      <w:pPr>
        <w:snapToGrid w:val="0"/>
        <w:ind w:firstLine="560"/>
        <w:rPr>
          <w:rFonts w:ascii="Times New Roman" w:hAnsi="Times New Roman"/>
        </w:rPr>
      </w:pPr>
    </w:p>
    <w:p>
      <w:pPr>
        <w:snapToGrid w:val="0"/>
        <w:ind w:firstLine="560"/>
        <w:rPr>
          <w:rFonts w:ascii="Times New Roman" w:hAnsi="Times New Roman"/>
        </w:rPr>
      </w:pPr>
    </w:p>
    <w:p>
      <w:pPr>
        <w:snapToGrid w:val="0"/>
        <w:ind w:firstLine="560"/>
        <w:rPr>
          <w:rFonts w:ascii="Times New Roman" w:hAnsi="Times New Roman"/>
        </w:rPr>
      </w:pPr>
    </w:p>
    <w:p>
      <w:pPr>
        <w:snapToGrid w:val="0"/>
        <w:ind w:firstLine="560"/>
        <w:rPr>
          <w:rFonts w:ascii="Times New Roman" w:hAnsi="Times New Roman"/>
        </w:rPr>
      </w:pPr>
    </w:p>
    <w:p>
      <w:pPr>
        <w:snapToGrid w:val="0"/>
        <w:ind w:firstLine="560"/>
        <w:rPr>
          <w:rFonts w:ascii="Times New Roman" w:hAnsi="Times New Roman"/>
        </w:rPr>
      </w:pPr>
    </w:p>
    <w:p>
      <w:pPr>
        <w:snapToGrid w:val="0"/>
        <w:ind w:firstLine="560"/>
        <w:rPr>
          <w:rFonts w:ascii="Times New Roman" w:hAnsi="Times New Roman"/>
        </w:rPr>
      </w:pPr>
    </w:p>
    <w:p>
      <w:pPr>
        <w:snapToGrid w:val="0"/>
        <w:ind w:firstLine="560"/>
        <w:rPr>
          <w:rFonts w:ascii="Times New Roman" w:hAnsi="Times New Roman"/>
        </w:rPr>
      </w:pPr>
    </w:p>
    <w:p>
      <w:pPr>
        <w:snapToGrid w:val="0"/>
        <w:ind w:firstLine="560"/>
        <w:rPr>
          <w:rFonts w:ascii="Times New Roman" w:hAnsi="Times New Roman"/>
        </w:rPr>
      </w:pPr>
    </w:p>
    <w:p>
      <w:pPr>
        <w:snapToGrid w:val="0"/>
        <w:ind w:firstLine="560"/>
        <w:rPr>
          <w:rFonts w:ascii="Times New Roman" w:hAnsi="Times New Roman"/>
        </w:rPr>
      </w:pPr>
    </w:p>
    <w:p>
      <w:pPr>
        <w:snapToGrid w:val="0"/>
        <w:ind w:firstLine="560"/>
        <w:rPr>
          <w:rFonts w:ascii="Times New Roman" w:hAnsi="Times New Roman"/>
        </w:rPr>
      </w:pPr>
    </w:p>
    <w:p>
      <w:pPr>
        <w:snapToGrid w:val="0"/>
        <w:ind w:firstLine="560"/>
        <w:rPr>
          <w:rFonts w:ascii="Times New Roman" w:hAnsi="Times New Roman"/>
        </w:rPr>
      </w:pPr>
    </w:p>
    <w:p>
      <w:pPr>
        <w:snapToGrid w:val="0"/>
        <w:ind w:firstLine="560"/>
        <w:rPr>
          <w:rFonts w:ascii="Times New Roman" w:hAnsi="Times New Roman"/>
        </w:rPr>
      </w:pPr>
    </w:p>
    <w:p>
      <w:pPr>
        <w:snapToGrid w:val="0"/>
        <w:ind w:firstLine="560"/>
        <w:rPr>
          <w:rFonts w:ascii="Times New Roman" w:hAnsi="Times New Roman"/>
        </w:rPr>
      </w:pPr>
    </w:p>
    <w:p>
      <w:pPr>
        <w:snapToGrid w:val="0"/>
        <w:ind w:firstLine="560"/>
        <w:rPr>
          <w:rFonts w:ascii="Times New Roman" w:hAnsi="Times New Roman"/>
        </w:rPr>
      </w:pPr>
    </w:p>
    <w:p>
      <w:pPr>
        <w:snapToGrid w:val="0"/>
        <w:ind w:firstLine="0" w:firstLineChars="0"/>
        <w:jc w:val="center"/>
        <w:rPr>
          <w:rFonts w:ascii="Times New Roman" w:hAnsi="Times New Roman"/>
          <w:b/>
          <w:sz w:val="24"/>
        </w:rPr>
      </w:pPr>
      <w:r>
        <w:rPr>
          <w:rFonts w:ascii="Times New Roman" w:hAnsi="Times New Roman"/>
          <w:b/>
          <w:sz w:val="24"/>
        </w:rPr>
        <w:t>图2-</w:t>
      </w:r>
      <w:r>
        <w:rPr>
          <w:rFonts w:hint="eastAsia" w:ascii="Times New Roman" w:hAnsi="Times New Roman"/>
          <w:b/>
          <w:sz w:val="24"/>
        </w:rPr>
        <w:t>2工作区</w:t>
      </w:r>
      <w:r>
        <w:rPr>
          <w:rFonts w:ascii="Times New Roman" w:hAnsi="Times New Roman"/>
          <w:b/>
          <w:sz w:val="24"/>
        </w:rPr>
        <w:t>水文地质</w:t>
      </w:r>
      <w:r>
        <w:rPr>
          <w:rFonts w:hint="eastAsia" w:ascii="Times New Roman" w:hAnsi="Times New Roman"/>
          <w:b/>
          <w:sz w:val="24"/>
        </w:rPr>
        <w:t>简</w:t>
      </w:r>
      <w:r>
        <w:rPr>
          <w:rFonts w:ascii="Times New Roman" w:hAnsi="Times New Roman"/>
          <w:b/>
          <w:sz w:val="24"/>
        </w:rPr>
        <w:t>图</w:t>
      </w:r>
    </w:p>
    <w:p>
      <w:pPr>
        <w:pStyle w:val="27"/>
      </w:pPr>
      <w:bookmarkStart w:id="29" w:name="_Toc35526449"/>
      <w:r>
        <w:t>社会经济概况</w:t>
      </w:r>
      <w:bookmarkEnd w:id="29"/>
    </w:p>
    <w:p>
      <w:pPr>
        <w:pStyle w:val="25"/>
      </w:pPr>
      <w:bookmarkStart w:id="30" w:name="_Toc35526450"/>
      <w:r>
        <w:t>行政区域与人口</w:t>
      </w:r>
      <w:bookmarkEnd w:id="30"/>
    </w:p>
    <w:p>
      <w:pPr>
        <w:snapToGrid w:val="0"/>
        <w:ind w:firstLine="560"/>
        <w:rPr>
          <w:rFonts w:ascii="Times New Roman" w:hAnsi="Times New Roman"/>
        </w:rPr>
      </w:pPr>
      <w:r>
        <w:rPr>
          <w:rFonts w:ascii="Times New Roman" w:hAnsi="Times New Roman"/>
        </w:rPr>
        <w:t>博山区总面积</w:t>
      </w:r>
      <w:r>
        <w:rPr>
          <w:rFonts w:hint="eastAsia" w:ascii="Times New Roman" w:hAnsi="Times New Roman"/>
        </w:rPr>
        <w:t>698.1</w:t>
      </w:r>
      <w:r>
        <w:rPr>
          <w:rFonts w:ascii="Times New Roman" w:hAnsi="Times New Roman"/>
        </w:rPr>
        <w:t>平方千米，辖7个镇、3个街道</w:t>
      </w:r>
      <w:r>
        <w:rPr>
          <w:rFonts w:hint="eastAsia" w:ascii="Times New Roman" w:hAnsi="Times New Roman"/>
        </w:rPr>
        <w:t>，具体为：城东街道办事处、城西街道办事处、山头街道办事处、域城镇、白塔镇、八陡镇、石马镇、源泉镇、池上镇和博山镇</w:t>
      </w:r>
      <w:r>
        <w:rPr>
          <w:rFonts w:ascii="Times New Roman" w:hAnsi="Times New Roman"/>
        </w:rPr>
        <w:t>。博山区政府驻</w:t>
      </w:r>
      <w:r>
        <w:rPr>
          <w:rFonts w:hint="eastAsia" w:ascii="Times New Roman" w:hAnsi="Times New Roman"/>
        </w:rPr>
        <w:t>博山城中心县前街</w:t>
      </w:r>
      <w:r>
        <w:rPr>
          <w:rFonts w:ascii="Times New Roman" w:hAnsi="Times New Roman"/>
        </w:rPr>
        <w:t>。</w:t>
      </w:r>
    </w:p>
    <w:p>
      <w:pPr>
        <w:snapToGrid w:val="0"/>
        <w:ind w:firstLine="560"/>
        <w:rPr>
          <w:rFonts w:ascii="Times New Roman" w:hAnsi="Times New Roman"/>
        </w:rPr>
      </w:pPr>
      <w:r>
        <w:rPr>
          <w:rFonts w:ascii="Times New Roman" w:hAnsi="Times New Roman"/>
        </w:rPr>
        <w:t>截至201</w:t>
      </w:r>
      <w:r>
        <w:rPr>
          <w:rFonts w:hint="eastAsia" w:ascii="Times New Roman" w:hAnsi="Times New Roman"/>
        </w:rPr>
        <w:t>8</w:t>
      </w:r>
      <w:r>
        <w:rPr>
          <w:rFonts w:ascii="Times New Roman" w:hAnsi="Times New Roman"/>
        </w:rPr>
        <w:t>年末</w:t>
      </w:r>
      <w:r>
        <w:rPr>
          <w:rFonts w:hint="eastAsia" w:ascii="Times New Roman" w:hAnsi="Times New Roman"/>
        </w:rPr>
        <w:t>年末全区户籍人口</w:t>
      </w:r>
      <w:r>
        <w:rPr>
          <w:rFonts w:ascii="Times New Roman" w:hAnsi="Times New Roman"/>
        </w:rPr>
        <w:t>442252</w:t>
      </w:r>
      <w:r>
        <w:rPr>
          <w:rFonts w:hint="eastAsia" w:ascii="Times New Roman" w:hAnsi="Times New Roman"/>
        </w:rPr>
        <w:t>人，男性</w:t>
      </w:r>
      <w:r>
        <w:rPr>
          <w:rFonts w:ascii="Times New Roman" w:hAnsi="Times New Roman"/>
        </w:rPr>
        <w:t>219159</w:t>
      </w:r>
      <w:r>
        <w:rPr>
          <w:rFonts w:hint="eastAsia" w:ascii="Times New Roman" w:hAnsi="Times New Roman"/>
        </w:rPr>
        <w:t>人，女性</w:t>
      </w:r>
      <w:r>
        <w:rPr>
          <w:rFonts w:ascii="Times New Roman" w:hAnsi="Times New Roman"/>
        </w:rPr>
        <w:t>223093</w:t>
      </w:r>
      <w:r>
        <w:rPr>
          <w:rFonts w:hint="eastAsia" w:ascii="Times New Roman" w:hAnsi="Times New Roman"/>
        </w:rPr>
        <w:t>人。分年龄看，</w:t>
      </w:r>
      <w:r>
        <w:rPr>
          <w:rFonts w:ascii="Times New Roman" w:hAnsi="Times New Roman"/>
        </w:rPr>
        <w:t>0-17</w:t>
      </w:r>
      <w:r>
        <w:rPr>
          <w:rFonts w:hint="eastAsia" w:ascii="Times New Roman" w:hAnsi="Times New Roman"/>
        </w:rPr>
        <w:t>岁</w:t>
      </w:r>
      <w:r>
        <w:rPr>
          <w:rFonts w:ascii="Times New Roman" w:hAnsi="Times New Roman"/>
        </w:rPr>
        <w:t>60828</w:t>
      </w:r>
      <w:r>
        <w:rPr>
          <w:rFonts w:hint="eastAsia" w:ascii="Times New Roman" w:hAnsi="Times New Roman"/>
        </w:rPr>
        <w:t>人，</w:t>
      </w:r>
      <w:r>
        <w:rPr>
          <w:rFonts w:ascii="Times New Roman" w:hAnsi="Times New Roman"/>
        </w:rPr>
        <w:t>18-59</w:t>
      </w:r>
      <w:r>
        <w:rPr>
          <w:rFonts w:hint="eastAsia" w:ascii="Times New Roman" w:hAnsi="Times New Roman"/>
        </w:rPr>
        <w:t>岁</w:t>
      </w:r>
      <w:r>
        <w:rPr>
          <w:rFonts w:ascii="Times New Roman" w:hAnsi="Times New Roman"/>
        </w:rPr>
        <w:t>262681</w:t>
      </w:r>
      <w:r>
        <w:rPr>
          <w:rFonts w:hint="eastAsia" w:ascii="Times New Roman" w:hAnsi="Times New Roman"/>
        </w:rPr>
        <w:t>人，</w:t>
      </w:r>
      <w:r>
        <w:rPr>
          <w:rFonts w:ascii="Times New Roman" w:hAnsi="Times New Roman"/>
        </w:rPr>
        <w:t>60</w:t>
      </w:r>
      <w:r>
        <w:rPr>
          <w:rFonts w:hint="eastAsia" w:ascii="Times New Roman" w:hAnsi="Times New Roman"/>
        </w:rPr>
        <w:t>岁及以上</w:t>
      </w:r>
      <w:r>
        <w:rPr>
          <w:rFonts w:ascii="Times New Roman" w:hAnsi="Times New Roman"/>
        </w:rPr>
        <w:t>118743</w:t>
      </w:r>
      <w:r>
        <w:rPr>
          <w:rFonts w:hint="eastAsia" w:ascii="Times New Roman" w:hAnsi="Times New Roman"/>
        </w:rPr>
        <w:t>人。全年出生人口</w:t>
      </w:r>
      <w:r>
        <w:rPr>
          <w:rFonts w:ascii="Times New Roman" w:hAnsi="Times New Roman"/>
        </w:rPr>
        <w:t>3347</w:t>
      </w:r>
      <w:r>
        <w:rPr>
          <w:rFonts w:hint="eastAsia" w:ascii="Times New Roman" w:hAnsi="Times New Roman"/>
        </w:rPr>
        <w:t>人，死亡人口</w:t>
      </w:r>
      <w:r>
        <w:rPr>
          <w:rFonts w:ascii="Times New Roman" w:hAnsi="Times New Roman"/>
        </w:rPr>
        <w:t>4117</w:t>
      </w:r>
      <w:r>
        <w:rPr>
          <w:rFonts w:hint="eastAsia" w:ascii="Times New Roman" w:hAnsi="Times New Roman"/>
        </w:rPr>
        <w:t>人，人口自然增长率</w:t>
      </w:r>
      <w:r>
        <w:rPr>
          <w:rFonts w:ascii="Times New Roman" w:hAnsi="Times New Roman"/>
        </w:rPr>
        <w:t>-1.7‰</w:t>
      </w:r>
      <w:r>
        <w:rPr>
          <w:rFonts w:hint="eastAsia" w:ascii="Times New Roman" w:hAnsi="Times New Roman"/>
        </w:rPr>
        <w:t>，比上年提高</w:t>
      </w:r>
      <w:r>
        <w:rPr>
          <w:rFonts w:ascii="Times New Roman" w:hAnsi="Times New Roman"/>
        </w:rPr>
        <w:t>1.18</w:t>
      </w:r>
      <w:r>
        <w:rPr>
          <w:rFonts w:hint="eastAsia" w:ascii="Times New Roman" w:hAnsi="Times New Roman"/>
        </w:rPr>
        <w:t>个千分点。</w:t>
      </w:r>
    </w:p>
    <w:p>
      <w:pPr>
        <w:pStyle w:val="25"/>
      </w:pPr>
      <w:bookmarkStart w:id="31" w:name="_Toc35526451"/>
      <w:r>
        <w:t>经济与产业情况</w:t>
      </w:r>
      <w:bookmarkEnd w:id="31"/>
    </w:p>
    <w:p>
      <w:pPr>
        <w:snapToGrid w:val="0"/>
        <w:ind w:firstLine="560"/>
        <w:rPr>
          <w:rFonts w:ascii="Times New Roman" w:hAnsi="Times New Roman"/>
        </w:rPr>
      </w:pPr>
      <w:r>
        <w:rPr>
          <w:rFonts w:hint="eastAsia" w:ascii="Times New Roman" w:hAnsi="Times New Roman"/>
        </w:rPr>
        <w:t>2018年，全年实现地区生产总值</w:t>
      </w:r>
      <w:r>
        <w:rPr>
          <w:rFonts w:ascii="Times New Roman" w:hAnsi="Times New Roman"/>
        </w:rPr>
        <w:t>412.66</w:t>
      </w:r>
      <w:r>
        <w:rPr>
          <w:rFonts w:hint="eastAsia" w:ascii="Times New Roman" w:hAnsi="Times New Roman"/>
        </w:rPr>
        <w:t>亿元，按可比价格计算，比上年增长</w:t>
      </w:r>
      <w:r>
        <w:rPr>
          <w:rFonts w:ascii="Times New Roman" w:hAnsi="Times New Roman"/>
        </w:rPr>
        <w:t>5.6%</w:t>
      </w:r>
      <w:r>
        <w:rPr>
          <w:rFonts w:hint="eastAsia" w:ascii="Times New Roman" w:hAnsi="Times New Roman"/>
        </w:rPr>
        <w:t>。其中</w:t>
      </w:r>
      <w:r>
        <w:rPr>
          <w:rFonts w:ascii="Times New Roman" w:hAnsi="Times New Roman"/>
        </w:rPr>
        <w:t>:</w:t>
      </w:r>
      <w:r>
        <w:rPr>
          <w:rFonts w:hint="eastAsia" w:ascii="Times New Roman" w:hAnsi="Times New Roman"/>
        </w:rPr>
        <w:t>第一产业增加值</w:t>
      </w:r>
      <w:r>
        <w:rPr>
          <w:rFonts w:ascii="Times New Roman" w:hAnsi="Times New Roman"/>
        </w:rPr>
        <w:t>8.86</w:t>
      </w:r>
      <w:r>
        <w:rPr>
          <w:rFonts w:hint="eastAsia" w:ascii="Times New Roman" w:hAnsi="Times New Roman"/>
        </w:rPr>
        <w:t>亿元，增长</w:t>
      </w:r>
      <w:r>
        <w:rPr>
          <w:rFonts w:ascii="Times New Roman" w:hAnsi="Times New Roman"/>
        </w:rPr>
        <w:t>3.4%</w:t>
      </w:r>
      <w:r>
        <w:rPr>
          <w:rFonts w:hint="eastAsia" w:ascii="Times New Roman" w:hAnsi="Times New Roman"/>
        </w:rPr>
        <w:t>；第二产业增加值</w:t>
      </w:r>
      <w:r>
        <w:rPr>
          <w:rFonts w:ascii="Times New Roman" w:hAnsi="Times New Roman"/>
        </w:rPr>
        <w:t>223.61</w:t>
      </w:r>
      <w:r>
        <w:rPr>
          <w:rFonts w:hint="eastAsia" w:ascii="Times New Roman" w:hAnsi="Times New Roman"/>
        </w:rPr>
        <w:t>亿元，增长</w:t>
      </w:r>
      <w:r>
        <w:rPr>
          <w:rFonts w:ascii="Times New Roman" w:hAnsi="Times New Roman"/>
        </w:rPr>
        <w:t>8.3%</w:t>
      </w:r>
      <w:r>
        <w:rPr>
          <w:rFonts w:hint="eastAsia" w:ascii="Times New Roman" w:hAnsi="Times New Roman"/>
        </w:rPr>
        <w:t>，其中工业增加值</w:t>
      </w:r>
      <w:r>
        <w:rPr>
          <w:rFonts w:ascii="Times New Roman" w:hAnsi="Times New Roman"/>
        </w:rPr>
        <w:t>216.93</w:t>
      </w:r>
      <w:r>
        <w:rPr>
          <w:rFonts w:hint="eastAsia" w:ascii="Times New Roman" w:hAnsi="Times New Roman"/>
        </w:rPr>
        <w:t>亿元，增长</w:t>
      </w:r>
      <w:r>
        <w:rPr>
          <w:rFonts w:ascii="Times New Roman" w:hAnsi="Times New Roman"/>
        </w:rPr>
        <w:t>8.0%</w:t>
      </w:r>
      <w:r>
        <w:rPr>
          <w:rFonts w:hint="eastAsia" w:ascii="Times New Roman" w:hAnsi="Times New Roman"/>
        </w:rPr>
        <w:t>；第三产业增加值</w:t>
      </w:r>
      <w:r>
        <w:rPr>
          <w:rFonts w:ascii="Times New Roman" w:hAnsi="Times New Roman"/>
        </w:rPr>
        <w:t>180.19</w:t>
      </w:r>
      <w:r>
        <w:rPr>
          <w:rFonts w:hint="eastAsia" w:ascii="Times New Roman" w:hAnsi="Times New Roman"/>
        </w:rPr>
        <w:t>亿元，增长</w:t>
      </w:r>
      <w:r>
        <w:rPr>
          <w:rFonts w:ascii="Times New Roman" w:hAnsi="Times New Roman"/>
        </w:rPr>
        <w:t>2.4%</w:t>
      </w:r>
      <w:r>
        <w:rPr>
          <w:rFonts w:hint="eastAsia" w:ascii="Times New Roman" w:hAnsi="Times New Roman"/>
        </w:rPr>
        <w:t>，三次产业结构为</w:t>
      </w:r>
      <w:r>
        <w:rPr>
          <w:rFonts w:ascii="Times New Roman" w:hAnsi="Times New Roman"/>
        </w:rPr>
        <w:t>2.14</w:t>
      </w:r>
      <w:r>
        <w:rPr>
          <w:rFonts w:hint="eastAsia" w:ascii="Times New Roman" w:hAnsi="Times New Roman"/>
        </w:rPr>
        <w:t>：</w:t>
      </w:r>
      <w:r>
        <w:rPr>
          <w:rFonts w:ascii="Times New Roman" w:hAnsi="Times New Roman"/>
        </w:rPr>
        <w:t>54.19</w:t>
      </w:r>
      <w:r>
        <w:rPr>
          <w:rFonts w:hint="eastAsia" w:ascii="Times New Roman" w:hAnsi="Times New Roman"/>
        </w:rPr>
        <w:t>：</w:t>
      </w:r>
      <w:r>
        <w:rPr>
          <w:rFonts w:ascii="Times New Roman" w:hAnsi="Times New Roman"/>
        </w:rPr>
        <w:t>43.67</w:t>
      </w:r>
      <w:r>
        <w:rPr>
          <w:rFonts w:hint="eastAsia" w:ascii="Times New Roman" w:hAnsi="Times New Roman"/>
        </w:rPr>
        <w:t>。三次产业对经济增长的贡献率分别为</w:t>
      </w:r>
      <w:r>
        <w:rPr>
          <w:rFonts w:ascii="Times New Roman" w:hAnsi="Times New Roman"/>
        </w:rPr>
        <w:t>1.7%</w:t>
      </w:r>
      <w:r>
        <w:rPr>
          <w:rFonts w:hint="eastAsia" w:ascii="Times New Roman" w:hAnsi="Times New Roman"/>
        </w:rPr>
        <w:t>、</w:t>
      </w:r>
      <w:r>
        <w:rPr>
          <w:rFonts w:ascii="Times New Roman" w:hAnsi="Times New Roman"/>
        </w:rPr>
        <w:t>80.1%</w:t>
      </w:r>
      <w:r>
        <w:rPr>
          <w:rFonts w:hint="eastAsia" w:ascii="Times New Roman" w:hAnsi="Times New Roman"/>
        </w:rPr>
        <w:t>和</w:t>
      </w:r>
      <w:r>
        <w:rPr>
          <w:rFonts w:ascii="Times New Roman" w:hAnsi="Times New Roman"/>
        </w:rPr>
        <w:t>18.2%</w:t>
      </w:r>
      <w:r>
        <w:rPr>
          <w:rFonts w:hint="eastAsia" w:ascii="Times New Roman" w:hAnsi="Times New Roman"/>
        </w:rPr>
        <w:t>，分别拉动经济增长</w:t>
      </w:r>
      <w:r>
        <w:rPr>
          <w:rFonts w:ascii="Times New Roman" w:hAnsi="Times New Roman"/>
        </w:rPr>
        <w:t>0.1</w:t>
      </w:r>
      <w:r>
        <w:rPr>
          <w:rFonts w:hint="eastAsia" w:ascii="Times New Roman" w:hAnsi="Times New Roman"/>
        </w:rPr>
        <w:t>、</w:t>
      </w:r>
      <w:r>
        <w:rPr>
          <w:rFonts w:ascii="Times New Roman" w:hAnsi="Times New Roman"/>
        </w:rPr>
        <w:t>4.5</w:t>
      </w:r>
      <w:r>
        <w:rPr>
          <w:rFonts w:hint="eastAsia" w:ascii="Times New Roman" w:hAnsi="Times New Roman"/>
        </w:rPr>
        <w:t>和</w:t>
      </w:r>
      <w:r>
        <w:rPr>
          <w:rFonts w:ascii="Times New Roman" w:hAnsi="Times New Roman"/>
        </w:rPr>
        <w:t>1.0</w:t>
      </w:r>
      <w:r>
        <w:rPr>
          <w:rFonts w:hint="eastAsia" w:ascii="Times New Roman" w:hAnsi="Times New Roman"/>
        </w:rPr>
        <w:t>个百分点。</w:t>
      </w:r>
    </w:p>
    <w:p>
      <w:pPr>
        <w:snapToGrid w:val="0"/>
        <w:ind w:firstLine="560"/>
        <w:rPr>
          <w:rFonts w:ascii="Times New Roman" w:hAnsi="Times New Roman"/>
        </w:rPr>
      </w:pPr>
      <w:r>
        <w:rPr>
          <w:rFonts w:hint="eastAsia" w:ascii="Times New Roman" w:hAnsi="Times New Roman"/>
        </w:rPr>
        <w:t>全年全区居民人均可支配收入</w:t>
      </w:r>
      <w:r>
        <w:rPr>
          <w:rFonts w:ascii="Times New Roman" w:hAnsi="Times New Roman"/>
        </w:rPr>
        <w:t>32628</w:t>
      </w:r>
      <w:r>
        <w:rPr>
          <w:rFonts w:hint="eastAsia" w:ascii="Times New Roman" w:hAnsi="Times New Roman"/>
        </w:rPr>
        <w:t>元，比上年增长</w:t>
      </w:r>
      <w:r>
        <w:rPr>
          <w:rFonts w:ascii="Times New Roman" w:hAnsi="Times New Roman"/>
        </w:rPr>
        <w:t>8.1%</w:t>
      </w:r>
      <w:r>
        <w:rPr>
          <w:rFonts w:hint="eastAsia" w:ascii="Times New Roman" w:hAnsi="Times New Roman"/>
        </w:rPr>
        <w:t>，其中，城镇居民人均可支配收入</w:t>
      </w:r>
      <w:r>
        <w:rPr>
          <w:rFonts w:ascii="Times New Roman" w:hAnsi="Times New Roman"/>
        </w:rPr>
        <w:t>38305</w:t>
      </w:r>
      <w:r>
        <w:rPr>
          <w:rFonts w:hint="eastAsia" w:ascii="Times New Roman" w:hAnsi="Times New Roman"/>
        </w:rPr>
        <w:t>元，增长</w:t>
      </w:r>
      <w:r>
        <w:rPr>
          <w:rFonts w:ascii="Times New Roman" w:hAnsi="Times New Roman"/>
        </w:rPr>
        <w:t>7.0%</w:t>
      </w:r>
      <w:r>
        <w:rPr>
          <w:rFonts w:hint="eastAsia" w:ascii="Times New Roman" w:hAnsi="Times New Roman"/>
        </w:rPr>
        <w:t>；农村居民人均可支配收入</w:t>
      </w:r>
      <w:r>
        <w:rPr>
          <w:rFonts w:ascii="Times New Roman" w:hAnsi="Times New Roman"/>
        </w:rPr>
        <w:t>17099</w:t>
      </w:r>
      <w:r>
        <w:rPr>
          <w:rFonts w:hint="eastAsia" w:ascii="Times New Roman" w:hAnsi="Times New Roman"/>
        </w:rPr>
        <w:t>元，增长</w:t>
      </w:r>
      <w:r>
        <w:rPr>
          <w:rFonts w:ascii="Times New Roman" w:hAnsi="Times New Roman"/>
        </w:rPr>
        <w:t>7.7%</w:t>
      </w:r>
      <w:r>
        <w:rPr>
          <w:rFonts w:hint="eastAsia" w:ascii="Times New Roman" w:hAnsi="Times New Roman"/>
        </w:rPr>
        <w:t>。居民人均消费支出</w:t>
      </w:r>
      <w:r>
        <w:rPr>
          <w:rFonts w:ascii="Times New Roman" w:hAnsi="Times New Roman"/>
        </w:rPr>
        <w:t>19182</w:t>
      </w:r>
      <w:r>
        <w:rPr>
          <w:rFonts w:hint="eastAsia" w:ascii="Times New Roman" w:hAnsi="Times New Roman"/>
        </w:rPr>
        <w:t>元，比上年增长</w:t>
      </w:r>
      <w:r>
        <w:rPr>
          <w:rFonts w:ascii="Times New Roman" w:hAnsi="Times New Roman"/>
        </w:rPr>
        <w:t>7.7%</w:t>
      </w:r>
      <w:r>
        <w:rPr>
          <w:rFonts w:hint="eastAsia" w:ascii="Times New Roman" w:hAnsi="Times New Roman"/>
        </w:rPr>
        <w:t>。其中：城镇居民人均消费支出</w:t>
      </w:r>
      <w:r>
        <w:rPr>
          <w:rFonts w:ascii="Times New Roman" w:hAnsi="Times New Roman"/>
        </w:rPr>
        <w:t>21551</w:t>
      </w:r>
      <w:r>
        <w:rPr>
          <w:rFonts w:hint="eastAsia" w:ascii="Times New Roman" w:hAnsi="Times New Roman"/>
        </w:rPr>
        <w:t>元，增长</w:t>
      </w:r>
      <w:r>
        <w:rPr>
          <w:rFonts w:ascii="Times New Roman" w:hAnsi="Times New Roman"/>
        </w:rPr>
        <w:t>6.8%</w:t>
      </w:r>
      <w:r>
        <w:rPr>
          <w:rFonts w:hint="eastAsia" w:ascii="Times New Roman" w:hAnsi="Times New Roman"/>
        </w:rPr>
        <w:t>；农村居民人均消费支出</w:t>
      </w:r>
      <w:r>
        <w:rPr>
          <w:rFonts w:ascii="Times New Roman" w:hAnsi="Times New Roman"/>
        </w:rPr>
        <w:t>12703</w:t>
      </w:r>
      <w:r>
        <w:rPr>
          <w:rFonts w:hint="eastAsia" w:ascii="Times New Roman" w:hAnsi="Times New Roman"/>
        </w:rPr>
        <w:t>元，增长</w:t>
      </w:r>
      <w:r>
        <w:rPr>
          <w:rFonts w:ascii="Times New Roman" w:hAnsi="Times New Roman"/>
        </w:rPr>
        <w:t>8.0%</w:t>
      </w:r>
      <w:r>
        <w:rPr>
          <w:rFonts w:hint="eastAsia" w:ascii="Times New Roman" w:hAnsi="Times New Roman"/>
        </w:rPr>
        <w:t>。</w:t>
      </w:r>
    </w:p>
    <w:p>
      <w:pPr>
        <w:pStyle w:val="27"/>
      </w:pPr>
      <w:bookmarkStart w:id="32" w:name="_Toc35526452"/>
      <w:r>
        <w:t>土地利用现状与规划</w:t>
      </w:r>
      <w:bookmarkEnd w:id="32"/>
    </w:p>
    <w:p>
      <w:pPr>
        <w:pStyle w:val="25"/>
      </w:pPr>
      <w:bookmarkStart w:id="33" w:name="_Toc35526453"/>
      <w:r>
        <w:t>土地利用现状</w:t>
      </w:r>
      <w:bookmarkEnd w:id="33"/>
    </w:p>
    <w:p>
      <w:pPr>
        <w:snapToGrid w:val="0"/>
        <w:ind w:firstLine="560"/>
        <w:rPr>
          <w:rFonts w:hint="eastAsia" w:ascii="ArialUnicodeMS" w:hAnsi="ArialUnicodeMS"/>
          <w:color w:val="000000"/>
          <w:szCs w:val="28"/>
        </w:rPr>
      </w:pPr>
      <w:r>
        <w:rPr>
          <w:rFonts w:ascii="ArialUnicodeMS" w:hAnsi="ArialUnicodeMS"/>
          <w:color w:val="000000"/>
          <w:szCs w:val="28"/>
        </w:rPr>
        <w:t xml:space="preserve">全区林地面积为 </w:t>
      </w:r>
      <w:r>
        <w:rPr>
          <w:rFonts w:ascii="TimesNewRoman" w:hAnsi="TimesNewRoman"/>
          <w:color w:val="000000"/>
          <w:szCs w:val="28"/>
        </w:rPr>
        <w:t xml:space="preserve">36064.79 </w:t>
      </w:r>
      <w:r>
        <w:rPr>
          <w:rFonts w:ascii="ArialUnicodeMS" w:hAnsi="ArialUnicodeMS"/>
          <w:color w:val="000000"/>
          <w:szCs w:val="28"/>
        </w:rPr>
        <w:t xml:space="preserve">公顷，达到了土地面积的 </w:t>
      </w:r>
      <w:r>
        <w:rPr>
          <w:rFonts w:ascii="TimesNewRoman" w:hAnsi="TimesNewRoman"/>
          <w:color w:val="000000"/>
          <w:szCs w:val="28"/>
        </w:rPr>
        <w:t>51.66%</w:t>
      </w:r>
      <w:r>
        <w:rPr>
          <w:rFonts w:ascii="ArialUnicodeMS" w:hAnsi="ArialUnicodeMS"/>
          <w:color w:val="000000"/>
          <w:szCs w:val="28"/>
        </w:rPr>
        <w:t>，为主要用地类型，主要分布于原山、鲁山国家级森林公园。依据区域间的自然条件、社会经济状况的特点，南部为林、果、农、旅游区，北部主要为城区</w:t>
      </w:r>
      <w:r>
        <w:rPr>
          <w:rFonts w:ascii="ArialUnicodeMS" w:hAnsi="ArialUnicodeMS"/>
          <w:szCs w:val="28"/>
        </w:rPr>
        <w:t>工矿区，南北差异显著</w:t>
      </w:r>
      <w:r>
        <w:rPr>
          <w:rStyle w:val="33"/>
          <w:rFonts w:hint="default"/>
        </w:rPr>
        <w:t>。</w:t>
      </w:r>
    </w:p>
    <w:p>
      <w:pPr>
        <w:snapToGrid w:val="0"/>
        <w:ind w:firstLine="560"/>
        <w:rPr>
          <w:rFonts w:hint="eastAsia" w:ascii="ArialUnicodeMS" w:hAnsi="ArialUnicodeMS"/>
          <w:szCs w:val="28"/>
        </w:rPr>
      </w:pPr>
      <w:r>
        <w:rPr>
          <w:rFonts w:ascii="ArialUnicodeMS" w:hAnsi="ArialUnicodeMS"/>
          <w:szCs w:val="28"/>
        </w:rPr>
        <w:t>耕地面积</w:t>
      </w:r>
      <w:r>
        <w:rPr>
          <w:rFonts w:hint="eastAsia" w:ascii="ArialUnicodeMS" w:hAnsi="ArialUnicodeMS"/>
          <w:szCs w:val="28"/>
        </w:rPr>
        <w:t>为</w:t>
      </w:r>
      <w:r>
        <w:rPr>
          <w:rFonts w:ascii="ArialUnicodeMS" w:hAnsi="ArialUnicodeMS"/>
          <w:szCs w:val="28"/>
        </w:rPr>
        <w:t>10946.</w:t>
      </w:r>
      <w:r>
        <w:rPr>
          <w:rFonts w:hint="eastAsia" w:ascii="ArialUnicodeMS" w:hAnsi="ArialUnicodeMS"/>
          <w:szCs w:val="28"/>
        </w:rPr>
        <w:t>50公顷，</w:t>
      </w:r>
      <w:r>
        <w:rPr>
          <w:rFonts w:ascii="ArialUnicodeMS" w:hAnsi="ArialUnicodeMS"/>
          <w:szCs w:val="28"/>
        </w:rPr>
        <w:t>仅占全区土地总面积的15.68%</w:t>
      </w:r>
      <w:r>
        <w:rPr>
          <w:rFonts w:hint="eastAsia" w:ascii="ArialUnicodeMS" w:hAnsi="ArialUnicodeMS"/>
          <w:szCs w:val="28"/>
        </w:rPr>
        <w:t>。</w:t>
      </w:r>
      <w:r>
        <w:rPr>
          <w:rFonts w:ascii="ArialUnicodeMS" w:hAnsi="ArialUnicodeMS"/>
          <w:szCs w:val="28"/>
        </w:rPr>
        <w:t>建设用地面积为 9807.24 公顷，仅占全区土地面积的 14.05%</w:t>
      </w:r>
      <w:r>
        <w:rPr>
          <w:rFonts w:hint="eastAsia" w:ascii="ArialUnicodeMS" w:hAnsi="ArialUnicodeMS"/>
          <w:szCs w:val="28"/>
        </w:rPr>
        <w:t>，其中城乡建设用地</w:t>
      </w:r>
      <w:r>
        <w:rPr>
          <w:rFonts w:ascii="ArialUnicodeMS" w:hAnsi="ArialUnicodeMS"/>
          <w:szCs w:val="28"/>
        </w:rPr>
        <w:t>8710.73公顷</w:t>
      </w:r>
      <w:r>
        <w:rPr>
          <w:rFonts w:hint="eastAsia" w:ascii="ArialUnicodeMS" w:hAnsi="ArialUnicodeMS"/>
          <w:szCs w:val="28"/>
        </w:rPr>
        <w:t>，交通水利及其他建设用地</w:t>
      </w:r>
      <w:r>
        <w:rPr>
          <w:rFonts w:ascii="ArialUnicodeMS" w:hAnsi="ArialUnicodeMS"/>
          <w:szCs w:val="28"/>
        </w:rPr>
        <w:t>1096.51公顷。在建设用地布局上，呈现向北扩展的趋势。区内农村居民点用地相对较为粗放，农村居民点用地呈逐年增加的趋势。</w:t>
      </w:r>
    </w:p>
    <w:p>
      <w:pPr>
        <w:pStyle w:val="25"/>
      </w:pPr>
      <w:bookmarkStart w:id="34" w:name="_Toc35526454"/>
      <w:r>
        <w:t>土地利用规划</w:t>
      </w:r>
      <w:bookmarkEnd w:id="34"/>
    </w:p>
    <w:p>
      <w:pPr>
        <w:snapToGrid w:val="0"/>
        <w:ind w:firstLine="560"/>
        <w:rPr>
          <w:rFonts w:ascii="Times New Roman" w:hAnsi="Times New Roman"/>
        </w:rPr>
      </w:pPr>
      <w:r>
        <w:rPr>
          <w:rFonts w:hint="eastAsia" w:ascii="Times New Roman" w:hAnsi="Times New Roman"/>
        </w:rPr>
        <w:t>根据博山区全面建设小康社会的总体要求和未来经济社会发展的目标任务，规划期内博山区土地利用的总体目标是：加强土地宏观管理和用途管制，使土地利用结构和布局得到合理调整和不断优化，土地利用效率得到显著提高，为确保耕地特别是基本农田面积不减少、质量有提高和全面建设小康社会提供保障。</w:t>
      </w:r>
    </w:p>
    <w:p>
      <w:pPr>
        <w:snapToGrid w:val="0"/>
        <w:ind w:firstLine="560"/>
        <w:rPr>
          <w:rFonts w:ascii="Times New Roman" w:hAnsi="Times New Roman"/>
        </w:rPr>
      </w:pPr>
      <w:r>
        <w:rPr>
          <w:rFonts w:hint="eastAsia" w:ascii="Times New Roman" w:hAnsi="Times New Roman"/>
        </w:rPr>
        <w:t>到</w:t>
      </w:r>
      <w:r>
        <w:rPr>
          <w:rFonts w:ascii="Times New Roman" w:hAnsi="Times New Roman"/>
        </w:rPr>
        <w:t>2020</w:t>
      </w:r>
      <w:r>
        <w:rPr>
          <w:rFonts w:hint="eastAsia" w:ascii="Times New Roman" w:hAnsi="Times New Roman"/>
        </w:rPr>
        <w:t>年，严格保护耕地特别是基本农田，耕地保有量保持在</w:t>
      </w:r>
      <w:r>
        <w:rPr>
          <w:rFonts w:ascii="Times New Roman" w:hAnsi="Times New Roman"/>
        </w:rPr>
        <w:t>10392.0</w:t>
      </w:r>
      <w:r>
        <w:rPr>
          <w:rFonts w:hint="eastAsia" w:ascii="Times New Roman" w:hAnsi="Times New Roman"/>
        </w:rPr>
        <w:t>公顷以上；优化城乡用地结构，建设用地总规模控制在</w:t>
      </w:r>
      <w:r>
        <w:rPr>
          <w:rFonts w:ascii="Times New Roman" w:hAnsi="Times New Roman"/>
        </w:rPr>
        <w:t>9824.3</w:t>
      </w:r>
      <w:r>
        <w:rPr>
          <w:rFonts w:hint="eastAsia" w:ascii="Times New Roman" w:hAnsi="Times New Roman"/>
        </w:rPr>
        <w:t>公顷以内；合理保障交通、水利、能源等基础设施建设用地；控制在</w:t>
      </w:r>
      <w:r>
        <w:rPr>
          <w:rFonts w:ascii="Times New Roman" w:hAnsi="Times New Roman"/>
        </w:rPr>
        <w:t>1297.0</w:t>
      </w:r>
      <w:r>
        <w:rPr>
          <w:rFonts w:hint="eastAsia" w:ascii="Times New Roman" w:hAnsi="Times New Roman"/>
        </w:rPr>
        <w:t>公顷以内；实现土地资源可持续利用，确保生态安全，通过工程措施和生物措施，维护生态系统安全格局，加大对各类自然保护区、风景名胜区、大中型水库、水源地等的保护力度，森林覆盖率达到</w:t>
      </w:r>
      <w:r>
        <w:rPr>
          <w:rFonts w:ascii="Times New Roman" w:hAnsi="Times New Roman"/>
        </w:rPr>
        <w:t>55%</w:t>
      </w:r>
      <w:r>
        <w:rPr>
          <w:rFonts w:hint="eastAsia" w:ascii="Times New Roman" w:hAnsi="Times New Roman"/>
        </w:rPr>
        <w:t>以上，全区生态环境恢复良性循环，完成</w:t>
      </w:r>
      <w:r>
        <w:rPr>
          <w:rFonts w:hint="cs" w:ascii="Times New Roman" w:hAnsi="Times New Roman"/>
        </w:rPr>
        <w:t>“</w:t>
      </w:r>
      <w:r>
        <w:rPr>
          <w:rFonts w:hint="eastAsia" w:ascii="Times New Roman" w:hAnsi="Times New Roman"/>
        </w:rPr>
        <w:t>天蓝、地绿、水清、气爽</w:t>
      </w:r>
      <w:r>
        <w:rPr>
          <w:rFonts w:hint="cs" w:ascii="Times New Roman" w:hAnsi="Times New Roman"/>
        </w:rPr>
        <w:t>”</w:t>
      </w:r>
      <w:r>
        <w:rPr>
          <w:rFonts w:hint="eastAsia" w:ascii="Times New Roman" w:hAnsi="Times New Roman"/>
        </w:rPr>
        <w:t>的目标。</w:t>
      </w:r>
    </w:p>
    <w:p>
      <w:pPr>
        <w:widowControl/>
        <w:spacing w:line="240" w:lineRule="auto"/>
        <w:ind w:firstLine="0" w:firstLineChars="0"/>
        <w:jc w:val="left"/>
        <w:rPr>
          <w:rFonts w:hint="eastAsia" w:ascii="ArialUnicodeMS" w:hAnsi="ArialUnicodeMS"/>
          <w:szCs w:val="28"/>
        </w:rPr>
      </w:pPr>
      <w:r>
        <w:rPr>
          <w:rFonts w:hint="eastAsia" w:ascii="ArialUnicodeMS" w:hAnsi="ArialUnicodeMS"/>
          <w:szCs w:val="28"/>
        </w:rPr>
        <w:br w:type="page"/>
      </w: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r>
        <w:rPr>
          <w:rFonts w:hint="eastAsia" w:ascii="ArialUnicodeMS" w:hAnsi="ArialUnicodeMS"/>
          <w:szCs w:val="28"/>
        </w:rPr>
        <w:drawing>
          <wp:anchor distT="0" distB="0" distL="114300" distR="114300" simplePos="0" relativeHeight="251663360" behindDoc="0" locked="0" layoutInCell="1" allowOverlap="1">
            <wp:simplePos x="0" y="0"/>
            <wp:positionH relativeFrom="column">
              <wp:posOffset>-2314575</wp:posOffset>
            </wp:positionH>
            <wp:positionV relativeFrom="paragraph">
              <wp:posOffset>410210</wp:posOffset>
            </wp:positionV>
            <wp:extent cx="9475470" cy="6155690"/>
            <wp:effectExtent l="21273" t="16827" r="14287" b="14288"/>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9475200" cy="6156000"/>
                    </a:xfrm>
                    <a:prstGeom prst="rect">
                      <a:avLst/>
                    </a:prstGeom>
                    <a:ln w="12700">
                      <a:solidFill>
                        <a:schemeClr val="tx1"/>
                      </a:solidFill>
                    </a:ln>
                  </pic:spPr>
                </pic:pic>
              </a:graphicData>
            </a:graphic>
          </wp:anchor>
        </w:drawing>
      </w: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r>
        <w:rPr>
          <w:rFonts w:ascii="ArialUnicodeMS" w:hAnsi="ArialUnicodeMS"/>
          <w:szCs w:val="28"/>
        </w:rPr>
        <mc:AlternateContent>
          <mc:Choice Requires="wps">
            <w:drawing>
              <wp:anchor distT="45720" distB="45720" distL="114300" distR="114300" simplePos="0" relativeHeight="251661312" behindDoc="0" locked="0" layoutInCell="1" allowOverlap="1">
                <wp:simplePos x="0" y="0"/>
                <wp:positionH relativeFrom="column">
                  <wp:posOffset>3857625</wp:posOffset>
                </wp:positionH>
                <wp:positionV relativeFrom="paragraph">
                  <wp:posOffset>127635</wp:posOffset>
                </wp:positionV>
                <wp:extent cx="3964305" cy="593090"/>
                <wp:effectExtent l="9208" t="0" r="7302" b="7303"/>
                <wp:wrapSquare wrapText="bothSides"/>
                <wp:docPr id="217" name="文本框 2"/>
                <wp:cNvGraphicFramePr/>
                <a:graphic xmlns:a="http://schemas.openxmlformats.org/drawingml/2006/main">
                  <a:graphicData uri="http://schemas.microsoft.com/office/word/2010/wordprocessingShape">
                    <wps:wsp>
                      <wps:cNvSpPr txBox="1">
                        <a:spLocks noChangeArrowheads="1"/>
                      </wps:cNvSpPr>
                      <wps:spPr bwMode="auto">
                        <a:xfrm rot="16200000">
                          <a:off x="0" y="0"/>
                          <a:ext cx="3964305" cy="593090"/>
                        </a:xfrm>
                        <a:prstGeom prst="rect">
                          <a:avLst/>
                        </a:prstGeom>
                        <a:solidFill>
                          <a:srgbClr val="FFFFFF"/>
                        </a:solidFill>
                        <a:ln w="9525">
                          <a:noFill/>
                          <a:miter lim="800000"/>
                        </a:ln>
                      </wps:spPr>
                      <wps:txbx>
                        <w:txbxContent>
                          <w:p>
                            <w:pPr>
                              <w:snapToGrid w:val="0"/>
                              <w:ind w:firstLine="0" w:firstLineChars="0"/>
                              <w:jc w:val="center"/>
                              <w:rPr>
                                <w:rFonts w:ascii="Times New Roman" w:hAnsi="Times New Roman"/>
                                <w:b/>
                                <w:sz w:val="24"/>
                              </w:rPr>
                            </w:pPr>
                            <w:r>
                              <w:rPr>
                                <w:rFonts w:ascii="Times New Roman" w:hAnsi="Times New Roman"/>
                                <w:b/>
                                <w:sz w:val="24"/>
                              </w:rPr>
                              <w:t>图2-</w:t>
                            </w:r>
                            <w:r>
                              <w:rPr>
                                <w:rFonts w:hint="eastAsia" w:ascii="Times New Roman" w:hAnsi="Times New Roman"/>
                                <w:b/>
                                <w:sz w:val="24"/>
                              </w:rPr>
                              <w:t>3水源地周边土地利用现状及规划图(</w:t>
                            </w:r>
                            <w:r>
                              <w:rPr>
                                <w:rFonts w:ascii="Times New Roman" w:hAnsi="Times New Roman"/>
                                <w:b/>
                                <w:sz w:val="24"/>
                              </w:rPr>
                              <w:t>2014-2020年</w:t>
                            </w:r>
                            <w:r>
                              <w:rPr>
                                <w:rFonts w:hint="eastAsia" w:ascii="Times New Roman" w:hAnsi="Times New Roman"/>
                                <w:b/>
                                <w:sz w:val="24"/>
                              </w:rPr>
                              <w:t>)</w:t>
                            </w:r>
                          </w:p>
                          <w:p>
                            <w:pPr>
                              <w:snapToGrid w:val="0"/>
                              <w:ind w:firstLine="0" w:firstLineChars="0"/>
                              <w:jc w:val="center"/>
                              <w:rPr>
                                <w:rFonts w:ascii="Times New Roman" w:hAnsi="Times New Roman"/>
                                <w:b/>
                                <w:sz w:val="24"/>
                              </w:rPr>
                            </w:pPr>
                            <w:r>
                              <w:rPr>
                                <w:rFonts w:hint="eastAsia" w:ascii="Times New Roman" w:hAnsi="Times New Roman"/>
                                <w:b/>
                                <w:sz w:val="24"/>
                              </w:rPr>
                              <w:t>比例尺 1</w:t>
                            </w:r>
                            <w:r>
                              <w:rPr>
                                <w:rFonts w:ascii="Times New Roman" w:hAnsi="Times New Roman"/>
                                <w:b/>
                                <w:sz w:val="24"/>
                              </w:rPr>
                              <w:t>:40000</w:t>
                            </w:r>
                          </w:p>
                          <w:p>
                            <w:pPr>
                              <w:ind w:firstLine="560"/>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03.75pt;margin-top:10.05pt;height:46.7pt;width:312.15pt;mso-wrap-distance-bottom:3.6pt;mso-wrap-distance-left:9pt;mso-wrap-distance-right:9pt;mso-wrap-distance-top:3.6pt;rotation:-5898240f;z-index:251661312;mso-width-relative:page;mso-height-relative:page;" fillcolor="#FFFFFF" filled="t" stroked="f" coordsize="21600,21600" o:gfxdata="UEsDBAoAAAAAAIdO4kAAAAAAAAAAAAAAAAAEAAAAZHJzL1BLAwQUAAAACACHTuJAWl7VCNwAAAAL&#10;AQAADwAAAGRycy9kb3ducmV2LnhtbE2Py07DMBBF90j8gzVIbBC1ndIUQpwuKh7qBomCkLpz4yGJ&#10;iMdR7D7g65muYDejObpzbrk4+l7scYxdIAN6okAg1cF11Bh4f3u8vgURkyVn+0Bo4BsjLKrzs9IW&#10;LhzoFffr1AgOoVhYA21KQyFlrFv0Nk7CgMS3zzB6m3gdG+lGe+Bw38tMqVx62xF/aO2Ayxbrr/XO&#10;G5g/v+SbtPQ/3eZJre4ervxquPkw5vJCq3sQCY/pD4aTPqtDxU7bsCMXRW8gV/MZowYypUGcgGyq&#10;ucyWJz2dgaxK+b9D9QtQSwMEFAAAAAgAh07iQAace6soAgAAFQQAAA4AAABkcnMvZTJvRG9jLnht&#10;bK1TS27bMBDdF+gdCO5rffxJLFgOUgcuCqQfIO0BaIqyiJIclaQtpQdobtBVN933XD5Hh5RhG+mu&#10;qBaEhjN8nPfecHHTa0X2wjoJpqTZKKVEGA6VNNuSfv60fnVNifPMVEyBESV9FI7eLF++WHRtIXJo&#10;QFXCEgQxrujakjbet0WSON4IzdwIWmEwWYPVzGNot0llWYfoWiV5ms6SDmzVWuDCOdy9G5J0GfHr&#10;WnD/oa6d8ESVFHvzcbVx3YQ1WS5YsbWsbSQ/tsH+oQvNpMFLT1B3zDOys/IvKC25BQe1H3HQCdS1&#10;5CJyQDZZ+ozNQ8NaEbmgOK49yeT+Hyx/v/9oiaxKmmdXlBim0aTDj6fDz9+HX99JHgTqWldg3UOL&#10;lb5/DT0aHcm69h74F0cMrBpmtuLWWugawSpsMAsnk4ujA44LIJvuHVR4D9t5iEB9bTWxgO5kM3QV&#10;v7iN8hC8DH17PHklek84bo7ns8k4nVLCMTedj9N5NDNhRQALVrTW+TcCNAk/JbU4CxGV7e+dD82d&#10;S0K5AyWrtVQqBna7WSlL9gznZh2/yOdZmTKkK+l8mk8jsoFwPo6Ulh7nWkld0uuB0HCjMkdVghCD&#10;JL7f9JgMUm2gekR9ohLIGt8VNt6A/UZJhzNaUvd1x6ygRL01qPE8m0zCUMdgMr3KMbCXmc1lhhmO&#10;UCX1lAy/Kx8fQuBr4Ba9qGXU5dzJsVecvSjX8Z2E4b6MY9X5NS//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Fpe1QjcAAAACwEAAA8AAAAAAAAAAQAgAAAAIgAAAGRycy9kb3ducmV2LnhtbFBLAQIU&#10;ABQAAAAIAIdO4kAGnHurKAIAABUEAAAOAAAAAAAAAAEAIAAAACsBAABkcnMvZTJvRG9jLnhtbFBL&#10;BQYAAAAABgAGAFkBAADFBQAAAAA=&#10;">
                <v:fill on="t" focussize="0,0"/>
                <v:stroke on="f" miterlimit="8" joinstyle="miter"/>
                <v:imagedata o:title=""/>
                <o:lock v:ext="edit" aspectratio="f"/>
                <v:textbox>
                  <w:txbxContent>
                    <w:p>
                      <w:pPr>
                        <w:snapToGrid w:val="0"/>
                        <w:ind w:firstLine="0" w:firstLineChars="0"/>
                        <w:jc w:val="center"/>
                        <w:rPr>
                          <w:rFonts w:ascii="Times New Roman" w:hAnsi="Times New Roman"/>
                          <w:b/>
                          <w:sz w:val="24"/>
                        </w:rPr>
                      </w:pPr>
                      <w:r>
                        <w:rPr>
                          <w:rFonts w:ascii="Times New Roman" w:hAnsi="Times New Roman"/>
                          <w:b/>
                          <w:sz w:val="24"/>
                        </w:rPr>
                        <w:t>图2-</w:t>
                      </w:r>
                      <w:r>
                        <w:rPr>
                          <w:rFonts w:hint="eastAsia" w:ascii="Times New Roman" w:hAnsi="Times New Roman"/>
                          <w:b/>
                          <w:sz w:val="24"/>
                        </w:rPr>
                        <w:t>3水源地周边土地利用现状及规划图(</w:t>
                      </w:r>
                      <w:r>
                        <w:rPr>
                          <w:rFonts w:ascii="Times New Roman" w:hAnsi="Times New Roman"/>
                          <w:b/>
                          <w:sz w:val="24"/>
                        </w:rPr>
                        <w:t>2014-2020年</w:t>
                      </w:r>
                      <w:r>
                        <w:rPr>
                          <w:rFonts w:hint="eastAsia" w:ascii="Times New Roman" w:hAnsi="Times New Roman"/>
                          <w:b/>
                          <w:sz w:val="24"/>
                        </w:rPr>
                        <w:t>)</w:t>
                      </w:r>
                    </w:p>
                    <w:p>
                      <w:pPr>
                        <w:snapToGrid w:val="0"/>
                        <w:ind w:firstLine="0" w:firstLineChars="0"/>
                        <w:jc w:val="center"/>
                        <w:rPr>
                          <w:rFonts w:ascii="Times New Roman" w:hAnsi="Times New Roman"/>
                          <w:b/>
                          <w:sz w:val="24"/>
                        </w:rPr>
                      </w:pPr>
                      <w:r>
                        <w:rPr>
                          <w:rFonts w:hint="eastAsia" w:ascii="Times New Roman" w:hAnsi="Times New Roman"/>
                          <w:b/>
                          <w:sz w:val="24"/>
                        </w:rPr>
                        <w:t>比例尺 1</w:t>
                      </w:r>
                      <w:r>
                        <w:rPr>
                          <w:rFonts w:ascii="Times New Roman" w:hAnsi="Times New Roman"/>
                          <w:b/>
                          <w:sz w:val="24"/>
                        </w:rPr>
                        <w:t>:40000</w:t>
                      </w:r>
                    </w:p>
                    <w:p>
                      <w:pPr>
                        <w:ind w:firstLine="560"/>
                      </w:pPr>
                    </w:p>
                  </w:txbxContent>
                </v:textbox>
                <w10:wrap type="square"/>
              </v:shape>
            </w:pict>
          </mc:Fallback>
        </mc:AlternateContent>
      </w: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snapToGrid w:val="0"/>
        <w:ind w:firstLine="560"/>
        <w:rPr>
          <w:rFonts w:hint="eastAsia" w:ascii="ArialUnicodeMS" w:hAnsi="ArialUnicodeMS"/>
          <w:szCs w:val="28"/>
        </w:rPr>
      </w:pPr>
    </w:p>
    <w:p>
      <w:pPr>
        <w:pStyle w:val="27"/>
      </w:pPr>
      <w:bookmarkStart w:id="35" w:name="_Toc35526455"/>
      <w:r>
        <w:rPr>
          <w:rFonts w:hint="eastAsia"/>
        </w:rPr>
        <w:t>饮用水源地现状</w:t>
      </w:r>
      <w:bookmarkEnd w:id="35"/>
    </w:p>
    <w:p>
      <w:pPr>
        <w:pStyle w:val="25"/>
      </w:pPr>
      <w:bookmarkStart w:id="36" w:name="_Toc35526456"/>
      <w:r>
        <w:rPr>
          <w:rFonts w:hint="eastAsia"/>
        </w:rPr>
        <w:t>饮用水源地及保护区划</w:t>
      </w:r>
      <w:bookmarkEnd w:id="36"/>
    </w:p>
    <w:p>
      <w:pPr>
        <w:ind w:firstLine="560"/>
        <w:rPr>
          <w:rFonts w:ascii="Times New Roman" w:hAnsi="Times New Roman"/>
        </w:rPr>
      </w:pPr>
      <w:r>
        <w:rPr>
          <w:rFonts w:hint="eastAsia" w:ascii="Times New Roman" w:hAnsi="Times New Roman"/>
        </w:rPr>
        <w:t>博山区境内现有天津湾、源泉2处水源地。按照《淄博市饮用水水源保护区划定方案》与《淄博市生态保护红线规划（</w:t>
      </w:r>
      <w:r>
        <w:rPr>
          <w:rFonts w:ascii="Times New Roman" w:hAnsi="Times New Roman"/>
        </w:rPr>
        <w:t>2016—2020</w:t>
      </w:r>
      <w:r>
        <w:rPr>
          <w:rFonts w:hint="eastAsia" w:ascii="Times New Roman" w:hAnsi="Times New Roman"/>
        </w:rPr>
        <w:t>年）》的要求，省级及以上自然保护区的核心区和缓冲区以及饮用水水源保护区的一级保护区必须纳入生态保护红线</w:t>
      </w:r>
      <w:r>
        <w:rPr>
          <w:rFonts w:ascii="Times New Roman" w:hAnsi="Times New Roman"/>
        </w:rPr>
        <w:t xml:space="preserve"> I </w:t>
      </w:r>
      <w:r>
        <w:rPr>
          <w:rFonts w:hint="eastAsia" w:ascii="Times New Roman" w:hAnsi="Times New Roman"/>
        </w:rPr>
        <w:t>类红线区。将源泉、天津湾两处水源地划入水源一级保护区、</w:t>
      </w:r>
      <w:r>
        <w:rPr>
          <w:rFonts w:ascii="Times New Roman" w:hAnsi="Times New Roman"/>
        </w:rPr>
        <w:t xml:space="preserve">I </w:t>
      </w:r>
      <w:r>
        <w:rPr>
          <w:rFonts w:hint="eastAsia" w:ascii="Times New Roman" w:hAnsi="Times New Roman"/>
        </w:rPr>
        <w:t>类红线区。源泉饮用水水源保护区：以井群外围井的外接多边形为边界，向东</w:t>
      </w:r>
      <w:r>
        <w:rPr>
          <w:rFonts w:ascii="Times New Roman" w:hAnsi="Times New Roman"/>
        </w:rPr>
        <w:t xml:space="preserve"> 918</w:t>
      </w:r>
      <w:r>
        <w:rPr>
          <w:rFonts w:hint="eastAsia" w:ascii="Times New Roman" w:hAnsi="Times New Roman"/>
        </w:rPr>
        <w:t>米、向西至淄河、向南</w:t>
      </w:r>
      <w:r>
        <w:rPr>
          <w:rFonts w:ascii="Times New Roman" w:hAnsi="Times New Roman"/>
        </w:rPr>
        <w:t xml:space="preserve"> 1000 </w:t>
      </w:r>
      <w:r>
        <w:rPr>
          <w:rFonts w:hint="eastAsia" w:ascii="Times New Roman" w:hAnsi="Times New Roman"/>
        </w:rPr>
        <w:t>米、向北</w:t>
      </w:r>
      <w:r>
        <w:rPr>
          <w:rFonts w:ascii="Times New Roman" w:hAnsi="Times New Roman"/>
        </w:rPr>
        <w:t xml:space="preserve"> 100 </w:t>
      </w:r>
      <w:r>
        <w:rPr>
          <w:rFonts w:hint="eastAsia" w:ascii="Times New Roman" w:hAnsi="Times New Roman"/>
        </w:rPr>
        <w:t>米范围内的区域。天津湾饮用水水源保护区以井群外围井的外接多边形为边界，向东</w:t>
      </w:r>
      <w:r>
        <w:rPr>
          <w:rFonts w:ascii="Times New Roman" w:hAnsi="Times New Roman"/>
        </w:rPr>
        <w:t xml:space="preserve">313 </w:t>
      </w:r>
      <w:r>
        <w:rPr>
          <w:rFonts w:hint="eastAsia" w:ascii="Times New Roman" w:hAnsi="Times New Roman"/>
        </w:rPr>
        <w:t>米、向西</w:t>
      </w:r>
      <w:r>
        <w:rPr>
          <w:rFonts w:ascii="Times New Roman" w:hAnsi="Times New Roman"/>
        </w:rPr>
        <w:t xml:space="preserve"> 313 </w:t>
      </w:r>
      <w:r>
        <w:rPr>
          <w:rFonts w:hint="eastAsia" w:ascii="Times New Roman" w:hAnsi="Times New Roman"/>
        </w:rPr>
        <w:t>米、向南</w:t>
      </w:r>
      <w:r>
        <w:rPr>
          <w:rFonts w:ascii="Times New Roman" w:hAnsi="Times New Roman"/>
        </w:rPr>
        <w:t xml:space="preserve"> 1000 </w:t>
      </w:r>
      <w:r>
        <w:rPr>
          <w:rFonts w:hint="eastAsia" w:ascii="Times New Roman" w:hAnsi="Times New Roman"/>
        </w:rPr>
        <w:t>米、向北</w:t>
      </w:r>
      <w:r>
        <w:rPr>
          <w:rFonts w:ascii="Times New Roman" w:hAnsi="Times New Roman"/>
        </w:rPr>
        <w:t xml:space="preserve"> 100 </w:t>
      </w:r>
      <w:r>
        <w:rPr>
          <w:rFonts w:hint="eastAsia" w:ascii="Times New Roman" w:hAnsi="Times New Roman"/>
        </w:rPr>
        <w:t>米范围内的区域。</w:t>
      </w:r>
    </w:p>
    <w:p>
      <w:pPr>
        <w:pStyle w:val="25"/>
      </w:pPr>
      <w:bookmarkStart w:id="37" w:name="_Toc35526457"/>
      <w:r>
        <w:rPr>
          <w:rFonts w:hint="eastAsia"/>
        </w:rPr>
        <w:t>谢家店饮用水源地利用现状</w:t>
      </w:r>
      <w:bookmarkEnd w:id="37"/>
    </w:p>
    <w:p>
      <w:pPr>
        <w:widowControl/>
        <w:spacing w:line="240" w:lineRule="auto"/>
        <w:ind w:firstLine="560"/>
        <w:rPr>
          <w:rFonts w:ascii="Times New Roman" w:hAnsi="Times New Roman"/>
        </w:rPr>
      </w:pPr>
      <w:r>
        <w:rPr>
          <w:rFonts w:hint="eastAsia" w:ascii="Times New Roman" w:hAnsi="Times New Roman"/>
        </w:rPr>
        <w:t>2015年5月21日，淄博市博山区发展和改革局批复同意淄博博山正普城市资产运营有限公司《关于淄博市博山区谢家店应急供水工程及河道综合治理建设项目立项的请示》，同年11月24日淄博市水资源管理办公室同意淄博博山正普城市资产运营有限公司在</w:t>
      </w:r>
      <w:r>
        <w:rPr>
          <w:rFonts w:ascii="Times New Roman" w:hAnsi="Times New Roman"/>
        </w:rPr>
        <w:t>谢家店</w:t>
      </w:r>
      <w:r>
        <w:rPr>
          <w:rFonts w:hint="eastAsia" w:ascii="Times New Roman" w:hAnsi="Times New Roman"/>
        </w:rPr>
        <w:t>村附近新凿11眼深350米左右的勘探水井。11眼勘探水井</w:t>
      </w:r>
      <w:r>
        <w:rPr>
          <w:rFonts w:ascii="Times New Roman" w:hAnsi="Times New Roman"/>
        </w:rPr>
        <w:t>于2017年建成</w:t>
      </w:r>
      <w:r>
        <w:rPr>
          <w:rFonts w:hint="eastAsia" w:ascii="Times New Roman" w:hAnsi="Times New Roman"/>
        </w:rPr>
        <w:t>，并</w:t>
      </w:r>
      <w:r>
        <w:rPr>
          <w:rFonts w:ascii="Times New Roman" w:hAnsi="Times New Roman"/>
        </w:rPr>
        <w:t>用于开采性抽水试验</w:t>
      </w:r>
      <w:r>
        <w:rPr>
          <w:rFonts w:hint="eastAsia" w:ascii="Times New Roman" w:hAnsi="Times New Roman"/>
        </w:rPr>
        <w:t>。</w:t>
      </w:r>
      <w:r>
        <w:rPr>
          <w:rFonts w:ascii="Times New Roman" w:hAnsi="Times New Roman"/>
        </w:rPr>
        <w:t>抽水试验</w:t>
      </w:r>
      <w:r>
        <w:rPr>
          <w:rFonts w:hint="eastAsia" w:ascii="Times New Roman" w:hAnsi="Times New Roman"/>
        </w:rPr>
        <w:t>结果显示</w:t>
      </w:r>
      <w:r>
        <w:rPr>
          <w:rFonts w:ascii="Times New Roman" w:hAnsi="Times New Roman"/>
        </w:rPr>
        <w:t>北博山村东南</w:t>
      </w:r>
      <w:r>
        <w:rPr>
          <w:rFonts w:hint="eastAsia" w:ascii="Times New Roman" w:hAnsi="Times New Roman"/>
        </w:rPr>
        <w:t>和邀兔村西南的两眼水井不宜作为供水取水井。其它9</w:t>
      </w:r>
      <w:r>
        <w:rPr>
          <w:rFonts w:ascii="Times New Roman" w:hAnsi="Times New Roman"/>
        </w:rPr>
        <w:t>眼</w:t>
      </w:r>
      <w:r>
        <w:rPr>
          <w:rFonts w:hint="eastAsia" w:ascii="Times New Roman" w:hAnsi="Times New Roman"/>
        </w:rPr>
        <w:t>作为供水取水井</w:t>
      </w:r>
      <w:r>
        <w:rPr>
          <w:rFonts w:ascii="Times New Roman" w:hAnsi="Times New Roman"/>
        </w:rPr>
        <w:t>分布于三个井群，位于博山区北博山镇谢家店村西和村东北，分别为：谢家店村西大桥南的8#和9#号井，谢家店村东大桥北的3#、4#、5#、6#、7#号井，以及谢家店水厂的1#和2#号井水源地中心地理坐标为东经117°58′20.18″，北纬36°22′52.66″。</w:t>
      </w:r>
      <w:r>
        <w:rPr>
          <w:rFonts w:hint="eastAsia" w:ascii="Times New Roman" w:hAnsi="Times New Roman"/>
        </w:rPr>
        <w:t>9</w:t>
      </w:r>
      <w:r>
        <w:rPr>
          <w:rFonts w:ascii="Times New Roman" w:hAnsi="Times New Roman"/>
        </w:rPr>
        <w:t>眼</w:t>
      </w:r>
      <w:r>
        <w:rPr>
          <w:rFonts w:hint="eastAsia" w:ascii="Times New Roman" w:hAnsi="Times New Roman"/>
        </w:rPr>
        <w:t>供水取水井</w:t>
      </w:r>
      <w:r>
        <w:rPr>
          <w:rFonts w:ascii="Times New Roman" w:hAnsi="Times New Roman"/>
        </w:rPr>
        <w:t>井深</w:t>
      </w:r>
      <w:r>
        <w:rPr>
          <w:rFonts w:hint="eastAsia" w:ascii="Times New Roman" w:hAnsi="Times New Roman"/>
        </w:rPr>
        <w:t>都</w:t>
      </w:r>
      <w:r>
        <w:rPr>
          <w:rFonts w:ascii="Times New Roman" w:hAnsi="Times New Roman"/>
        </w:rPr>
        <w:t>在350m以上，地下水化学类型为HCO</w:t>
      </w:r>
      <w:r>
        <w:rPr>
          <w:rFonts w:ascii="Times New Roman" w:hAnsi="Times New Roman"/>
          <w:vertAlign w:val="subscript"/>
        </w:rPr>
        <w:t>3</w:t>
      </w:r>
      <w:r>
        <w:rPr>
          <w:rFonts w:ascii="Times New Roman" w:hAnsi="Times New Roman"/>
        </w:rPr>
        <w:t>—Ca 型、 HCO</w:t>
      </w:r>
      <w:r>
        <w:rPr>
          <w:rFonts w:ascii="Times New Roman" w:hAnsi="Times New Roman"/>
          <w:vertAlign w:val="subscript"/>
        </w:rPr>
        <w:t>3</w:t>
      </w:r>
      <w:r>
        <w:rPr>
          <w:rFonts w:ascii="Times New Roman" w:hAnsi="Times New Roman"/>
        </w:rPr>
        <w:t>·SO</w:t>
      </w:r>
      <w:r>
        <w:rPr>
          <w:rFonts w:ascii="Times New Roman" w:hAnsi="Times New Roman"/>
          <w:vertAlign w:val="subscript"/>
        </w:rPr>
        <w:t>4</w:t>
      </w:r>
      <w:r>
        <w:rPr>
          <w:rFonts w:ascii="Times New Roman" w:hAnsi="Times New Roman"/>
        </w:rPr>
        <w:t>—Ca 型及 HCO</w:t>
      </w:r>
      <w:r>
        <w:rPr>
          <w:rFonts w:ascii="Times New Roman" w:hAnsi="Times New Roman"/>
          <w:vertAlign w:val="subscript"/>
        </w:rPr>
        <w:t>3</w:t>
      </w:r>
      <w:r>
        <w:rPr>
          <w:rFonts w:ascii="Times New Roman" w:hAnsi="Times New Roman"/>
        </w:rPr>
        <w:t>·SO</w:t>
      </w:r>
      <w:r>
        <w:rPr>
          <w:rFonts w:ascii="Times New Roman" w:hAnsi="Times New Roman"/>
          <w:vertAlign w:val="subscript"/>
        </w:rPr>
        <w:t>4</w:t>
      </w:r>
      <w:r>
        <w:rPr>
          <w:rFonts w:ascii="Times New Roman" w:hAnsi="Times New Roman"/>
        </w:rPr>
        <w:t xml:space="preserve"> — Ca·Mg型岩溶水。水源地设计开采量1.75万m</w:t>
      </w:r>
      <w:r>
        <w:rPr>
          <w:rFonts w:ascii="Times New Roman" w:hAnsi="Times New Roman"/>
          <w:vertAlign w:val="superscript"/>
        </w:rPr>
        <w:t>3</w:t>
      </w:r>
      <w:r>
        <w:rPr>
          <w:rFonts w:ascii="Times New Roman" w:hAnsi="Times New Roman"/>
        </w:rPr>
        <w:t>/d，属于中小型水源地，为淄博市博山区提供应急供水水源。</w:t>
      </w:r>
      <w:r>
        <w:rPr>
          <w:rFonts w:hint="eastAsia" w:ascii="Times New Roman" w:hAnsi="Times New Roman"/>
        </w:rPr>
        <w:t>从2019年5月已完成独立供水管网，并通过谢家店水厂与原有城市供水管网连通。目前，谢家店水厂的出厂水已做为备用补充水源使用，日平均供水</w:t>
      </w:r>
      <w:r>
        <w:rPr>
          <w:rFonts w:ascii="Times New Roman" w:hAnsi="Times New Roman"/>
        </w:rPr>
        <w:t>3000 m</w:t>
      </w:r>
      <w:r>
        <w:rPr>
          <w:rFonts w:ascii="Times New Roman" w:hAnsi="Times New Roman"/>
          <w:vertAlign w:val="superscript"/>
        </w:rPr>
        <w:t>3</w:t>
      </w:r>
      <w:r>
        <w:rPr>
          <w:rFonts w:ascii="Times New Roman" w:hAnsi="Times New Roman"/>
        </w:rPr>
        <w:t>/d</w:t>
      </w:r>
      <w:r>
        <w:rPr>
          <w:rFonts w:hint="eastAsia" w:ascii="Times New Roman" w:hAnsi="Times New Roman"/>
        </w:rPr>
        <w:t>左右。</w:t>
      </w:r>
    </w:p>
    <w:p>
      <w:pPr>
        <w:snapToGrid w:val="0"/>
        <w:ind w:firstLine="0" w:firstLineChars="0"/>
        <w:jc w:val="center"/>
        <w:rPr>
          <w:rFonts w:ascii="Times New Roman" w:hAnsi="Times New Roman"/>
        </w:rPr>
      </w:pPr>
      <w:r>
        <w:rPr>
          <w:b/>
        </w:rPr>
        <w:t>表</w:t>
      </w:r>
      <w:r>
        <w:rPr>
          <w:rFonts w:hint="eastAsia"/>
          <w:b/>
        </w:rPr>
        <w:t>2</w:t>
      </w:r>
      <w:r>
        <w:rPr>
          <w:b/>
        </w:rPr>
        <w:t>-1 谢家店水源地井位坐标一览表</w:t>
      </w:r>
    </w:p>
    <w:tbl>
      <w:tblPr>
        <w:tblStyle w:val="15"/>
        <w:tblW w:w="8390" w:type="dxa"/>
        <w:jc w:val="center"/>
        <w:tblLayout w:type="autofit"/>
        <w:tblCellMar>
          <w:top w:w="0" w:type="dxa"/>
          <w:left w:w="108" w:type="dxa"/>
          <w:bottom w:w="0" w:type="dxa"/>
          <w:right w:w="108" w:type="dxa"/>
        </w:tblCellMar>
      </w:tblPr>
      <w:tblGrid>
        <w:gridCol w:w="1648"/>
        <w:gridCol w:w="1706"/>
        <w:gridCol w:w="1598"/>
        <w:gridCol w:w="1559"/>
        <w:gridCol w:w="1879"/>
      </w:tblGrid>
      <w:tr>
        <w:tblPrEx>
          <w:tblCellMar>
            <w:top w:w="0" w:type="dxa"/>
            <w:left w:w="108" w:type="dxa"/>
            <w:bottom w:w="0" w:type="dxa"/>
            <w:right w:w="108" w:type="dxa"/>
          </w:tblCellMar>
        </w:tblPrEx>
        <w:trPr>
          <w:trHeight w:val="173" w:hRule="atLeast"/>
          <w:jc w:val="center"/>
        </w:trPr>
        <w:tc>
          <w:tcPr>
            <w:tcW w:w="1648" w:type="dxa"/>
            <w:tcBorders>
              <w:top w:val="single" w:color="auto" w:sz="8" w:space="0"/>
              <w:left w:val="single" w:color="auto" w:sz="8" w:space="0"/>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rPr>
            </w:pPr>
            <w:r>
              <w:rPr>
                <w:rFonts w:ascii="Times New Roman" w:hAnsi="Times New Roman" w:eastAsia="宋体"/>
                <w:color w:val="000000"/>
                <w:kern w:val="0"/>
                <w:sz w:val="24"/>
              </w:rPr>
              <w:t>井位编号</w:t>
            </w:r>
          </w:p>
        </w:tc>
        <w:tc>
          <w:tcPr>
            <w:tcW w:w="1706" w:type="dxa"/>
            <w:tcBorders>
              <w:top w:val="single" w:color="auto" w:sz="8"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rPr>
            </w:pPr>
            <w:r>
              <w:rPr>
                <w:rFonts w:ascii="Times New Roman" w:hAnsi="Times New Roman" w:eastAsia="等线"/>
                <w:color w:val="000000"/>
                <w:kern w:val="0"/>
                <w:sz w:val="24"/>
              </w:rPr>
              <w:t>X</w:t>
            </w:r>
            <w:r>
              <w:rPr>
                <w:rFonts w:ascii="Times New Roman" w:hAnsi="Times New Roman" w:eastAsia="宋体"/>
                <w:color w:val="000000"/>
                <w:kern w:val="0"/>
                <w:sz w:val="24"/>
              </w:rPr>
              <w:t>坐标</w:t>
            </w:r>
          </w:p>
        </w:tc>
        <w:tc>
          <w:tcPr>
            <w:tcW w:w="1598" w:type="dxa"/>
            <w:tcBorders>
              <w:top w:val="single" w:color="auto" w:sz="8"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rPr>
            </w:pPr>
            <w:r>
              <w:rPr>
                <w:rFonts w:ascii="Times New Roman" w:hAnsi="Times New Roman" w:eastAsia="等线"/>
                <w:color w:val="000000"/>
                <w:kern w:val="0"/>
                <w:sz w:val="24"/>
              </w:rPr>
              <w:t>Y</w:t>
            </w:r>
            <w:r>
              <w:rPr>
                <w:rFonts w:ascii="Times New Roman" w:hAnsi="Times New Roman" w:eastAsia="宋体"/>
                <w:color w:val="000000"/>
                <w:kern w:val="0"/>
                <w:sz w:val="24"/>
              </w:rPr>
              <w:t>坐标</w:t>
            </w:r>
          </w:p>
        </w:tc>
        <w:tc>
          <w:tcPr>
            <w:tcW w:w="1559" w:type="dxa"/>
            <w:tcBorders>
              <w:top w:val="single" w:color="auto" w:sz="8"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rPr>
            </w:pPr>
            <w:r>
              <w:rPr>
                <w:rFonts w:ascii="Times New Roman" w:hAnsi="Times New Roman" w:eastAsia="宋体"/>
                <w:color w:val="000000"/>
                <w:kern w:val="0"/>
                <w:sz w:val="24"/>
              </w:rPr>
              <w:t>井深</w:t>
            </w:r>
            <w:r>
              <w:rPr>
                <w:rFonts w:hint="eastAsia" w:ascii="Times New Roman" w:hAnsi="Times New Roman" w:eastAsia="宋体"/>
                <w:color w:val="000000"/>
                <w:kern w:val="0"/>
                <w:sz w:val="24"/>
              </w:rPr>
              <w:t>（m）</w:t>
            </w:r>
          </w:p>
        </w:tc>
        <w:tc>
          <w:tcPr>
            <w:tcW w:w="1879" w:type="dxa"/>
            <w:tcBorders>
              <w:top w:val="single" w:color="auto" w:sz="8" w:space="0"/>
              <w:left w:val="nil"/>
              <w:bottom w:val="single" w:color="auto" w:sz="4" w:space="0"/>
              <w:right w:val="single" w:color="auto" w:sz="8"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rPr>
            </w:pPr>
            <w:r>
              <w:rPr>
                <w:rFonts w:hint="eastAsia" w:ascii="Times New Roman" w:hAnsi="Times New Roman" w:eastAsia="等线"/>
                <w:color w:val="000000"/>
                <w:kern w:val="0"/>
                <w:sz w:val="24"/>
              </w:rPr>
              <w:t>设计</w:t>
            </w:r>
          </w:p>
        </w:tc>
      </w:tr>
      <w:tr>
        <w:tblPrEx>
          <w:tblCellMar>
            <w:top w:w="0" w:type="dxa"/>
            <w:left w:w="108" w:type="dxa"/>
            <w:bottom w:w="0" w:type="dxa"/>
            <w:right w:w="108" w:type="dxa"/>
          </w:tblCellMar>
        </w:tblPrEx>
        <w:trPr>
          <w:trHeight w:val="173" w:hRule="atLeast"/>
          <w:jc w:val="center"/>
        </w:trPr>
        <w:tc>
          <w:tcPr>
            <w:tcW w:w="164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eastAsia="等线"/>
                <w:color w:val="000000"/>
                <w:kern w:val="0"/>
                <w:sz w:val="24"/>
                <w:szCs w:val="24"/>
              </w:rPr>
              <w:t>1#</w:t>
            </w:r>
          </w:p>
        </w:tc>
        <w:tc>
          <w:tcPr>
            <w:tcW w:w="1706" w:type="dxa"/>
            <w:tcBorders>
              <w:top w:val="single" w:color="auto" w:sz="4" w:space="0"/>
              <w:left w:val="nil"/>
              <w:bottom w:val="single" w:color="auto" w:sz="4" w:space="0"/>
              <w:right w:val="single" w:color="auto" w:sz="4" w:space="0"/>
            </w:tcBorders>
            <w:shd w:val="clear" w:color="auto" w:fill="auto"/>
            <w:noWrap/>
          </w:tcPr>
          <w:p>
            <w:pPr>
              <w:widowControl/>
              <w:spacing w:line="276" w:lineRule="auto"/>
              <w:ind w:firstLine="0" w:firstLineChars="0"/>
              <w:jc w:val="center"/>
              <w:rPr>
                <w:rFonts w:ascii="Times New Roman" w:hAnsi="Times New Roman"/>
                <w:sz w:val="24"/>
                <w:szCs w:val="24"/>
              </w:rPr>
            </w:pPr>
            <w:r>
              <w:rPr>
                <w:rFonts w:ascii="Times New Roman" w:hAnsi="Times New Roman"/>
                <w:sz w:val="24"/>
                <w:szCs w:val="24"/>
              </w:rPr>
              <w:t>117°58′49.29″</w:t>
            </w:r>
          </w:p>
        </w:tc>
        <w:tc>
          <w:tcPr>
            <w:tcW w:w="1598" w:type="dxa"/>
            <w:tcBorders>
              <w:top w:val="single" w:color="auto" w:sz="4" w:space="0"/>
              <w:left w:val="nil"/>
              <w:bottom w:val="single" w:color="auto" w:sz="4" w:space="0"/>
              <w:right w:val="single" w:color="auto" w:sz="4" w:space="0"/>
            </w:tcBorders>
            <w:shd w:val="clear" w:color="auto" w:fill="auto"/>
            <w:noWrap/>
          </w:tcPr>
          <w:p>
            <w:pPr>
              <w:widowControl/>
              <w:spacing w:line="276" w:lineRule="auto"/>
              <w:ind w:firstLine="0" w:firstLineChars="0"/>
              <w:jc w:val="center"/>
              <w:rPr>
                <w:rFonts w:ascii="Times New Roman" w:hAnsi="Times New Roman"/>
                <w:sz w:val="24"/>
                <w:szCs w:val="24"/>
              </w:rPr>
            </w:pPr>
            <w:r>
              <w:rPr>
                <w:rFonts w:ascii="Times New Roman" w:hAnsi="Times New Roman"/>
                <w:sz w:val="24"/>
                <w:szCs w:val="24"/>
              </w:rPr>
              <w:t>36°23′4.07″</w:t>
            </w:r>
          </w:p>
        </w:tc>
        <w:tc>
          <w:tcPr>
            <w:tcW w:w="1559" w:type="dxa"/>
            <w:tcBorders>
              <w:top w:val="single" w:color="auto" w:sz="4"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sz w:val="24"/>
                <w:szCs w:val="24"/>
              </w:rPr>
              <w:t>353.28</w:t>
            </w:r>
          </w:p>
        </w:tc>
        <w:tc>
          <w:tcPr>
            <w:tcW w:w="1879" w:type="dxa"/>
            <w:tcBorders>
              <w:top w:val="single" w:color="auto" w:sz="4"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eastAsia="宋体"/>
                <w:color w:val="000000"/>
                <w:kern w:val="0"/>
                <w:sz w:val="24"/>
                <w:szCs w:val="24"/>
              </w:rPr>
              <w:t>正常使用</w:t>
            </w:r>
          </w:p>
        </w:tc>
      </w:tr>
      <w:tr>
        <w:tblPrEx>
          <w:tblCellMar>
            <w:top w:w="0" w:type="dxa"/>
            <w:left w:w="108" w:type="dxa"/>
            <w:bottom w:w="0" w:type="dxa"/>
            <w:right w:w="108" w:type="dxa"/>
          </w:tblCellMar>
        </w:tblPrEx>
        <w:trPr>
          <w:trHeight w:val="173" w:hRule="atLeast"/>
          <w:jc w:val="center"/>
        </w:trPr>
        <w:tc>
          <w:tcPr>
            <w:tcW w:w="164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eastAsia="等线"/>
                <w:color w:val="000000"/>
                <w:kern w:val="0"/>
                <w:sz w:val="24"/>
                <w:szCs w:val="24"/>
              </w:rPr>
              <w:t>2#</w:t>
            </w:r>
          </w:p>
        </w:tc>
        <w:tc>
          <w:tcPr>
            <w:tcW w:w="1706" w:type="dxa"/>
            <w:tcBorders>
              <w:top w:val="single" w:color="auto" w:sz="4" w:space="0"/>
              <w:left w:val="nil"/>
              <w:bottom w:val="single" w:color="auto" w:sz="4" w:space="0"/>
              <w:right w:val="single" w:color="auto" w:sz="4" w:space="0"/>
            </w:tcBorders>
            <w:shd w:val="clear" w:color="auto" w:fill="auto"/>
            <w:noWrap/>
          </w:tcPr>
          <w:p>
            <w:pPr>
              <w:widowControl/>
              <w:spacing w:line="276" w:lineRule="auto"/>
              <w:ind w:firstLine="0" w:firstLineChars="0"/>
              <w:jc w:val="center"/>
              <w:rPr>
                <w:rFonts w:ascii="Times New Roman" w:hAnsi="Times New Roman"/>
                <w:sz w:val="24"/>
                <w:szCs w:val="24"/>
              </w:rPr>
            </w:pPr>
            <w:r>
              <w:rPr>
                <w:rFonts w:ascii="Times New Roman" w:hAnsi="Times New Roman"/>
                <w:sz w:val="24"/>
                <w:szCs w:val="24"/>
              </w:rPr>
              <w:t>117°58′43.82″</w:t>
            </w:r>
          </w:p>
        </w:tc>
        <w:tc>
          <w:tcPr>
            <w:tcW w:w="1598" w:type="dxa"/>
            <w:tcBorders>
              <w:top w:val="single" w:color="auto" w:sz="4" w:space="0"/>
              <w:left w:val="nil"/>
              <w:bottom w:val="single" w:color="auto" w:sz="4" w:space="0"/>
              <w:right w:val="single" w:color="auto" w:sz="4" w:space="0"/>
            </w:tcBorders>
            <w:shd w:val="clear" w:color="auto" w:fill="auto"/>
            <w:noWrap/>
          </w:tcPr>
          <w:p>
            <w:pPr>
              <w:widowControl/>
              <w:spacing w:line="276" w:lineRule="auto"/>
              <w:ind w:firstLine="0" w:firstLineChars="0"/>
              <w:jc w:val="center"/>
              <w:rPr>
                <w:rFonts w:ascii="Times New Roman" w:hAnsi="Times New Roman"/>
                <w:sz w:val="24"/>
                <w:szCs w:val="24"/>
              </w:rPr>
            </w:pPr>
            <w:r>
              <w:rPr>
                <w:rFonts w:ascii="Times New Roman" w:hAnsi="Times New Roman"/>
                <w:sz w:val="24"/>
                <w:szCs w:val="24"/>
              </w:rPr>
              <w:t>36°23′5.5″</w:t>
            </w:r>
          </w:p>
        </w:tc>
        <w:tc>
          <w:tcPr>
            <w:tcW w:w="1559" w:type="dxa"/>
            <w:tcBorders>
              <w:top w:val="single" w:color="auto" w:sz="4"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sz w:val="24"/>
                <w:szCs w:val="24"/>
              </w:rPr>
              <w:t>350.29</w:t>
            </w:r>
          </w:p>
        </w:tc>
        <w:tc>
          <w:tcPr>
            <w:tcW w:w="1879" w:type="dxa"/>
            <w:tcBorders>
              <w:top w:val="single" w:color="auto" w:sz="4"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eastAsia="宋体"/>
                <w:color w:val="000000"/>
                <w:kern w:val="0"/>
                <w:sz w:val="24"/>
                <w:szCs w:val="24"/>
              </w:rPr>
              <w:t>正常使用</w:t>
            </w:r>
          </w:p>
        </w:tc>
      </w:tr>
      <w:tr>
        <w:tblPrEx>
          <w:tblCellMar>
            <w:top w:w="0" w:type="dxa"/>
            <w:left w:w="108" w:type="dxa"/>
            <w:bottom w:w="0" w:type="dxa"/>
            <w:right w:w="108" w:type="dxa"/>
          </w:tblCellMar>
        </w:tblPrEx>
        <w:trPr>
          <w:trHeight w:val="173" w:hRule="atLeast"/>
          <w:jc w:val="center"/>
        </w:trPr>
        <w:tc>
          <w:tcPr>
            <w:tcW w:w="164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eastAsia="等线"/>
                <w:color w:val="000000"/>
                <w:kern w:val="0"/>
                <w:sz w:val="24"/>
                <w:szCs w:val="24"/>
              </w:rPr>
              <w:t>3#</w:t>
            </w:r>
          </w:p>
        </w:tc>
        <w:tc>
          <w:tcPr>
            <w:tcW w:w="1706" w:type="dxa"/>
            <w:tcBorders>
              <w:top w:val="single" w:color="auto" w:sz="4" w:space="0"/>
              <w:left w:val="nil"/>
              <w:bottom w:val="single" w:color="auto" w:sz="4" w:space="0"/>
              <w:right w:val="single" w:color="auto" w:sz="4" w:space="0"/>
            </w:tcBorders>
            <w:shd w:val="clear" w:color="auto" w:fill="auto"/>
            <w:noWrap/>
          </w:tcPr>
          <w:p>
            <w:pPr>
              <w:widowControl/>
              <w:spacing w:line="276" w:lineRule="auto"/>
              <w:ind w:firstLine="0" w:firstLineChars="0"/>
              <w:jc w:val="center"/>
              <w:rPr>
                <w:rFonts w:ascii="Times New Roman" w:hAnsi="Times New Roman"/>
                <w:sz w:val="24"/>
                <w:szCs w:val="24"/>
              </w:rPr>
            </w:pPr>
            <w:r>
              <w:rPr>
                <w:rFonts w:ascii="Times New Roman" w:hAnsi="Times New Roman"/>
                <w:sz w:val="24"/>
                <w:szCs w:val="24"/>
              </w:rPr>
              <w:t>117°58′22.08″</w:t>
            </w:r>
          </w:p>
        </w:tc>
        <w:tc>
          <w:tcPr>
            <w:tcW w:w="1598" w:type="dxa"/>
            <w:tcBorders>
              <w:top w:val="single" w:color="auto" w:sz="4" w:space="0"/>
              <w:left w:val="nil"/>
              <w:bottom w:val="single" w:color="auto" w:sz="4" w:space="0"/>
              <w:right w:val="single" w:color="auto" w:sz="4" w:space="0"/>
            </w:tcBorders>
            <w:shd w:val="clear" w:color="auto" w:fill="auto"/>
            <w:noWrap/>
          </w:tcPr>
          <w:p>
            <w:pPr>
              <w:widowControl/>
              <w:spacing w:line="276" w:lineRule="auto"/>
              <w:ind w:firstLine="0" w:firstLineChars="0"/>
              <w:jc w:val="center"/>
              <w:rPr>
                <w:rFonts w:ascii="Times New Roman" w:hAnsi="Times New Roman"/>
                <w:sz w:val="24"/>
                <w:szCs w:val="24"/>
              </w:rPr>
            </w:pPr>
            <w:r>
              <w:rPr>
                <w:rFonts w:ascii="Times New Roman" w:hAnsi="Times New Roman"/>
                <w:sz w:val="24"/>
                <w:szCs w:val="24"/>
              </w:rPr>
              <w:t>36°22′59.36″</w:t>
            </w:r>
          </w:p>
        </w:tc>
        <w:tc>
          <w:tcPr>
            <w:tcW w:w="1559" w:type="dxa"/>
            <w:tcBorders>
              <w:top w:val="single" w:color="auto" w:sz="4"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sz w:val="24"/>
                <w:szCs w:val="24"/>
              </w:rPr>
              <w:t>352.45</w:t>
            </w:r>
          </w:p>
        </w:tc>
        <w:tc>
          <w:tcPr>
            <w:tcW w:w="1879" w:type="dxa"/>
            <w:tcBorders>
              <w:top w:val="single" w:color="auto" w:sz="4"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eastAsia="宋体"/>
                <w:color w:val="000000"/>
                <w:kern w:val="0"/>
                <w:sz w:val="24"/>
                <w:szCs w:val="24"/>
              </w:rPr>
              <w:t>正常使用</w:t>
            </w:r>
          </w:p>
        </w:tc>
      </w:tr>
      <w:tr>
        <w:tblPrEx>
          <w:tblCellMar>
            <w:top w:w="0" w:type="dxa"/>
            <w:left w:w="108" w:type="dxa"/>
            <w:bottom w:w="0" w:type="dxa"/>
            <w:right w:w="108" w:type="dxa"/>
          </w:tblCellMar>
        </w:tblPrEx>
        <w:trPr>
          <w:trHeight w:val="173" w:hRule="atLeast"/>
          <w:jc w:val="center"/>
        </w:trPr>
        <w:tc>
          <w:tcPr>
            <w:tcW w:w="164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eastAsia="等线"/>
                <w:color w:val="000000"/>
                <w:kern w:val="0"/>
                <w:sz w:val="24"/>
                <w:szCs w:val="24"/>
              </w:rPr>
              <w:t>4#</w:t>
            </w:r>
          </w:p>
        </w:tc>
        <w:tc>
          <w:tcPr>
            <w:tcW w:w="1706" w:type="dxa"/>
            <w:tcBorders>
              <w:top w:val="single" w:color="auto" w:sz="4" w:space="0"/>
              <w:left w:val="nil"/>
              <w:bottom w:val="single" w:color="auto" w:sz="4" w:space="0"/>
              <w:right w:val="single" w:color="auto" w:sz="4" w:space="0"/>
            </w:tcBorders>
            <w:shd w:val="clear" w:color="auto" w:fill="auto"/>
            <w:noWrap/>
          </w:tcPr>
          <w:p>
            <w:pPr>
              <w:widowControl/>
              <w:spacing w:line="276" w:lineRule="auto"/>
              <w:ind w:firstLine="0" w:firstLineChars="0"/>
              <w:jc w:val="center"/>
              <w:rPr>
                <w:rFonts w:ascii="Times New Roman" w:hAnsi="Times New Roman"/>
                <w:sz w:val="24"/>
                <w:szCs w:val="24"/>
              </w:rPr>
            </w:pPr>
            <w:r>
              <w:rPr>
                <w:rFonts w:ascii="Times New Roman" w:hAnsi="Times New Roman"/>
                <w:sz w:val="24"/>
                <w:szCs w:val="24"/>
              </w:rPr>
              <w:t>117°58′21.11″</w:t>
            </w:r>
          </w:p>
        </w:tc>
        <w:tc>
          <w:tcPr>
            <w:tcW w:w="1598" w:type="dxa"/>
            <w:tcBorders>
              <w:top w:val="single" w:color="auto" w:sz="4" w:space="0"/>
              <w:left w:val="nil"/>
              <w:bottom w:val="single" w:color="auto" w:sz="4" w:space="0"/>
              <w:right w:val="single" w:color="auto" w:sz="4" w:space="0"/>
            </w:tcBorders>
            <w:shd w:val="clear" w:color="auto" w:fill="auto"/>
            <w:noWrap/>
          </w:tcPr>
          <w:p>
            <w:pPr>
              <w:widowControl/>
              <w:spacing w:line="276" w:lineRule="auto"/>
              <w:ind w:firstLine="0" w:firstLineChars="0"/>
              <w:jc w:val="center"/>
              <w:rPr>
                <w:rFonts w:ascii="Times New Roman" w:hAnsi="Times New Roman"/>
                <w:sz w:val="24"/>
                <w:szCs w:val="24"/>
              </w:rPr>
            </w:pPr>
            <w:r>
              <w:rPr>
                <w:rFonts w:ascii="Times New Roman" w:hAnsi="Times New Roman"/>
                <w:sz w:val="24"/>
                <w:szCs w:val="24"/>
              </w:rPr>
              <w:t>36°22′55.62″</w:t>
            </w:r>
          </w:p>
        </w:tc>
        <w:tc>
          <w:tcPr>
            <w:tcW w:w="1559" w:type="dxa"/>
            <w:tcBorders>
              <w:top w:val="single" w:color="auto" w:sz="4"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sz w:val="24"/>
                <w:szCs w:val="24"/>
              </w:rPr>
              <w:t>353.15</w:t>
            </w:r>
          </w:p>
        </w:tc>
        <w:tc>
          <w:tcPr>
            <w:tcW w:w="1879" w:type="dxa"/>
            <w:tcBorders>
              <w:top w:val="single" w:color="auto" w:sz="4"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eastAsia="宋体"/>
                <w:color w:val="000000"/>
                <w:kern w:val="0"/>
                <w:sz w:val="24"/>
                <w:szCs w:val="24"/>
              </w:rPr>
              <w:t>正常使用</w:t>
            </w:r>
          </w:p>
        </w:tc>
      </w:tr>
      <w:tr>
        <w:tblPrEx>
          <w:tblCellMar>
            <w:top w:w="0" w:type="dxa"/>
            <w:left w:w="108" w:type="dxa"/>
            <w:bottom w:w="0" w:type="dxa"/>
            <w:right w:w="108" w:type="dxa"/>
          </w:tblCellMar>
        </w:tblPrEx>
        <w:trPr>
          <w:trHeight w:val="173" w:hRule="atLeast"/>
          <w:jc w:val="center"/>
        </w:trPr>
        <w:tc>
          <w:tcPr>
            <w:tcW w:w="164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eastAsia="等线"/>
                <w:color w:val="000000"/>
                <w:kern w:val="0"/>
                <w:sz w:val="24"/>
                <w:szCs w:val="24"/>
              </w:rPr>
              <w:t>5#</w:t>
            </w:r>
          </w:p>
        </w:tc>
        <w:tc>
          <w:tcPr>
            <w:tcW w:w="1706" w:type="dxa"/>
            <w:tcBorders>
              <w:top w:val="single" w:color="auto" w:sz="4" w:space="0"/>
              <w:left w:val="nil"/>
              <w:bottom w:val="single" w:color="auto" w:sz="4" w:space="0"/>
              <w:right w:val="single" w:color="auto" w:sz="4" w:space="0"/>
            </w:tcBorders>
            <w:shd w:val="clear" w:color="auto" w:fill="auto"/>
            <w:noWrap/>
          </w:tcPr>
          <w:p>
            <w:pPr>
              <w:widowControl/>
              <w:spacing w:line="276" w:lineRule="auto"/>
              <w:ind w:firstLine="0" w:firstLineChars="0"/>
              <w:jc w:val="center"/>
              <w:rPr>
                <w:rFonts w:ascii="Times New Roman" w:hAnsi="Times New Roman"/>
                <w:sz w:val="24"/>
                <w:szCs w:val="24"/>
              </w:rPr>
            </w:pPr>
            <w:r>
              <w:rPr>
                <w:rFonts w:ascii="Times New Roman" w:hAnsi="Times New Roman"/>
                <w:sz w:val="24"/>
                <w:szCs w:val="24"/>
              </w:rPr>
              <w:t>117°58′20.22″</w:t>
            </w:r>
          </w:p>
        </w:tc>
        <w:tc>
          <w:tcPr>
            <w:tcW w:w="1598" w:type="dxa"/>
            <w:tcBorders>
              <w:top w:val="single" w:color="auto" w:sz="4" w:space="0"/>
              <w:left w:val="nil"/>
              <w:bottom w:val="single" w:color="auto" w:sz="4" w:space="0"/>
              <w:right w:val="single" w:color="auto" w:sz="4" w:space="0"/>
            </w:tcBorders>
            <w:shd w:val="clear" w:color="auto" w:fill="auto"/>
            <w:noWrap/>
          </w:tcPr>
          <w:p>
            <w:pPr>
              <w:widowControl/>
              <w:spacing w:line="276" w:lineRule="auto"/>
              <w:ind w:firstLine="0" w:firstLineChars="0"/>
              <w:jc w:val="center"/>
              <w:rPr>
                <w:rFonts w:ascii="Times New Roman" w:hAnsi="Times New Roman"/>
                <w:sz w:val="24"/>
                <w:szCs w:val="24"/>
              </w:rPr>
            </w:pPr>
            <w:r>
              <w:rPr>
                <w:rFonts w:ascii="Times New Roman" w:hAnsi="Times New Roman"/>
                <w:sz w:val="24"/>
                <w:szCs w:val="24"/>
              </w:rPr>
              <w:t>36°22′52.47″</w:t>
            </w:r>
          </w:p>
        </w:tc>
        <w:tc>
          <w:tcPr>
            <w:tcW w:w="1559" w:type="dxa"/>
            <w:tcBorders>
              <w:top w:val="single" w:color="auto" w:sz="4"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sz w:val="24"/>
                <w:szCs w:val="24"/>
              </w:rPr>
              <w:t>350.19</w:t>
            </w:r>
          </w:p>
        </w:tc>
        <w:tc>
          <w:tcPr>
            <w:tcW w:w="1879" w:type="dxa"/>
            <w:tcBorders>
              <w:top w:val="single" w:color="auto" w:sz="4"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eastAsia="宋体"/>
                <w:color w:val="000000"/>
                <w:kern w:val="0"/>
                <w:sz w:val="24"/>
                <w:szCs w:val="24"/>
              </w:rPr>
              <w:t>正常使用</w:t>
            </w:r>
          </w:p>
        </w:tc>
      </w:tr>
      <w:tr>
        <w:tblPrEx>
          <w:tblCellMar>
            <w:top w:w="0" w:type="dxa"/>
            <w:left w:w="108" w:type="dxa"/>
            <w:bottom w:w="0" w:type="dxa"/>
            <w:right w:w="108" w:type="dxa"/>
          </w:tblCellMar>
        </w:tblPrEx>
        <w:trPr>
          <w:trHeight w:val="182" w:hRule="atLeast"/>
          <w:jc w:val="center"/>
        </w:trPr>
        <w:tc>
          <w:tcPr>
            <w:tcW w:w="164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eastAsia="等线"/>
                <w:color w:val="000000"/>
                <w:kern w:val="0"/>
                <w:sz w:val="24"/>
                <w:szCs w:val="24"/>
              </w:rPr>
              <w:t>6#</w:t>
            </w:r>
          </w:p>
        </w:tc>
        <w:tc>
          <w:tcPr>
            <w:tcW w:w="1706" w:type="dxa"/>
            <w:tcBorders>
              <w:top w:val="single" w:color="auto" w:sz="4" w:space="0"/>
              <w:left w:val="nil"/>
              <w:bottom w:val="single" w:color="auto" w:sz="4" w:space="0"/>
              <w:right w:val="single" w:color="auto" w:sz="4" w:space="0"/>
            </w:tcBorders>
            <w:shd w:val="clear" w:color="auto" w:fill="auto"/>
            <w:noWrap/>
          </w:tcPr>
          <w:p>
            <w:pPr>
              <w:widowControl/>
              <w:spacing w:line="276" w:lineRule="auto"/>
              <w:ind w:firstLine="0" w:firstLineChars="0"/>
              <w:jc w:val="center"/>
              <w:rPr>
                <w:rFonts w:ascii="Times New Roman" w:hAnsi="Times New Roman"/>
                <w:sz w:val="24"/>
                <w:szCs w:val="24"/>
              </w:rPr>
            </w:pPr>
            <w:r>
              <w:rPr>
                <w:rFonts w:ascii="Times New Roman" w:hAnsi="Times New Roman"/>
                <w:sz w:val="24"/>
                <w:szCs w:val="24"/>
              </w:rPr>
              <w:t>117°58′19.45″</w:t>
            </w:r>
          </w:p>
        </w:tc>
        <w:tc>
          <w:tcPr>
            <w:tcW w:w="1598" w:type="dxa"/>
            <w:tcBorders>
              <w:top w:val="single" w:color="auto" w:sz="4" w:space="0"/>
              <w:left w:val="nil"/>
              <w:bottom w:val="single" w:color="auto" w:sz="4" w:space="0"/>
              <w:right w:val="single" w:color="auto" w:sz="4" w:space="0"/>
            </w:tcBorders>
            <w:shd w:val="clear" w:color="auto" w:fill="auto"/>
            <w:noWrap/>
          </w:tcPr>
          <w:p>
            <w:pPr>
              <w:widowControl/>
              <w:spacing w:line="276" w:lineRule="auto"/>
              <w:ind w:firstLine="0" w:firstLineChars="0"/>
              <w:jc w:val="center"/>
              <w:rPr>
                <w:rFonts w:ascii="Times New Roman" w:hAnsi="Times New Roman"/>
                <w:sz w:val="24"/>
                <w:szCs w:val="24"/>
              </w:rPr>
            </w:pPr>
            <w:r>
              <w:rPr>
                <w:rFonts w:ascii="Times New Roman" w:hAnsi="Times New Roman"/>
                <w:sz w:val="24"/>
                <w:szCs w:val="24"/>
              </w:rPr>
              <w:t>36°22′58.83″</w:t>
            </w:r>
          </w:p>
        </w:tc>
        <w:tc>
          <w:tcPr>
            <w:tcW w:w="1559" w:type="dxa"/>
            <w:tcBorders>
              <w:top w:val="single" w:color="auto" w:sz="4"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sz w:val="24"/>
                <w:szCs w:val="24"/>
              </w:rPr>
              <w:t>352.46</w:t>
            </w:r>
          </w:p>
        </w:tc>
        <w:tc>
          <w:tcPr>
            <w:tcW w:w="1879" w:type="dxa"/>
            <w:tcBorders>
              <w:top w:val="single" w:color="auto" w:sz="4"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eastAsia="宋体"/>
                <w:color w:val="000000"/>
                <w:kern w:val="0"/>
                <w:sz w:val="24"/>
                <w:szCs w:val="24"/>
              </w:rPr>
              <w:t>正常使用</w:t>
            </w:r>
          </w:p>
        </w:tc>
      </w:tr>
      <w:tr>
        <w:tblPrEx>
          <w:tblCellMar>
            <w:top w:w="0" w:type="dxa"/>
            <w:left w:w="108" w:type="dxa"/>
            <w:bottom w:w="0" w:type="dxa"/>
            <w:right w:w="108" w:type="dxa"/>
          </w:tblCellMar>
        </w:tblPrEx>
        <w:trPr>
          <w:trHeight w:val="182" w:hRule="atLeast"/>
          <w:jc w:val="center"/>
        </w:trPr>
        <w:tc>
          <w:tcPr>
            <w:tcW w:w="164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hint="eastAsia" w:ascii="Times New Roman" w:hAnsi="Times New Roman" w:eastAsia="等线"/>
                <w:color w:val="000000"/>
                <w:kern w:val="0"/>
                <w:sz w:val="24"/>
                <w:szCs w:val="24"/>
              </w:rPr>
              <w:t>7#</w:t>
            </w:r>
          </w:p>
        </w:tc>
        <w:tc>
          <w:tcPr>
            <w:tcW w:w="1706" w:type="dxa"/>
            <w:tcBorders>
              <w:top w:val="single" w:color="auto" w:sz="4" w:space="0"/>
              <w:left w:val="nil"/>
              <w:bottom w:val="single" w:color="auto" w:sz="4" w:space="0"/>
              <w:right w:val="single" w:color="auto" w:sz="4" w:space="0"/>
            </w:tcBorders>
            <w:shd w:val="clear" w:color="auto" w:fill="auto"/>
            <w:noWrap/>
          </w:tcPr>
          <w:p>
            <w:pPr>
              <w:widowControl/>
              <w:spacing w:line="276" w:lineRule="auto"/>
              <w:ind w:firstLine="0" w:firstLineChars="0"/>
              <w:jc w:val="center"/>
              <w:rPr>
                <w:rFonts w:ascii="Times New Roman" w:hAnsi="Times New Roman"/>
                <w:sz w:val="24"/>
                <w:szCs w:val="24"/>
              </w:rPr>
            </w:pPr>
            <w:r>
              <w:rPr>
                <w:rFonts w:ascii="Times New Roman" w:hAnsi="Times New Roman"/>
                <w:sz w:val="24"/>
                <w:szCs w:val="24"/>
              </w:rPr>
              <w:t>117°58′17.84″</w:t>
            </w:r>
          </w:p>
        </w:tc>
        <w:tc>
          <w:tcPr>
            <w:tcW w:w="1598" w:type="dxa"/>
            <w:tcBorders>
              <w:top w:val="single" w:color="auto" w:sz="4" w:space="0"/>
              <w:left w:val="nil"/>
              <w:bottom w:val="single" w:color="auto" w:sz="4" w:space="0"/>
              <w:right w:val="single" w:color="auto" w:sz="4" w:space="0"/>
            </w:tcBorders>
            <w:shd w:val="clear" w:color="auto" w:fill="auto"/>
            <w:noWrap/>
          </w:tcPr>
          <w:p>
            <w:pPr>
              <w:widowControl/>
              <w:spacing w:line="276" w:lineRule="auto"/>
              <w:ind w:firstLine="0" w:firstLineChars="0"/>
              <w:jc w:val="center"/>
              <w:rPr>
                <w:rFonts w:ascii="Times New Roman" w:hAnsi="Times New Roman"/>
                <w:sz w:val="24"/>
                <w:szCs w:val="24"/>
              </w:rPr>
            </w:pPr>
            <w:r>
              <w:rPr>
                <w:rFonts w:ascii="Times New Roman" w:hAnsi="Times New Roman"/>
                <w:sz w:val="24"/>
                <w:szCs w:val="24"/>
              </w:rPr>
              <w:t>36°22′55.65″</w:t>
            </w:r>
          </w:p>
        </w:tc>
        <w:tc>
          <w:tcPr>
            <w:tcW w:w="1559" w:type="dxa"/>
            <w:tcBorders>
              <w:top w:val="single" w:color="auto" w:sz="4"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sz w:val="24"/>
                <w:szCs w:val="24"/>
              </w:rPr>
              <w:t>352.7</w:t>
            </w:r>
          </w:p>
        </w:tc>
        <w:tc>
          <w:tcPr>
            <w:tcW w:w="1879" w:type="dxa"/>
            <w:tcBorders>
              <w:top w:val="single" w:color="auto" w:sz="4"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宋体"/>
                <w:color w:val="000000"/>
                <w:kern w:val="0"/>
                <w:sz w:val="24"/>
                <w:szCs w:val="24"/>
              </w:rPr>
            </w:pPr>
            <w:r>
              <w:rPr>
                <w:rFonts w:ascii="Times New Roman" w:hAnsi="Times New Roman" w:eastAsia="宋体"/>
                <w:color w:val="000000"/>
                <w:kern w:val="0"/>
                <w:sz w:val="24"/>
                <w:szCs w:val="24"/>
              </w:rPr>
              <w:t>正常使用</w:t>
            </w:r>
          </w:p>
        </w:tc>
      </w:tr>
      <w:tr>
        <w:tblPrEx>
          <w:tblCellMar>
            <w:top w:w="0" w:type="dxa"/>
            <w:left w:w="108" w:type="dxa"/>
            <w:bottom w:w="0" w:type="dxa"/>
            <w:right w:w="108" w:type="dxa"/>
          </w:tblCellMar>
        </w:tblPrEx>
        <w:trPr>
          <w:trHeight w:val="182" w:hRule="atLeast"/>
          <w:jc w:val="center"/>
        </w:trPr>
        <w:tc>
          <w:tcPr>
            <w:tcW w:w="164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hint="eastAsia" w:ascii="Times New Roman" w:hAnsi="Times New Roman" w:eastAsia="等线"/>
                <w:color w:val="000000"/>
                <w:kern w:val="0"/>
                <w:sz w:val="24"/>
                <w:szCs w:val="24"/>
              </w:rPr>
              <w:t>8#</w:t>
            </w:r>
          </w:p>
        </w:tc>
        <w:tc>
          <w:tcPr>
            <w:tcW w:w="1706" w:type="dxa"/>
            <w:tcBorders>
              <w:top w:val="single" w:color="auto" w:sz="4" w:space="0"/>
              <w:left w:val="nil"/>
              <w:bottom w:val="single" w:color="auto" w:sz="4" w:space="0"/>
              <w:right w:val="single" w:color="auto" w:sz="4" w:space="0"/>
            </w:tcBorders>
            <w:shd w:val="clear" w:color="auto" w:fill="auto"/>
            <w:noWrap/>
          </w:tcPr>
          <w:p>
            <w:pPr>
              <w:widowControl/>
              <w:spacing w:line="276" w:lineRule="auto"/>
              <w:ind w:firstLine="0" w:firstLineChars="0"/>
              <w:jc w:val="center"/>
              <w:rPr>
                <w:rFonts w:ascii="Times New Roman" w:hAnsi="Times New Roman"/>
                <w:sz w:val="24"/>
                <w:szCs w:val="24"/>
              </w:rPr>
            </w:pPr>
            <w:r>
              <w:rPr>
                <w:rFonts w:ascii="Times New Roman" w:hAnsi="Times New Roman"/>
                <w:sz w:val="24"/>
                <w:szCs w:val="24"/>
              </w:rPr>
              <w:t>117°57′50.53″</w:t>
            </w:r>
          </w:p>
        </w:tc>
        <w:tc>
          <w:tcPr>
            <w:tcW w:w="1598" w:type="dxa"/>
            <w:tcBorders>
              <w:top w:val="single" w:color="auto" w:sz="4" w:space="0"/>
              <w:left w:val="nil"/>
              <w:bottom w:val="single" w:color="auto" w:sz="4" w:space="0"/>
              <w:right w:val="single" w:color="auto" w:sz="4" w:space="0"/>
            </w:tcBorders>
            <w:shd w:val="clear" w:color="auto" w:fill="auto"/>
            <w:noWrap/>
          </w:tcPr>
          <w:p>
            <w:pPr>
              <w:widowControl/>
              <w:spacing w:line="276" w:lineRule="auto"/>
              <w:ind w:firstLine="0" w:firstLineChars="0"/>
              <w:jc w:val="center"/>
              <w:rPr>
                <w:rFonts w:ascii="Times New Roman" w:hAnsi="Times New Roman"/>
                <w:sz w:val="24"/>
                <w:szCs w:val="24"/>
              </w:rPr>
            </w:pPr>
            <w:r>
              <w:rPr>
                <w:rFonts w:ascii="Times New Roman" w:hAnsi="Times New Roman"/>
                <w:sz w:val="24"/>
                <w:szCs w:val="24"/>
              </w:rPr>
              <w:t>36°22′41.47″</w:t>
            </w:r>
          </w:p>
        </w:tc>
        <w:tc>
          <w:tcPr>
            <w:tcW w:w="1559" w:type="dxa"/>
            <w:tcBorders>
              <w:top w:val="single" w:color="auto" w:sz="4"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sz w:val="24"/>
                <w:szCs w:val="24"/>
              </w:rPr>
              <w:t>351.04</w:t>
            </w:r>
          </w:p>
        </w:tc>
        <w:tc>
          <w:tcPr>
            <w:tcW w:w="1879" w:type="dxa"/>
            <w:tcBorders>
              <w:top w:val="single" w:color="auto" w:sz="4"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宋体"/>
                <w:color w:val="000000"/>
                <w:kern w:val="0"/>
                <w:sz w:val="24"/>
                <w:szCs w:val="24"/>
              </w:rPr>
            </w:pPr>
            <w:r>
              <w:rPr>
                <w:rFonts w:ascii="Times New Roman" w:hAnsi="Times New Roman" w:eastAsia="宋体"/>
                <w:color w:val="000000"/>
                <w:kern w:val="0"/>
                <w:sz w:val="24"/>
                <w:szCs w:val="24"/>
              </w:rPr>
              <w:t>正常使用</w:t>
            </w:r>
          </w:p>
        </w:tc>
      </w:tr>
      <w:tr>
        <w:tblPrEx>
          <w:tblCellMar>
            <w:top w:w="0" w:type="dxa"/>
            <w:left w:w="108" w:type="dxa"/>
            <w:bottom w:w="0" w:type="dxa"/>
            <w:right w:w="108" w:type="dxa"/>
          </w:tblCellMar>
        </w:tblPrEx>
        <w:trPr>
          <w:trHeight w:val="182" w:hRule="atLeast"/>
          <w:jc w:val="center"/>
        </w:trPr>
        <w:tc>
          <w:tcPr>
            <w:tcW w:w="164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hint="eastAsia" w:ascii="Times New Roman" w:hAnsi="Times New Roman" w:eastAsia="等线"/>
                <w:color w:val="000000"/>
                <w:kern w:val="0"/>
                <w:sz w:val="24"/>
                <w:szCs w:val="24"/>
              </w:rPr>
              <w:t>9#</w:t>
            </w:r>
          </w:p>
        </w:tc>
        <w:tc>
          <w:tcPr>
            <w:tcW w:w="1706" w:type="dxa"/>
            <w:tcBorders>
              <w:top w:val="single" w:color="auto" w:sz="4" w:space="0"/>
              <w:left w:val="nil"/>
              <w:bottom w:val="single" w:color="auto" w:sz="4" w:space="0"/>
              <w:right w:val="single" w:color="auto" w:sz="4" w:space="0"/>
            </w:tcBorders>
            <w:shd w:val="clear" w:color="auto" w:fill="auto"/>
            <w:noWrap/>
          </w:tcPr>
          <w:p>
            <w:pPr>
              <w:widowControl/>
              <w:spacing w:line="276" w:lineRule="auto"/>
              <w:ind w:firstLine="0" w:firstLineChars="0"/>
              <w:jc w:val="center"/>
              <w:rPr>
                <w:rFonts w:ascii="Times New Roman" w:hAnsi="Times New Roman"/>
                <w:sz w:val="24"/>
                <w:szCs w:val="24"/>
              </w:rPr>
            </w:pPr>
            <w:r>
              <w:rPr>
                <w:rFonts w:ascii="Times New Roman" w:hAnsi="Times New Roman"/>
                <w:sz w:val="24"/>
                <w:szCs w:val="24"/>
              </w:rPr>
              <w:t>117°57′51.68″</w:t>
            </w:r>
          </w:p>
        </w:tc>
        <w:tc>
          <w:tcPr>
            <w:tcW w:w="1598" w:type="dxa"/>
            <w:tcBorders>
              <w:top w:val="single" w:color="auto" w:sz="4" w:space="0"/>
              <w:left w:val="nil"/>
              <w:bottom w:val="single" w:color="auto" w:sz="4" w:space="0"/>
              <w:right w:val="single" w:color="auto" w:sz="4" w:space="0"/>
            </w:tcBorders>
            <w:shd w:val="clear" w:color="auto" w:fill="auto"/>
            <w:noWrap/>
          </w:tcPr>
          <w:p>
            <w:pPr>
              <w:widowControl/>
              <w:spacing w:line="276" w:lineRule="auto"/>
              <w:ind w:firstLine="0" w:firstLineChars="0"/>
              <w:jc w:val="center"/>
              <w:rPr>
                <w:rFonts w:ascii="Times New Roman" w:hAnsi="Times New Roman"/>
                <w:sz w:val="24"/>
                <w:szCs w:val="24"/>
              </w:rPr>
            </w:pPr>
            <w:r>
              <w:rPr>
                <w:rFonts w:ascii="Times New Roman" w:hAnsi="Times New Roman"/>
                <w:sz w:val="24"/>
                <w:szCs w:val="24"/>
              </w:rPr>
              <w:t>36°22′40.12″</w:t>
            </w:r>
          </w:p>
        </w:tc>
        <w:tc>
          <w:tcPr>
            <w:tcW w:w="1559" w:type="dxa"/>
            <w:tcBorders>
              <w:top w:val="single" w:color="auto" w:sz="4"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等线"/>
                <w:color w:val="000000"/>
                <w:kern w:val="0"/>
                <w:sz w:val="24"/>
                <w:szCs w:val="24"/>
              </w:rPr>
            </w:pPr>
            <w:r>
              <w:rPr>
                <w:rFonts w:ascii="Times New Roman" w:hAnsi="Times New Roman"/>
                <w:sz w:val="24"/>
                <w:szCs w:val="24"/>
              </w:rPr>
              <w:t>352.15</w:t>
            </w:r>
          </w:p>
        </w:tc>
        <w:tc>
          <w:tcPr>
            <w:tcW w:w="1879" w:type="dxa"/>
            <w:tcBorders>
              <w:top w:val="single" w:color="auto" w:sz="4" w:space="0"/>
              <w:left w:val="nil"/>
              <w:bottom w:val="single" w:color="auto" w:sz="4" w:space="0"/>
              <w:right w:val="single" w:color="auto" w:sz="4" w:space="0"/>
            </w:tcBorders>
            <w:shd w:val="clear" w:color="auto" w:fill="auto"/>
            <w:noWrap/>
            <w:vAlign w:val="center"/>
          </w:tcPr>
          <w:p>
            <w:pPr>
              <w:widowControl/>
              <w:spacing w:line="276" w:lineRule="auto"/>
              <w:ind w:firstLine="0" w:firstLineChars="0"/>
              <w:jc w:val="center"/>
              <w:rPr>
                <w:rFonts w:ascii="Times New Roman" w:hAnsi="Times New Roman" w:eastAsia="宋体"/>
                <w:color w:val="000000"/>
                <w:kern w:val="0"/>
                <w:sz w:val="24"/>
                <w:szCs w:val="24"/>
              </w:rPr>
            </w:pPr>
            <w:r>
              <w:rPr>
                <w:rFonts w:ascii="Times New Roman" w:hAnsi="Times New Roman" w:eastAsia="宋体"/>
                <w:color w:val="000000"/>
                <w:kern w:val="0"/>
                <w:sz w:val="24"/>
                <w:szCs w:val="24"/>
              </w:rPr>
              <w:t>正常使用</w:t>
            </w:r>
          </w:p>
        </w:tc>
      </w:tr>
    </w:tbl>
    <w:p>
      <w:pPr>
        <w:pStyle w:val="27"/>
      </w:pPr>
      <w:bookmarkStart w:id="38" w:name="_Toc35526458"/>
      <w:r>
        <w:rPr>
          <w:rFonts w:hint="eastAsia"/>
        </w:rPr>
        <w:t>谢家店饮用水水源地概况</w:t>
      </w:r>
      <w:bookmarkEnd w:id="38"/>
    </w:p>
    <w:p>
      <w:pPr>
        <w:pStyle w:val="25"/>
      </w:pPr>
      <w:bookmarkStart w:id="39" w:name="_Toc35526459"/>
      <w:r>
        <w:t>水文地质条件</w:t>
      </w:r>
      <w:bookmarkEnd w:id="39"/>
    </w:p>
    <w:p>
      <w:pPr>
        <w:ind w:firstLine="560"/>
        <w:rPr>
          <w:rFonts w:ascii="Times New Roman" w:hAnsi="Times New Roman"/>
        </w:rPr>
      </w:pPr>
      <w:r>
        <w:rPr>
          <w:rFonts w:hint="eastAsia" w:ascii="Times New Roman" w:hAnsi="Times New Roman"/>
        </w:rPr>
        <w:t>谢家店富水地段位于淄河盆泉支流河谷中，是一个呈近东西向展布，富水性强的富水地段。该富水地段分布受盆泉—北博山断裂控制。其范围：北部以盆泉—北博山断裂为界，南至断裂向斜边缘，西至北博山村，东至谢家店村东北，为近东西向展布的狭长地带， 面积 1.14km</w:t>
      </w:r>
      <w:r>
        <w:rPr>
          <w:rFonts w:hint="eastAsia" w:ascii="Times New Roman" w:hAnsi="Times New Roman"/>
          <w:vertAlign w:val="superscript"/>
        </w:rPr>
        <w:t>2</w:t>
      </w:r>
      <w:r>
        <w:rPr>
          <w:rFonts w:hint="eastAsia" w:ascii="Times New Roman" w:hAnsi="Times New Roman"/>
        </w:rPr>
        <w:t>。</w:t>
      </w:r>
    </w:p>
    <w:p>
      <w:pPr>
        <w:ind w:firstLine="560"/>
        <w:rPr>
          <w:rFonts w:ascii="Times New Roman" w:hAnsi="Times New Roman"/>
        </w:rPr>
      </w:pPr>
      <w:r>
        <w:rPr>
          <w:rFonts w:hint="eastAsia" w:ascii="Times New Roman" w:hAnsi="Times New Roman"/>
        </w:rPr>
        <w:t>谢家店富水地段地形为山间沟谷，地势较高，地表主要为农田及村庄。富水地段内主要含水层为奥陶纪北庵庄组灰岩、寒武—奥陶纪三山子组白云岩、炒米店组灰岩。裂隙岩溶十分发育，富水性强。淄河河谷中心处第四系厚度一般为6.53~12.7m，平均 10.24m。第四系岩性为卵砾石，直径 5~10cm，位于盆泉支流的砾石磨圆度较好，位于南博山支流的砾石磨圆度较差。</w:t>
      </w:r>
    </w:p>
    <w:p>
      <w:pPr>
        <w:ind w:firstLine="562"/>
        <w:rPr>
          <w:rFonts w:ascii="Times New Roman" w:hAnsi="Times New Roman"/>
          <w:b/>
        </w:rPr>
      </w:pPr>
      <w:r>
        <w:rPr>
          <w:rFonts w:hint="eastAsia" w:ascii="Times New Roman" w:hAnsi="Times New Roman"/>
          <w:b/>
        </w:rPr>
        <w:t>含水岩组特征</w:t>
      </w:r>
    </w:p>
    <w:p>
      <w:pPr>
        <w:ind w:firstLine="560"/>
        <w:rPr>
          <w:rFonts w:ascii="Times New Roman" w:hAnsi="Times New Roman"/>
        </w:rPr>
      </w:pPr>
      <w:r>
        <w:rPr>
          <w:rFonts w:hint="eastAsia" w:ascii="Times New Roman" w:hAnsi="Times New Roman"/>
        </w:rPr>
        <w:t>根据本次勘探井及已有钻孔等资料，富水地段内孔深 350m 左右的钻孔，揭露的地层为北庵庄组、东黄山组、三山子组及炒米店组。揭露含水层岩芯破碎，裂隙岩溶发育，岩溶形态有溶蚀裂隙、蜂窝状溶孔和溶孔。</w:t>
      </w:r>
    </w:p>
    <w:p>
      <w:pPr>
        <w:ind w:firstLine="560"/>
        <w:rPr>
          <w:rFonts w:ascii="Times New Roman" w:hAnsi="Times New Roman"/>
        </w:rPr>
      </w:pPr>
      <w:r>
        <w:rPr>
          <w:rFonts w:hint="eastAsia" w:ascii="Times New Roman" w:hAnsi="Times New Roman"/>
        </w:rPr>
        <w:t>谢家店富水地段的西部、中部及东部含水层岩溶发育特征不同，下面分别进行论述：</w:t>
      </w:r>
    </w:p>
    <w:p>
      <w:pPr>
        <w:ind w:firstLine="560"/>
        <w:rPr>
          <w:rFonts w:ascii="Times New Roman" w:hAnsi="Times New Roman"/>
        </w:rPr>
      </w:pPr>
      <w:r>
        <w:rPr>
          <w:rFonts w:hint="eastAsia" w:ascii="Times New Roman" w:hAnsi="Times New Roman"/>
        </w:rPr>
        <w:t>（1）谢家店富水地段西部。岩溶含水层发育深度为 14.67~314.61m，其中主要含水层为北庵庄组、三山子组、 炒米店组灰岩、泥质条带灰岩，裂隙岩溶极为发育，如 9</w:t>
      </w:r>
      <w:r>
        <w:rPr>
          <w:rFonts w:ascii="Times New Roman" w:hAnsi="Times New Roman"/>
        </w:rPr>
        <w:t>#</w:t>
      </w:r>
      <w:r>
        <w:rPr>
          <w:rFonts w:hint="eastAsia" w:ascii="Times New Roman" w:hAnsi="Times New Roman"/>
        </w:rPr>
        <w:t xml:space="preserve"> 号井，岩溶含水层为 13 层，顶底板埋深为 21.05~314.61m，厚度为 38.75m。其中，北庵庄组含水层为 5 层，厚度为 13.26m，发育大量垂向溶蚀裂隙及溶孔；三山子组含水层为 3 层，厚度为 9.88m，一般发育小型溶蚀裂隙。炒米店组含水层为 5 层，厚度为 15.61m，主要发育水平方向溶蚀裂隙。</w:t>
      </w:r>
    </w:p>
    <w:p>
      <w:pPr>
        <w:ind w:firstLine="560"/>
        <w:rPr>
          <w:rFonts w:ascii="Times New Roman" w:hAnsi="Times New Roman"/>
        </w:rPr>
      </w:pPr>
      <w:r>
        <w:rPr>
          <w:rFonts w:hint="eastAsia" w:ascii="Times New Roman" w:hAnsi="Times New Roman"/>
        </w:rPr>
        <w:t>（2）谢家店富水地段中部。主要含水层为北庵庄组、三山子组、 炒米店组灰岩、泥质条带灰岩，含水层发育深度为 15.44~341.15m。 如 3# 号水井，含水层顶底板埋深为 15.44~316.86m，含水层厚度为 51.55m。其中，北庵庄组含水层为4 层，厚度为 12.17m，主要发育垂向溶蚀裂隙。三山子组含水层为 2 层，厚度为25.15m，一般发育小型溶蚀裂隙。炒米店组含水层为 4 层，厚度为 14.23m，溶蚀裂隙及溶孔均较发育。</w:t>
      </w:r>
    </w:p>
    <w:p>
      <w:pPr>
        <w:ind w:firstLine="560"/>
        <w:rPr>
          <w:rFonts w:ascii="Times New Roman" w:hAnsi="Times New Roman"/>
        </w:rPr>
      </w:pPr>
      <w:r>
        <w:rPr>
          <w:rFonts w:hint="eastAsia" w:ascii="Times New Roman" w:hAnsi="Times New Roman"/>
        </w:rPr>
        <w:t xml:space="preserve">（3）谢家店富水地段东部。主要含水层为北庵庄组及三山子组灰岩、白云岩，含水层发育深度为 32.3~341.0m。 如 1# 号水井，含水层顶底板埋深为32.3~341.0m，含水层厚度为 60.88m。其中，北庵庄组含水层为 8 层，厚度为25.46m，主要发育垂向及水平溶蚀裂隙。 三山子组含水层为 4 层，厚度为 19.63m，主要发育溶孔及蜂窝状溶孔。炒米店组含水层为 2 层，厚度为 15.79m，主要发育溶蚀裂隙。 </w:t>
      </w:r>
    </w:p>
    <w:p>
      <w:pPr>
        <w:ind w:firstLine="562"/>
        <w:rPr>
          <w:rFonts w:ascii="Times New Roman" w:hAnsi="Times New Roman"/>
          <w:b/>
        </w:rPr>
      </w:pPr>
      <w:r>
        <w:rPr>
          <w:rFonts w:hint="eastAsia" w:ascii="Times New Roman" w:hAnsi="Times New Roman"/>
          <w:b/>
        </w:rPr>
        <w:t>岩溶水的运动特征</w:t>
      </w:r>
    </w:p>
    <w:p>
      <w:pPr>
        <w:ind w:firstLine="560"/>
        <w:rPr>
          <w:rFonts w:ascii="Times New Roman" w:hAnsi="Times New Roman"/>
        </w:rPr>
      </w:pPr>
      <w:r>
        <w:rPr>
          <w:rFonts w:hint="eastAsia" w:ascii="Times New Roman" w:hAnsi="Times New Roman"/>
        </w:rPr>
        <w:t>大气降水是岩溶水的主要补给来源，它最直接、最迅速、最集中地抬高岩溶水的水位，增加岩溶水的储存量。盆泉方向灰岩山区接受大气降水后，岩溶水向东径流，南博山方向灰岩山区接受大气降水后，岩溶水向北东向径流，两者交汇于谢家店村东，岩溶水在向下游径流途中遇邀兔阻水地段阻挡作用，岩溶水于谢家店地区富集、承压，岩溶水沿谢家店断层破碎带上升成泉，转化为地表径流沿淄河向北径流，在郭庄地区入渗转化为地下水，继续向北向东径流至天津湾富水地段及源泉富水地段。</w:t>
      </w:r>
    </w:p>
    <w:p>
      <w:pPr>
        <w:ind w:firstLine="560"/>
        <w:rPr>
          <w:rFonts w:ascii="Times New Roman" w:hAnsi="Times New Roman"/>
        </w:rPr>
      </w:pPr>
      <w:r>
        <w:rPr>
          <w:rFonts w:hint="eastAsia" w:ascii="Times New Roman" w:hAnsi="Times New Roman"/>
        </w:rPr>
        <w:t>淄河渗漏补给也是该富水地段的重要补给来源。淄河素有“十八漏”之称，在汛期及石马水库放水时产生的表流， 可以渗漏补给岩溶含水层。</w:t>
      </w:r>
    </w:p>
    <w:p>
      <w:pPr>
        <w:ind w:firstLine="560"/>
        <w:rPr>
          <w:rFonts w:ascii="Times New Roman" w:hAnsi="Times New Roman"/>
        </w:rPr>
      </w:pPr>
      <w:r>
        <w:rPr>
          <w:rFonts w:hint="eastAsia" w:ascii="Times New Roman" w:hAnsi="Times New Roman"/>
        </w:rPr>
        <w:t>该富水地段目前岩溶水开采量较小，主要排泄方式为谢家店泉群及向北部天津湾、源泉富水地段径流排泄。</w:t>
      </w:r>
    </w:p>
    <w:p>
      <w:pPr>
        <w:ind w:left="-848" w:leftChars="-303" w:firstLine="0" w:firstLineChars="0"/>
        <w:jc w:val="center"/>
        <w:rPr>
          <w:rFonts w:ascii="Times New Roman" w:hAnsi="Times New Roman"/>
        </w:rPr>
      </w:pPr>
      <w:r>
        <w:rPr>
          <w:rFonts w:hint="eastAsia" w:ascii="Times New Roman" w:hAnsi="Times New Roman"/>
        </w:rPr>
        <w:t xml:space="preserve"> </w:t>
      </w:r>
      <w:r>
        <w:rPr>
          <w:rFonts w:ascii="Times New Roman" w:hAnsi="Times New Roman"/>
        </w:rPr>
        <w:t xml:space="preserve">     </w:t>
      </w:r>
      <w:r>
        <w:rPr>
          <w:rFonts w:ascii="Times New Roman" w:hAnsi="Times New Roman"/>
        </w:rPr>
        <w:drawing>
          <wp:inline distT="0" distB="0" distL="0" distR="0">
            <wp:extent cx="5274310" cy="2908300"/>
            <wp:effectExtent l="0" t="0" r="2540" b="635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2908300"/>
                    </a:xfrm>
                    <a:prstGeom prst="rect">
                      <a:avLst/>
                    </a:prstGeom>
                  </pic:spPr>
                </pic:pic>
              </a:graphicData>
            </a:graphic>
          </wp:inline>
        </w:drawing>
      </w:r>
    </w:p>
    <w:p>
      <w:pPr>
        <w:snapToGrid w:val="0"/>
        <w:spacing w:before="156" w:beforeLines="50"/>
        <w:ind w:firstLine="0" w:firstLineChars="0"/>
        <w:jc w:val="center"/>
        <w:rPr>
          <w:rFonts w:ascii="Times New Roman" w:hAnsi="Times New Roman"/>
          <w:b/>
          <w:sz w:val="24"/>
        </w:rPr>
      </w:pPr>
      <w:r>
        <w:rPr>
          <w:rFonts w:ascii="Times New Roman" w:hAnsi="Times New Roman"/>
          <w:b/>
          <w:sz w:val="24"/>
        </w:rPr>
        <w:t>图</w:t>
      </w:r>
      <w:r>
        <w:rPr>
          <w:rFonts w:hint="eastAsia" w:ascii="Times New Roman" w:hAnsi="Times New Roman"/>
          <w:b/>
          <w:sz w:val="24"/>
        </w:rPr>
        <w:t>2-4</w:t>
      </w:r>
      <w:r>
        <w:rPr>
          <w:rFonts w:ascii="Times New Roman" w:hAnsi="Times New Roman"/>
          <w:b/>
          <w:sz w:val="24"/>
        </w:rPr>
        <w:t xml:space="preserve"> 谢家店水源地水文地质剖面图</w:t>
      </w:r>
    </w:p>
    <w:p>
      <w:pPr>
        <w:ind w:firstLine="562"/>
        <w:rPr>
          <w:rFonts w:ascii="Times New Roman" w:hAnsi="Times New Roman"/>
          <w:b/>
        </w:rPr>
      </w:pPr>
      <w:r>
        <w:rPr>
          <w:rFonts w:hint="eastAsia" w:ascii="Times New Roman" w:hAnsi="Times New Roman"/>
          <w:b/>
        </w:rPr>
        <w:t>岩溶含水层富水性特征</w:t>
      </w:r>
    </w:p>
    <w:p>
      <w:pPr>
        <w:ind w:firstLine="560"/>
        <w:rPr>
          <w:rFonts w:ascii="Times New Roman" w:hAnsi="Times New Roman"/>
        </w:rPr>
      </w:pPr>
      <w:r>
        <w:rPr>
          <w:rFonts w:hint="eastAsia" w:ascii="Times New Roman" w:hAnsi="Times New Roman"/>
        </w:rPr>
        <w:t>谢家店富水地段为依附盆泉—北博山断裂及其影响带形成的条带状富水地段，富水地段内水力联系密切。抽水主井抽水时，降落漏斗迅速向外扩展，抽水2 分钟，即可影响到距离</w:t>
      </w:r>
      <w:r>
        <w:rPr>
          <w:rFonts w:ascii="Times New Roman" w:hAnsi="Times New Roman"/>
        </w:rPr>
        <w:t>8#</w:t>
      </w:r>
      <w:r>
        <w:rPr>
          <w:rFonts w:hint="eastAsia" w:ascii="Times New Roman" w:hAnsi="Times New Roman"/>
        </w:rPr>
        <w:t>号井抽水主井西侧 437m 处的观测井，其水位下降 0.14m；抽水主井停泵时，停泵 2 分钟，观测井水位上升 0.15m。</w:t>
      </w:r>
    </w:p>
    <w:p>
      <w:pPr>
        <w:ind w:firstLine="560"/>
        <w:rPr>
          <w:rFonts w:ascii="Times New Roman" w:hAnsi="Times New Roman"/>
        </w:rPr>
      </w:pPr>
      <w:r>
        <w:rPr>
          <w:rFonts w:hint="eastAsia" w:ascii="Times New Roman" w:hAnsi="Times New Roman"/>
        </w:rPr>
        <w:t>据本次勘探井资料， 受多条断层影响，富水地段内岩层极破碎，岩溶发育良好，单井涌水量较大，且水位降深较小。富水地段内 350m 深井单井涌水量一般大于 3000m</w:t>
      </w:r>
      <w:r>
        <w:rPr>
          <w:rFonts w:hint="eastAsia" w:ascii="Times New Roman" w:hAnsi="Times New Roman"/>
          <w:vertAlign w:val="superscript"/>
        </w:rPr>
        <w:t>3</w:t>
      </w:r>
      <w:r>
        <w:rPr>
          <w:rFonts w:hint="eastAsia" w:ascii="Times New Roman" w:hAnsi="Times New Roman"/>
        </w:rPr>
        <w:t>/d，水位降深一般小于 10m。如 9# 号水井，孔深 352.15m，抽水流量 6913.2m</w:t>
      </w:r>
      <w:r>
        <w:rPr>
          <w:rFonts w:hint="eastAsia" w:ascii="Times New Roman" w:hAnsi="Times New Roman"/>
          <w:vertAlign w:val="superscript"/>
        </w:rPr>
        <w:t>3</w:t>
      </w:r>
      <w:r>
        <w:rPr>
          <w:rFonts w:hint="eastAsia" w:ascii="Times New Roman" w:hAnsi="Times New Roman"/>
        </w:rPr>
        <w:t>/d，水位降深仅 3.19m。说明该富水地段单井涌水量较大，富水性强。富水地段水位埋深小，一般为 1.065~7.195m。</w:t>
      </w:r>
    </w:p>
    <w:p>
      <w:pPr>
        <w:ind w:firstLine="560"/>
        <w:rPr>
          <w:rFonts w:ascii="Times New Roman" w:hAnsi="Times New Roman"/>
        </w:rPr>
      </w:pPr>
      <w:r>
        <w:rPr>
          <w:rFonts w:hint="eastAsia" w:ascii="Times New Roman" w:hAnsi="Times New Roman"/>
        </w:rPr>
        <w:t>谢家店富水地段位于淄河盆泉支流河谷地带，为依附于盆泉—北博山断裂及沿南盘影响带形成的富水地段， 面积较小，储水空间相对较小，地下水调蓄能力较差。在枯水期，谢家店富水地段地下水主要来自于外围广大补给区的侧向径流补给。通过本次开采性抽水试验证明，地下水开采量一旦超过侧向径流补给量，就会消耗富水地段储存量，而富水地段单位储存量较小，地下水水位会随着开采量的增加急剧下降。水源地开采量 1.2 万 m</w:t>
      </w:r>
      <w:r>
        <w:rPr>
          <w:rFonts w:hint="eastAsia" w:ascii="Times New Roman" w:hAnsi="Times New Roman"/>
          <w:vertAlign w:val="superscript"/>
        </w:rPr>
        <w:t>3</w:t>
      </w:r>
      <w:r>
        <w:rPr>
          <w:rFonts w:hint="eastAsia" w:ascii="Times New Roman" w:hAnsi="Times New Roman"/>
        </w:rPr>
        <w:t>/d 时，富水地段内水位日降幅为0.158m/d，当开采量增加至 1.62 万 m</w:t>
      </w:r>
      <w:r>
        <w:rPr>
          <w:rFonts w:hint="eastAsia" w:ascii="Times New Roman" w:hAnsi="Times New Roman"/>
          <w:vertAlign w:val="superscript"/>
        </w:rPr>
        <w:t>3</w:t>
      </w:r>
      <w:r>
        <w:rPr>
          <w:rFonts w:hint="eastAsia" w:ascii="Times New Roman" w:hAnsi="Times New Roman"/>
        </w:rPr>
        <w:t>/d 时，富水地段内水位日降幅则增加至0.409m/d。 富水地段在抽水结束后，水位能迅速恢复，补给迅速。</w:t>
      </w:r>
    </w:p>
    <w:p>
      <w:pPr>
        <w:pStyle w:val="25"/>
      </w:pPr>
      <w:bookmarkStart w:id="40" w:name="_Toc35526460"/>
      <w:r>
        <w:t>水位</w:t>
      </w:r>
      <w:bookmarkEnd w:id="40"/>
    </w:p>
    <w:p>
      <w:pPr>
        <w:ind w:firstLine="560"/>
        <w:rPr>
          <w:rFonts w:ascii="Times New Roman" w:hAnsi="Times New Roman"/>
        </w:rPr>
      </w:pPr>
      <w:r>
        <w:rPr>
          <w:rFonts w:hint="eastAsia" w:ascii="Times New Roman" w:hAnsi="Times New Roman"/>
        </w:rPr>
        <w:t>通过博山镇北博山村观测井1989年-2017年动态观测资料可以看出，谢家店地区岩溶水水位主要受大气降水影响。随着降水量的增加，岩溶水水位升幅增大，遇连续枯水年岩溶水水位持续下降，尤其在特枯年份，岩溶水水位下降幅度较快；遇到丰水年，尤其是特丰年，岩溶水水位快速回升并很快得到恢复；在平水年，水位呈现出波动态势。</w:t>
      </w:r>
    </w:p>
    <w:p>
      <w:pPr>
        <w:ind w:firstLine="560"/>
        <w:rPr>
          <w:rFonts w:ascii="Times New Roman" w:hAnsi="Times New Roman"/>
        </w:rPr>
      </w:pPr>
      <w:r>
        <w:rPr>
          <w:rFonts w:hint="eastAsia" w:ascii="Times New Roman" w:hAnsi="Times New Roman"/>
        </w:rPr>
        <w:t>1989 年为特枯年，岩溶水水位在低水位运行，达到历史最低水位。 1990 年之后水位迅速回升， 1992 年枯水年水位又持续下降，之后遇连续丰水年，岩溶水水位持续上升。 之后分别于 1999 年、 2003 年水位受枯水年影响大幅下降， 2003年-2013 年，其岩溶水水位在高水位运行。 2014 年-2015 年受连续枯水年影响，岩溶水水位持续下降， 2016 年岩溶水水位又开始迅速回升。</w:t>
      </w:r>
    </w:p>
    <w:p>
      <w:pPr>
        <w:ind w:firstLine="560"/>
        <w:rPr>
          <w:rFonts w:ascii="Times New Roman" w:hAnsi="Times New Roman"/>
        </w:rPr>
      </w:pPr>
      <w:r>
        <w:rPr>
          <w:rFonts w:hint="eastAsia" w:ascii="Times New Roman" w:hAnsi="Times New Roman"/>
        </w:rPr>
        <w:t>综上所述， 谢家店地区岩溶水位下降后遇丰水年即迅速回升，具备良好的补给条件和一定的调蓄能力，在枯水期适当地疏干储存量后，在丰水期可以得到充分的补偿。</w:t>
      </w:r>
    </w:p>
    <w:p>
      <w:pPr>
        <w:ind w:firstLine="560"/>
        <w:rPr>
          <w:rFonts w:ascii="Times New Roman" w:hAnsi="Times New Roman"/>
        </w:rPr>
      </w:pPr>
      <w:r>
        <w:rPr>
          <w:rFonts w:hint="eastAsia" w:ascii="Times New Roman" w:hAnsi="Times New Roman"/>
        </w:rPr>
        <w:t>整体而言，谢家店地区岩溶水水位有以下变化特征：</w:t>
      </w:r>
    </w:p>
    <w:p>
      <w:pPr>
        <w:ind w:firstLine="560"/>
        <w:rPr>
          <w:rFonts w:ascii="Times New Roman" w:hAnsi="Times New Roman"/>
        </w:rPr>
      </w:pPr>
      <w:r>
        <w:rPr>
          <w:rFonts w:hint="eastAsia" w:ascii="Times New Roman" w:hAnsi="Times New Roman"/>
        </w:rPr>
        <w:t>（1）岩溶水位季节性变化明显，水位具一定的滞后性。</w:t>
      </w:r>
    </w:p>
    <w:p>
      <w:pPr>
        <w:ind w:firstLine="560"/>
        <w:rPr>
          <w:rFonts w:ascii="Times New Roman" w:hAnsi="Times New Roman"/>
        </w:rPr>
      </w:pPr>
      <w:r>
        <w:rPr>
          <w:rFonts w:hint="eastAsia" w:ascii="Times New Roman" w:hAnsi="Times New Roman"/>
        </w:rPr>
        <w:t>（2）岩溶水位年内、年际变幅大。</w:t>
      </w:r>
    </w:p>
    <w:p>
      <w:pPr>
        <w:ind w:firstLine="560"/>
        <w:rPr>
          <w:rFonts w:ascii="Times New Roman" w:hAnsi="Times New Roman"/>
        </w:rPr>
      </w:pPr>
      <w:r>
        <w:rPr>
          <w:rFonts w:hint="eastAsia" w:ascii="Times New Roman" w:hAnsi="Times New Roman"/>
        </w:rPr>
        <w:t>（3）具有一定的储水空间，接受补给迅速、充分。</w:t>
      </w:r>
    </w:p>
    <w:p>
      <w:pPr>
        <w:ind w:firstLine="0" w:firstLineChars="0"/>
        <w:jc w:val="center"/>
        <w:rPr>
          <w:rFonts w:ascii="Times New Roman" w:hAnsi="Times New Roman"/>
        </w:rPr>
      </w:pPr>
      <w:r>
        <w:drawing>
          <wp:inline distT="0" distB="0" distL="0" distR="0">
            <wp:extent cx="5601335" cy="2855595"/>
            <wp:effectExtent l="0" t="0" r="0"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0"/>
                    <a:srcRect l="9683" t="13409" r="3284" b="7704"/>
                    <a:stretch>
                      <a:fillRect/>
                    </a:stretch>
                  </pic:blipFill>
                  <pic:spPr>
                    <a:xfrm>
                      <a:off x="0" y="0"/>
                      <a:ext cx="5632616" cy="2871677"/>
                    </a:xfrm>
                    <a:prstGeom prst="rect">
                      <a:avLst/>
                    </a:prstGeom>
                    <a:ln>
                      <a:noFill/>
                    </a:ln>
                  </pic:spPr>
                </pic:pic>
              </a:graphicData>
            </a:graphic>
          </wp:inline>
        </w:drawing>
      </w:r>
    </w:p>
    <w:p>
      <w:pPr>
        <w:snapToGrid w:val="0"/>
        <w:ind w:firstLine="0" w:firstLineChars="0"/>
        <w:jc w:val="center"/>
        <w:rPr>
          <w:rFonts w:ascii="Times New Roman" w:hAnsi="Times New Roman"/>
          <w:b/>
          <w:sz w:val="24"/>
        </w:rPr>
      </w:pPr>
      <w:r>
        <w:rPr>
          <w:rFonts w:ascii="Times New Roman" w:hAnsi="Times New Roman"/>
          <w:b/>
          <w:sz w:val="24"/>
        </w:rPr>
        <w:t>图</w:t>
      </w:r>
      <w:r>
        <w:rPr>
          <w:rFonts w:hint="eastAsia" w:ascii="Times New Roman" w:hAnsi="Times New Roman"/>
          <w:b/>
          <w:sz w:val="24"/>
        </w:rPr>
        <w:t>2-5</w:t>
      </w:r>
      <w:r>
        <w:rPr>
          <w:rFonts w:ascii="Times New Roman" w:hAnsi="Times New Roman"/>
          <w:b/>
          <w:sz w:val="24"/>
        </w:rPr>
        <w:t>谢家店饮用水水源地水位</w:t>
      </w:r>
      <w:r>
        <w:rPr>
          <w:rFonts w:hint="eastAsia" w:ascii="Times New Roman" w:hAnsi="Times New Roman"/>
          <w:b/>
          <w:sz w:val="24"/>
        </w:rPr>
        <w:t>多年动态曲线图</w:t>
      </w:r>
    </w:p>
    <w:p>
      <w:pPr>
        <w:pStyle w:val="27"/>
      </w:pPr>
      <w:bookmarkStart w:id="41" w:name="_Toc35526461"/>
      <w:r>
        <w:rPr>
          <w:rFonts w:hint="eastAsia"/>
        </w:rPr>
        <w:t>水质调查评价</w:t>
      </w:r>
      <w:bookmarkEnd w:id="41"/>
    </w:p>
    <w:p>
      <w:pPr>
        <w:ind w:firstLine="560"/>
        <w:rPr>
          <w:rFonts w:ascii="Times New Roman" w:hAnsi="Times New Roman"/>
        </w:rPr>
      </w:pPr>
      <w:r>
        <w:rPr>
          <w:rFonts w:ascii="Times New Roman" w:hAnsi="Times New Roman"/>
        </w:rPr>
        <w:t>参照《地下水质量标准》（GB/T14848-</w:t>
      </w:r>
      <w:r>
        <w:rPr>
          <w:rFonts w:hint="eastAsia" w:ascii="Times New Roman" w:hAnsi="Times New Roman"/>
        </w:rPr>
        <w:t>2017</w:t>
      </w:r>
      <w:r>
        <w:rPr>
          <w:rFonts w:ascii="Times New Roman" w:hAnsi="Times New Roman"/>
        </w:rPr>
        <w:t>）中地下水水质量评价部分和中国环境监测总站《环境质量综合评价技术导则》有关规定，采用单项组分评价与综合评价结合的方法。地下水饮用水水源水质评价标准为《地下水质量标准》（GB/T 14848-</w:t>
      </w:r>
      <w:r>
        <w:rPr>
          <w:rFonts w:hint="eastAsia" w:ascii="Times New Roman" w:hAnsi="Times New Roman"/>
        </w:rPr>
        <w:t>2017</w:t>
      </w:r>
      <w:r>
        <w:rPr>
          <w:rFonts w:ascii="Times New Roman" w:hAnsi="Times New Roman"/>
        </w:rPr>
        <w:t>）中的III类标准限值。</w:t>
      </w:r>
    </w:p>
    <w:p>
      <w:pPr>
        <w:ind w:firstLine="560"/>
        <w:rPr>
          <w:rFonts w:ascii="Times New Roman" w:hAnsi="Times New Roman"/>
        </w:rPr>
      </w:pPr>
      <w:r>
        <w:rPr>
          <w:rFonts w:hint="eastAsia" w:ascii="Times New Roman" w:hAnsi="Times New Roman"/>
        </w:rPr>
        <w:t>为全面掌握水源地地下水及地表水水化学现状，评价水源地内地下水环境质量现状及环境功能的适宜性；了解工作区地下水污染现状，并对工作区地下水质量等级、污染程度及污染特征做出评价，分别于 2016 年 10 月（丰水期） 及 2017年 6 月（枯水期） 在工作区范围采集了两次地下水及地表水水样。根据本次取得的水质分析成果，对水源地进行水环境质量评价。</w:t>
      </w:r>
    </w:p>
    <w:p>
      <w:pPr>
        <w:ind w:firstLine="560"/>
        <w:rPr>
          <w:rFonts w:ascii="Times New Roman" w:hAnsi="Times New Roman"/>
        </w:rPr>
      </w:pPr>
      <w:r>
        <w:rPr>
          <w:rFonts w:hint="eastAsia" w:ascii="Times New Roman" w:hAnsi="Times New Roman"/>
        </w:rPr>
        <w:t>2016 年 10 月水质评价结果显示：</w:t>
      </w:r>
    </w:p>
    <w:p>
      <w:pPr>
        <w:ind w:firstLine="560"/>
        <w:rPr>
          <w:rFonts w:ascii="Times New Roman" w:hAnsi="Times New Roman"/>
        </w:rPr>
      </w:pPr>
      <w:r>
        <w:rPr>
          <w:rFonts w:hint="eastAsia" w:ascii="Times New Roman" w:hAnsi="Times New Roman"/>
        </w:rPr>
        <w:t>丰水期工作区地表水水质整体良好，仅刘家台断面淄河河水总硬度略微超标。地下水水质整体良好。较差水主要分布于工作区西南部常庄至北邢村一带（主要超标组分为总硬度）及工作区中部郭庄一带（主要超标组分为 NO</w:t>
      </w:r>
      <w:r>
        <w:rPr>
          <w:rFonts w:hint="eastAsia" w:ascii="Times New Roman" w:hAnsi="Times New Roman"/>
          <w:vertAlign w:val="subscript"/>
        </w:rPr>
        <w:t>3</w:t>
      </w:r>
      <w:r>
        <w:rPr>
          <w:rFonts w:ascii="Times New Roman" w:hAnsi="Times New Roman"/>
          <w:vertAlign w:val="superscript"/>
        </w:rPr>
        <w:t>-</w:t>
      </w:r>
      <w:r>
        <w:rPr>
          <w:rFonts w:hint="eastAsia" w:ascii="Times New Roman" w:hAnsi="Times New Roman"/>
        </w:rPr>
        <w:t>）。零星分布于工作区东南部池上镇（主要超标组分为 F</w:t>
      </w:r>
      <w:r>
        <w:rPr>
          <w:rFonts w:ascii="Times New Roman" w:hAnsi="Times New Roman"/>
          <w:vertAlign w:val="superscript"/>
        </w:rPr>
        <w:t>-</w:t>
      </w:r>
      <w:r>
        <w:rPr>
          <w:rFonts w:hint="eastAsia" w:ascii="Times New Roman" w:hAnsi="Times New Roman"/>
        </w:rPr>
        <w:t>）及工作区北部（主要超标组分为总硬度）。较差水主要超标组分为总硬度、硝酸盐、氟离子。</w:t>
      </w:r>
    </w:p>
    <w:p>
      <w:pPr>
        <w:ind w:firstLine="560"/>
        <w:rPr>
          <w:rFonts w:ascii="Times New Roman" w:hAnsi="Times New Roman"/>
        </w:rPr>
      </w:pPr>
      <w:r>
        <w:rPr>
          <w:rFonts w:hint="eastAsia" w:ascii="Times New Roman" w:hAnsi="Times New Roman"/>
        </w:rPr>
        <w:t>2017 年 6 月水质评价结果显示：</w:t>
      </w:r>
    </w:p>
    <w:p>
      <w:pPr>
        <w:ind w:firstLine="560"/>
        <w:rPr>
          <w:rFonts w:ascii="Times New Roman" w:hAnsi="Times New Roman"/>
        </w:rPr>
      </w:pPr>
      <w:r>
        <w:rPr>
          <w:rFonts w:hint="eastAsia" w:ascii="Times New Roman" w:hAnsi="Times New Roman"/>
        </w:rPr>
        <w:t>枯水期工作区地表水水质整体良好， 其中石马水库出现 COD 超标。地下水水质比丰水期略好。较差水主要分布于工作区西南部常庄至北邢村一带（主要超标组分为总硬度）及工作区中部郭庄一带（主要超标组分为 NO</w:t>
      </w:r>
      <w:r>
        <w:rPr>
          <w:rFonts w:hint="eastAsia" w:ascii="Times New Roman" w:hAnsi="Times New Roman"/>
          <w:vertAlign w:val="subscript"/>
        </w:rPr>
        <w:t>3</w:t>
      </w:r>
      <w:r>
        <w:rPr>
          <w:rFonts w:hint="eastAsia" w:ascii="Times New Roman" w:hAnsi="Times New Roman"/>
        </w:rPr>
        <w:t>-），零星分布于工作区东南部池上镇（主要超标组分为 F-）及工作区北部（主要超标组分为总硬度）。较差水主要超标组分为总硬度、硝酸盐、氟离子。</w:t>
      </w:r>
    </w:p>
    <w:p>
      <w:pPr>
        <w:ind w:firstLine="560"/>
        <w:rPr>
          <w:rFonts w:ascii="Times New Roman" w:hAnsi="Times New Roman"/>
        </w:rPr>
      </w:pPr>
      <w:r>
        <w:rPr>
          <w:rFonts w:hint="eastAsia" w:ascii="Times New Roman" w:hAnsi="Times New Roman"/>
        </w:rPr>
        <w:t>以《地下水质量标准》（GB/T14848-2017）为标准依据，对谢家店水源地9眼取水井水质进行单独评价。另外，</w:t>
      </w:r>
      <w:r>
        <w:rPr>
          <w:rFonts w:ascii="Times New Roman" w:hAnsi="Times New Roman"/>
        </w:rPr>
        <w:t>该水源地</w:t>
      </w:r>
      <w:r>
        <w:rPr>
          <w:rFonts w:hint="eastAsia" w:ascii="Times New Roman" w:hAnsi="Times New Roman"/>
        </w:rPr>
        <w:t>9眼井采用集中供水方式，通过对该水源地各眼井水质状况以及集中供水的出厂水情况，依据《生活饮用水卫生标准》（GB5749-2006）进行水质评价。</w:t>
      </w:r>
    </w:p>
    <w:p>
      <w:pPr>
        <w:ind w:firstLine="560"/>
        <w:rPr>
          <w:rFonts w:ascii="宋体" w:hAnsi="宋体" w:eastAsia="宋体" w:cs="宋体"/>
          <w:color w:val="000000"/>
          <w:kern w:val="0"/>
          <w:szCs w:val="28"/>
        </w:rPr>
      </w:pPr>
      <w:r>
        <w:rPr>
          <w:rFonts w:hint="eastAsia" w:ascii="Times New Roman" w:hAnsi="Times New Roman"/>
        </w:rPr>
        <w:t>2017年各眼井水质状况结果显示，监测的各个指标均在</w:t>
      </w:r>
      <w:r>
        <w:rPr>
          <w:rFonts w:ascii="Times New Roman" w:hAnsi="Times New Roman"/>
        </w:rPr>
        <w:t>《地下水质量标准》（GB/T14848-</w:t>
      </w:r>
      <w:r>
        <w:rPr>
          <w:rFonts w:hint="eastAsia" w:ascii="Times New Roman" w:hAnsi="Times New Roman"/>
        </w:rPr>
        <w:t>2017</w:t>
      </w:r>
      <w:r>
        <w:rPr>
          <w:rFonts w:ascii="Times New Roman" w:hAnsi="Times New Roman"/>
        </w:rPr>
        <w:t>）III类水标准以上</w:t>
      </w:r>
      <w:r>
        <w:rPr>
          <w:rFonts w:hint="eastAsia" w:ascii="Times New Roman" w:hAnsi="Times New Roman"/>
        </w:rPr>
        <w:t>，</w:t>
      </w:r>
      <w:r>
        <w:rPr>
          <w:rFonts w:ascii="Times New Roman" w:hAnsi="Times New Roman"/>
        </w:rPr>
        <w:t>部分指标达到</w:t>
      </w:r>
      <w:r>
        <w:rPr>
          <w:rFonts w:hint="eastAsia" w:ascii="宋体" w:hAnsi="宋体" w:eastAsia="宋体" w:cs="宋体"/>
          <w:color w:val="000000"/>
          <w:kern w:val="0"/>
          <w:szCs w:val="28"/>
        </w:rPr>
        <w:t>Ⅰ</w:t>
      </w:r>
      <w:r>
        <w:rPr>
          <w:rFonts w:hint="eastAsia" w:ascii="Times New Roman" w:hAnsi="Times New Roman"/>
        </w:rPr>
        <w:t>类水标准</w:t>
      </w:r>
      <w:r>
        <w:rPr>
          <w:rFonts w:hint="eastAsia" w:ascii="宋体" w:hAnsi="宋体" w:eastAsia="宋体" w:cs="宋体"/>
          <w:color w:val="000000"/>
          <w:kern w:val="0"/>
          <w:szCs w:val="28"/>
        </w:rPr>
        <w:t>，</w:t>
      </w:r>
      <w:r>
        <w:rPr>
          <w:rFonts w:hint="eastAsia" w:ascii="Times New Roman" w:hAnsi="Times New Roman"/>
        </w:rPr>
        <w:t>各眼井水质条件均达到集中式生活饮用水水源标准，具体指标详见表2-2、表2-3、表2-4。</w:t>
      </w:r>
    </w:p>
    <w:p>
      <w:pPr>
        <w:ind w:firstLine="560"/>
        <w:rPr>
          <w:rFonts w:ascii="Times New Roman" w:hAnsi="Times New Roman"/>
        </w:rPr>
      </w:pPr>
      <w:r>
        <w:rPr>
          <w:rFonts w:hint="eastAsia" w:ascii="Times New Roman" w:hAnsi="Times New Roman"/>
        </w:rPr>
        <w:t>2019年6、8月出厂水质状况显示，经检测的各项指标均符合《生活饮用水卫生标准》（GB5749-2006）标准，对比</w:t>
      </w:r>
      <w:r>
        <w:rPr>
          <w:rFonts w:ascii="Times New Roman" w:hAnsi="Times New Roman"/>
        </w:rPr>
        <w:t>《地下水质量标准》（GB/T14848-</w:t>
      </w:r>
      <w:r>
        <w:rPr>
          <w:rFonts w:hint="eastAsia" w:ascii="Times New Roman" w:hAnsi="Times New Roman"/>
        </w:rPr>
        <w:t>2017</w:t>
      </w:r>
      <w:r>
        <w:rPr>
          <w:rFonts w:ascii="Times New Roman" w:hAnsi="Times New Roman"/>
        </w:rPr>
        <w:t>）</w:t>
      </w:r>
      <w:r>
        <w:rPr>
          <w:rFonts w:hint="eastAsia" w:ascii="Times New Roman" w:hAnsi="Times New Roman"/>
        </w:rPr>
        <w:t>，部分指标出厂水检测指标均在Ⅲ类水以上，详见表2-5、图2-6。</w:t>
      </w:r>
    </w:p>
    <w:p>
      <w:pPr>
        <w:ind w:firstLine="560"/>
        <w:rPr>
          <w:rFonts w:ascii="Times New Roman" w:hAnsi="Times New Roman"/>
        </w:rPr>
      </w:pPr>
      <w:r>
        <w:rPr>
          <w:rFonts w:hint="eastAsia" w:ascii="Times New Roman" w:hAnsi="Times New Roman"/>
        </w:rPr>
        <w:t>综合9眼井地下水水质检测与出厂水水质检测结果，以</w:t>
      </w:r>
      <w:r>
        <w:rPr>
          <w:rFonts w:ascii="Times New Roman" w:hAnsi="Times New Roman"/>
        </w:rPr>
        <w:t>《地下水质量标准》（GB/T14848-</w:t>
      </w:r>
      <w:r>
        <w:rPr>
          <w:rFonts w:hint="eastAsia" w:ascii="Times New Roman" w:hAnsi="Times New Roman"/>
        </w:rPr>
        <w:t>2017</w:t>
      </w:r>
      <w:r>
        <w:rPr>
          <w:rFonts w:ascii="Times New Roman" w:hAnsi="Times New Roman"/>
        </w:rPr>
        <w:t>）为标准</w:t>
      </w:r>
      <w:r>
        <w:rPr>
          <w:rFonts w:hint="eastAsia" w:ascii="Times New Roman" w:hAnsi="Times New Roman"/>
        </w:rPr>
        <w:t>，9眼井地下水水质以及出厂水水质均在Ⅲ类水以上，可作为集中式生活饮用水水源。</w:t>
      </w:r>
    </w:p>
    <w:p>
      <w:pPr>
        <w:snapToGrid w:val="0"/>
        <w:ind w:firstLine="0" w:firstLineChars="0"/>
        <w:jc w:val="center"/>
        <w:rPr>
          <w:b/>
        </w:rPr>
      </w:pPr>
      <w:r>
        <w:rPr>
          <w:rFonts w:hint="eastAsia"/>
          <w:b/>
        </w:rPr>
        <w:t>表2-2谢家店1-5号井地下水水质检测状况</w:t>
      </w:r>
    </w:p>
    <w:tbl>
      <w:tblPr>
        <w:tblStyle w:val="15"/>
        <w:tblW w:w="8266" w:type="dxa"/>
        <w:tblInd w:w="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5"/>
        <w:gridCol w:w="1562"/>
        <w:gridCol w:w="1146"/>
        <w:gridCol w:w="534"/>
        <w:gridCol w:w="1417"/>
        <w:gridCol w:w="567"/>
        <w:gridCol w:w="1418"/>
        <w:gridCol w:w="5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shd w:val="clear" w:color="auto" w:fill="auto"/>
            <w:noWrap/>
            <w:vAlign w:val="center"/>
          </w:tcPr>
          <w:p>
            <w:pPr>
              <w:widowControl/>
              <w:spacing w:line="240" w:lineRule="auto"/>
              <w:ind w:firstLine="440" w:firstLineChars="0"/>
              <w:jc w:val="center"/>
              <w:rPr>
                <w:rFonts w:ascii="宋体" w:hAnsi="宋体" w:eastAsia="宋体" w:cs="宋体"/>
                <w:color w:val="000000"/>
                <w:kern w:val="0"/>
                <w:sz w:val="24"/>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主要指标（mg/L）</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1#井</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类别</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2#井</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t>类别</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3#井</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restart"/>
            <w:shd w:val="clear" w:color="auto" w:fill="auto"/>
            <w:noWrap/>
            <w:vAlign w:val="center"/>
          </w:tcPr>
          <w:p>
            <w:pPr>
              <w:spacing w:line="240" w:lineRule="auto"/>
              <w:ind w:firstLine="0" w:firstLineChars="0"/>
              <w:rPr>
                <w:rFonts w:ascii="宋体" w:hAnsi="宋体" w:eastAsia="宋体" w:cs="宋体"/>
                <w:color w:val="000000"/>
                <w:kern w:val="0"/>
                <w:sz w:val="24"/>
                <w:szCs w:val="28"/>
              </w:rPr>
            </w:pPr>
            <w:r>
              <w:rPr>
                <w:rFonts w:hint="eastAsia" w:ascii="宋体" w:hAnsi="宋体" w:eastAsia="宋体" w:cs="宋体"/>
                <w:color w:val="000000"/>
                <w:kern w:val="0"/>
                <w:sz w:val="24"/>
                <w:szCs w:val="28"/>
              </w:rPr>
              <w:t>一般化学指标</w:t>
            </w: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色（铂钴色度单位）</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＜5</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color w:val="000000"/>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4"/>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shd w:val="clear" w:color="auto" w:fill="auto"/>
            <w:noWrap/>
            <w:vAlign w:val="center"/>
          </w:tcPr>
          <w:p>
            <w:pPr>
              <w:spacing w:line="240" w:lineRule="auto"/>
              <w:ind w:firstLine="48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ArialUnicodeMS" w:hAnsi="ArialUnicodeMS"/>
                <w:color w:val="000000"/>
                <w:szCs w:val="28"/>
              </w:rPr>
              <w:drawing>
                <wp:anchor distT="0" distB="0" distL="114300" distR="114300" simplePos="0" relativeHeight="251659264" behindDoc="0" locked="0" layoutInCell="1" allowOverlap="1">
                  <wp:simplePos x="0" y="0"/>
                  <wp:positionH relativeFrom="margin">
                    <wp:posOffset>-2957195</wp:posOffset>
                  </wp:positionH>
                  <wp:positionV relativeFrom="paragraph">
                    <wp:posOffset>-106492040</wp:posOffset>
                  </wp:positionV>
                  <wp:extent cx="9287510" cy="6036945"/>
                  <wp:effectExtent l="25082" t="13018" r="14923" b="14922"/>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rot="16200000">
                            <a:off x="0" y="0"/>
                            <a:ext cx="9287510" cy="6036945"/>
                          </a:xfrm>
                          <a:prstGeom prst="rect">
                            <a:avLst/>
                          </a:prstGeom>
                          <a:ln w="12700">
                            <a:solidFill>
                              <a:schemeClr val="tx1"/>
                            </a:solidFill>
                          </a:ln>
                        </pic:spPr>
                      </pic:pic>
                    </a:graphicData>
                  </a:graphic>
                </wp:anchor>
              </w:drawing>
            </w:r>
            <w:r>
              <w:rPr>
                <w:rFonts w:hint="eastAsia" w:ascii="宋体" w:hAnsi="宋体" w:eastAsia="宋体" w:cs="宋体"/>
                <w:color w:val="000000"/>
                <w:kern w:val="0"/>
                <w:sz w:val="24"/>
                <w:szCs w:val="28"/>
              </w:rPr>
              <w:t>浑浊度（NTU-散射浊度单位）</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0.16</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0.21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color w:val="000000"/>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0.24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4"/>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shd w:val="clear" w:color="auto" w:fill="auto"/>
            <w:noWrap/>
            <w:vAlign w:val="center"/>
          </w:tcPr>
          <w:p>
            <w:pPr>
              <w:spacing w:line="240" w:lineRule="auto"/>
              <w:ind w:firstLine="48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嗅和味</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color w:val="000000"/>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4"/>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shd w:val="clear" w:color="auto" w:fill="auto"/>
            <w:noWrap/>
            <w:vAlign w:val="center"/>
          </w:tcPr>
          <w:p>
            <w:pPr>
              <w:spacing w:line="240" w:lineRule="auto"/>
              <w:ind w:firstLine="48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肉眼可见物</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color w:val="000000"/>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4"/>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酚类</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＜0.002</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＜0.002</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Ⅲ</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＜0.002</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铁</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＜0.008</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＜0.08</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＜0.08</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铜</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锌</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0.007</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0.007</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锰</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0.004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0.006</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钠</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9.38</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5.22</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7.27</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氨氮（以N计）</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0.03108</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0.03108</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Ⅱ</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0.03108</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总硬度</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444.86</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387.38</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Ⅲ</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376.46</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PH</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7.6</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8.2</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7.9</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COD</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0.43</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0.43</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硫酸盐</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106.96</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仿宋_GB2312" w:hAnsi="仿宋_GB2312"/>
                <w:color w:val="000000"/>
                <w:sz w:val="24"/>
                <w:szCs w:val="28"/>
              </w:rPr>
              <w:t>Ⅱ</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119.06</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Ⅱ</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76.13</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氯化物</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26.01</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23.75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18.09</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restart"/>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微生物指标</w:t>
            </w: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总大肠菌群</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3</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3</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2</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菌落总数</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10</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20</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8</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耐热大肠菌群</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417" w:type="dxa"/>
            <w:shd w:val="clear" w:color="auto" w:fill="auto"/>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p>
        </w:tc>
        <w:tc>
          <w:tcPr>
            <w:tcW w:w="1418" w:type="dxa"/>
            <w:shd w:val="clear" w:color="auto" w:fill="auto"/>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大肠埃希氏菌</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417" w:type="dxa"/>
            <w:shd w:val="clear" w:color="auto" w:fill="auto"/>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p>
        </w:tc>
        <w:tc>
          <w:tcPr>
            <w:tcW w:w="1418" w:type="dxa"/>
            <w:shd w:val="clear" w:color="auto" w:fill="auto"/>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restart"/>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毒理指标</w:t>
            </w: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NO2-(以N计）</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＜0.0012</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＜0.0012</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0.0091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NO3-(以N计）</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12.3742</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6.93224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Ⅲ</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7.7519</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砷</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Ⅲ</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汞</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＜0.0001</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＜0.0001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＜0.0001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镉</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Ⅱ</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铬（6价）</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铬（3价）</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铅</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硒</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氰化物</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＜0.01</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Ⅱ</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氟化物（F-）</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0.2</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0.2</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0.2</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碘化物（I-）</w:t>
            </w:r>
          </w:p>
        </w:tc>
        <w:tc>
          <w:tcPr>
            <w:tcW w:w="1146"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＜0.025</w:t>
            </w:r>
          </w:p>
        </w:tc>
        <w:tc>
          <w:tcPr>
            <w:tcW w:w="534"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1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＜0.025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4"/>
              </w:rPr>
            </w:pPr>
            <w:r>
              <w:rPr>
                <w:rFonts w:hint="eastAsia"/>
                <w:sz w:val="24"/>
                <w:szCs w:val="24"/>
              </w:rPr>
              <w:t>Ⅰ</w:t>
            </w:r>
          </w:p>
        </w:tc>
        <w:tc>
          <w:tcPr>
            <w:tcW w:w="141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＜0.025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bl>
    <w:p>
      <w:pPr>
        <w:snapToGrid w:val="0"/>
        <w:ind w:firstLine="0" w:firstLineChars="0"/>
        <w:jc w:val="center"/>
        <w:rPr>
          <w:b/>
        </w:rPr>
      </w:pPr>
    </w:p>
    <w:p>
      <w:pPr>
        <w:snapToGrid w:val="0"/>
        <w:ind w:firstLine="0" w:firstLineChars="0"/>
        <w:jc w:val="center"/>
        <w:rPr>
          <w:b/>
        </w:rPr>
      </w:pPr>
      <w:r>
        <w:rPr>
          <w:rFonts w:hint="eastAsia"/>
          <w:b/>
        </w:rPr>
        <w:t>表2-3谢家店4-6号井地下水水质检测状况</w:t>
      </w:r>
    </w:p>
    <w:tbl>
      <w:tblPr>
        <w:tblStyle w:val="15"/>
        <w:tblW w:w="7840" w:type="dxa"/>
        <w:tblInd w:w="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5"/>
        <w:gridCol w:w="1562"/>
        <w:gridCol w:w="1146"/>
        <w:gridCol w:w="392"/>
        <w:gridCol w:w="1276"/>
        <w:gridCol w:w="567"/>
        <w:gridCol w:w="1275"/>
        <w:gridCol w:w="5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shd w:val="clear" w:color="auto" w:fill="auto"/>
            <w:noWrap/>
            <w:vAlign w:val="center"/>
          </w:tcPr>
          <w:p>
            <w:pPr>
              <w:widowControl/>
              <w:spacing w:line="240" w:lineRule="auto"/>
              <w:ind w:firstLine="440" w:firstLineChars="0"/>
              <w:jc w:val="center"/>
              <w:rPr>
                <w:rFonts w:ascii="宋体" w:hAnsi="宋体" w:eastAsia="宋体" w:cs="宋体"/>
                <w:color w:val="000000"/>
                <w:kern w:val="0"/>
                <w:sz w:val="24"/>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主要指标（mg/L）</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4#井</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类别</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5#井</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类别</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6#井</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restart"/>
            <w:shd w:val="clear" w:color="auto" w:fill="auto"/>
            <w:noWrap/>
            <w:vAlign w:val="center"/>
          </w:tcPr>
          <w:p>
            <w:pPr>
              <w:spacing w:line="240" w:lineRule="auto"/>
              <w:ind w:firstLine="0" w:firstLineChars="0"/>
              <w:rPr>
                <w:rFonts w:ascii="宋体" w:hAnsi="宋体" w:eastAsia="宋体" w:cs="宋体"/>
                <w:color w:val="000000"/>
                <w:kern w:val="0"/>
                <w:sz w:val="24"/>
                <w:szCs w:val="28"/>
              </w:rPr>
            </w:pPr>
            <w:r>
              <w:rPr>
                <w:rFonts w:hint="eastAsia" w:ascii="宋体" w:hAnsi="宋体" w:eastAsia="宋体" w:cs="宋体"/>
                <w:color w:val="000000"/>
                <w:kern w:val="0"/>
                <w:sz w:val="24"/>
                <w:szCs w:val="28"/>
              </w:rPr>
              <w:t>一般化学指标</w:t>
            </w: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色（铂钴色度单位）</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＜5</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shd w:val="clear" w:color="auto" w:fill="auto"/>
            <w:noWrap/>
            <w:vAlign w:val="center"/>
          </w:tcPr>
          <w:p>
            <w:pPr>
              <w:spacing w:line="240" w:lineRule="auto"/>
              <w:ind w:firstLine="48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浑浊度（NTU-散射浊度单位）</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0.14</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0.28</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0.16</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shd w:val="clear" w:color="auto" w:fill="auto"/>
            <w:noWrap/>
            <w:vAlign w:val="center"/>
          </w:tcPr>
          <w:p>
            <w:pPr>
              <w:spacing w:line="240" w:lineRule="auto"/>
              <w:ind w:firstLine="48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嗅和味</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shd w:val="clear" w:color="auto" w:fill="auto"/>
            <w:noWrap/>
            <w:vAlign w:val="center"/>
          </w:tcPr>
          <w:p>
            <w:pPr>
              <w:spacing w:line="240" w:lineRule="auto"/>
              <w:ind w:firstLine="48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肉眼可见物</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酚类</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＜0.002</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＜0.002</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＜0.002</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铁</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＜0.08</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＜0.08</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＜0.08</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铜</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锌</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0.007</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0.123</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锰</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0.004</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0.009</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0.006</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钠</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7.39</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9.38</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7.5</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氨氮（以N计）</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0.03108</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0.03108</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0.03108</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总硬度</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365.52</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382.81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381.3</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PH</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7.5</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7.4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7.8</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COD</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0.32</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0.67</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硫酸盐</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106.12</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92.37</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101.82</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氯化物</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25.32</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24.57</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19.5</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restart"/>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微生物指标</w:t>
            </w: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总大肠菌群</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3</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3</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2</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菌落总数</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15</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15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32</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耐热大肠菌群</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567" w:type="dxa"/>
            <w:shd w:val="clear" w:color="auto" w:fill="auto"/>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567" w:type="dxa"/>
            <w:shd w:val="clear" w:color="auto" w:fill="auto"/>
            <w:vAlign w:val="bottom"/>
          </w:tcPr>
          <w:p>
            <w:pPr>
              <w:widowControl/>
              <w:spacing w:line="240" w:lineRule="auto"/>
              <w:ind w:firstLine="0" w:firstLineChars="0"/>
              <w:jc w:val="center"/>
              <w:rPr>
                <w:rFonts w:ascii="宋体" w:hAnsi="宋体" w:eastAsia="宋体" w:cs="宋体"/>
                <w:color w:val="000000"/>
                <w:kern w:val="0"/>
                <w:sz w:val="24"/>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大肠埃希氏菌</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567" w:type="dxa"/>
            <w:shd w:val="clear" w:color="auto" w:fill="auto"/>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567" w:type="dxa"/>
            <w:shd w:val="clear" w:color="auto" w:fill="auto"/>
            <w:vAlign w:val="bottom"/>
          </w:tcPr>
          <w:p>
            <w:pPr>
              <w:widowControl/>
              <w:spacing w:line="240" w:lineRule="auto"/>
              <w:ind w:firstLine="0" w:firstLineChars="0"/>
              <w:jc w:val="center"/>
              <w:rPr>
                <w:rFonts w:ascii="宋体" w:hAnsi="宋体" w:eastAsia="宋体" w:cs="宋体"/>
                <w:color w:val="000000"/>
                <w:kern w:val="0"/>
                <w:sz w:val="24"/>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restart"/>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毒理指标</w:t>
            </w: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NO2-(以N计）</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＜0.0012</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0.0012</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0.0060869</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NO3-(以N计）</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7.3364</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8.5535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7.99353</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砷</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汞</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＜0.0001</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＜0.0001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＜0.0001</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镉</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铬（6价）</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铬（3价）</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铅</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0.005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硒</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氰化物</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氟化物（F-）</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0.1</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0.2</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＜0.25</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碘化物（I-）</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＜0.025</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＜0.025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567"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Cs w:val="28"/>
              </w:rPr>
              <w:t>Ⅰ</w:t>
            </w:r>
          </w:p>
        </w:tc>
      </w:tr>
    </w:tbl>
    <w:p>
      <w:pPr>
        <w:snapToGrid w:val="0"/>
        <w:ind w:firstLine="0" w:firstLineChars="0"/>
        <w:jc w:val="center"/>
        <w:rPr>
          <w:b/>
        </w:rPr>
      </w:pPr>
    </w:p>
    <w:p>
      <w:pPr>
        <w:snapToGrid w:val="0"/>
        <w:ind w:firstLine="0" w:firstLineChars="0"/>
        <w:jc w:val="center"/>
        <w:rPr>
          <w:b/>
        </w:rPr>
      </w:pPr>
      <w:r>
        <w:rPr>
          <w:rFonts w:hint="eastAsia"/>
          <w:b/>
        </w:rPr>
        <w:t>表2-4谢家店7-9号井地下水水质检测状况</w:t>
      </w:r>
    </w:p>
    <w:tbl>
      <w:tblPr>
        <w:tblStyle w:val="15"/>
        <w:tblW w:w="7840" w:type="dxa"/>
        <w:tblInd w:w="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5"/>
        <w:gridCol w:w="1562"/>
        <w:gridCol w:w="1146"/>
        <w:gridCol w:w="392"/>
        <w:gridCol w:w="1276"/>
        <w:gridCol w:w="567"/>
        <w:gridCol w:w="1275"/>
        <w:gridCol w:w="5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shd w:val="clear" w:color="auto" w:fill="auto"/>
            <w:noWrap/>
            <w:vAlign w:val="center"/>
          </w:tcPr>
          <w:p>
            <w:pPr>
              <w:widowControl/>
              <w:spacing w:line="240" w:lineRule="auto"/>
              <w:ind w:firstLine="440" w:firstLineChars="0"/>
              <w:jc w:val="center"/>
              <w:rPr>
                <w:rFonts w:ascii="宋体" w:hAnsi="宋体" w:eastAsia="宋体" w:cs="宋体"/>
                <w:color w:val="000000"/>
                <w:kern w:val="0"/>
                <w:sz w:val="24"/>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主要指标（mg/L）</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7#井</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类别</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8#井</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类别</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9#井</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ascii="宋体" w:hAnsi="宋体" w:eastAsia="宋体" w:cs="宋体"/>
                <w:color w:val="000000"/>
                <w:kern w:val="0"/>
                <w:sz w:val="24"/>
                <w:szCs w:val="28"/>
              </w:rPr>
              <w:t>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restart"/>
            <w:shd w:val="clear" w:color="auto" w:fill="auto"/>
            <w:noWrap/>
            <w:vAlign w:val="center"/>
          </w:tcPr>
          <w:p>
            <w:pPr>
              <w:spacing w:line="240" w:lineRule="auto"/>
              <w:ind w:firstLine="0" w:firstLineChars="0"/>
              <w:rPr>
                <w:rFonts w:ascii="宋体" w:hAnsi="宋体" w:eastAsia="宋体" w:cs="宋体"/>
                <w:color w:val="000000"/>
                <w:kern w:val="0"/>
                <w:sz w:val="24"/>
                <w:szCs w:val="28"/>
              </w:rPr>
            </w:pPr>
            <w:r>
              <w:rPr>
                <w:rFonts w:hint="eastAsia" w:ascii="宋体" w:hAnsi="宋体" w:eastAsia="宋体" w:cs="宋体"/>
                <w:color w:val="000000"/>
                <w:kern w:val="0"/>
                <w:sz w:val="24"/>
                <w:szCs w:val="28"/>
              </w:rPr>
              <w:t>一般化学指标</w:t>
            </w: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色（铂钴色度单位）</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＜5</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shd w:val="clear" w:color="auto" w:fill="auto"/>
            <w:noWrap/>
            <w:vAlign w:val="center"/>
          </w:tcPr>
          <w:p>
            <w:pPr>
              <w:spacing w:line="240" w:lineRule="auto"/>
              <w:ind w:firstLine="48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浑浊度（NTU-散射浊度单位）</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0.27</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0.21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0.18</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shd w:val="clear" w:color="auto" w:fill="auto"/>
            <w:noWrap/>
            <w:vAlign w:val="center"/>
          </w:tcPr>
          <w:p>
            <w:pPr>
              <w:spacing w:line="240" w:lineRule="auto"/>
              <w:ind w:firstLine="48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嗅和味</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shd w:val="clear" w:color="auto" w:fill="auto"/>
            <w:noWrap/>
            <w:vAlign w:val="center"/>
          </w:tcPr>
          <w:p>
            <w:pPr>
              <w:spacing w:line="240" w:lineRule="auto"/>
              <w:ind w:firstLine="48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肉眼可见物</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酚类</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＜0.002</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＜0.002</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＜0.002</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铁</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＜0.08</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＜0.08</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＜0.008</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铜</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锌</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＜0.045</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0.067</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锰</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0.008</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钠</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16.19</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17.1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氨氮（以N计）</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0.03108</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0.03108</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0.03108</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总硬度</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395.82</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394.3</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392.31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PH</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7.7</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7.9</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7.6</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COD</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0.8</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0.43</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0.32</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硫酸盐</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94.85</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122.11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110.73</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氯化物</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25.32</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27.14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21.71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restart"/>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微生物指标</w:t>
            </w: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总大肠菌群</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2</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3</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3</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菌落总数</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10</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12</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耐热大肠菌群</w:t>
            </w:r>
          </w:p>
        </w:tc>
        <w:tc>
          <w:tcPr>
            <w:tcW w:w="1146"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276"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567" w:type="dxa"/>
            <w:shd w:val="clear" w:color="auto" w:fill="auto"/>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275"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567" w:type="dxa"/>
            <w:shd w:val="clear" w:color="auto" w:fill="auto"/>
            <w:vAlign w:val="center"/>
          </w:tcPr>
          <w:p>
            <w:pPr>
              <w:widowControl/>
              <w:spacing w:line="240" w:lineRule="auto"/>
              <w:ind w:firstLine="0" w:firstLineChars="0"/>
              <w:jc w:val="center"/>
              <w:rPr>
                <w:rFonts w:ascii="宋体" w:hAnsi="宋体" w:eastAsia="宋体" w:cs="宋体"/>
                <w:color w:val="000000"/>
                <w:kern w:val="0"/>
                <w:sz w:val="24"/>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大肠埃希氏菌</w:t>
            </w:r>
          </w:p>
        </w:tc>
        <w:tc>
          <w:tcPr>
            <w:tcW w:w="1146"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276"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567" w:type="dxa"/>
            <w:shd w:val="clear" w:color="auto" w:fill="auto"/>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275" w:type="dxa"/>
            <w:vAlign w:val="bottom"/>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567" w:type="dxa"/>
            <w:shd w:val="clear" w:color="auto" w:fill="auto"/>
            <w:vAlign w:val="center"/>
          </w:tcPr>
          <w:p>
            <w:pPr>
              <w:widowControl/>
              <w:spacing w:line="240" w:lineRule="auto"/>
              <w:ind w:firstLine="0" w:firstLineChars="0"/>
              <w:jc w:val="center"/>
              <w:rPr>
                <w:rFonts w:ascii="宋体" w:hAnsi="宋体" w:eastAsia="宋体" w:cs="宋体"/>
                <w:color w:val="000000"/>
                <w:kern w:val="0"/>
                <w:sz w:val="24"/>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restart"/>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毒理指标</w:t>
            </w: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NO2-(以N计）</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0.00608</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＜0.0012</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0.00608</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NO3-(以N计）</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7.51</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9.9761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9.8428</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砷</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汞</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＜0.0001</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＜0.0001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＜0.0001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镉</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铬（6价）</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铬（3价）</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铅</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硒</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氰化物</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＜0.01</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＜0.004</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氟化物（F-）</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0.35</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0.3</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0.2</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055" w:type="dxa"/>
            <w:vMerge w:val="continue"/>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56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碘化物（I-）</w:t>
            </w:r>
          </w:p>
        </w:tc>
        <w:tc>
          <w:tcPr>
            <w:tcW w:w="114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＜0.025</w:t>
            </w:r>
          </w:p>
        </w:tc>
        <w:tc>
          <w:tcPr>
            <w:tcW w:w="392" w:type="dxa"/>
            <w:shd w:val="clear" w:color="auto" w:fill="auto"/>
            <w:noWrap/>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＜0.025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275"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＜0.025</w:t>
            </w:r>
          </w:p>
        </w:tc>
        <w:tc>
          <w:tcPr>
            <w:tcW w:w="567"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bl>
    <w:p>
      <w:pPr>
        <w:snapToGrid w:val="0"/>
        <w:ind w:firstLine="0" w:firstLineChars="0"/>
        <w:jc w:val="center"/>
        <w:rPr>
          <w:b/>
        </w:rPr>
      </w:pPr>
    </w:p>
    <w:p>
      <w:pPr>
        <w:snapToGrid w:val="0"/>
        <w:ind w:firstLine="0" w:firstLineChars="0"/>
        <w:jc w:val="center"/>
        <w:rPr>
          <w:b/>
        </w:rPr>
      </w:pPr>
      <w:r>
        <w:rPr>
          <w:rFonts w:hint="eastAsia"/>
          <w:b/>
        </w:rPr>
        <w:t>表2-5谢家店6、8月出厂水水质检测结果</w:t>
      </w:r>
    </w:p>
    <w:tbl>
      <w:tblPr>
        <w:tblStyle w:val="15"/>
        <w:tblW w:w="94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
        <w:gridCol w:w="1972"/>
        <w:gridCol w:w="1296"/>
        <w:gridCol w:w="1408"/>
        <w:gridCol w:w="456"/>
        <w:gridCol w:w="1538"/>
        <w:gridCol w:w="456"/>
        <w:gridCol w:w="1408"/>
        <w:gridCol w:w="4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序号</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检 测 项 目</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标 准 限 值</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2019.6.12检验结果</w:t>
            </w:r>
          </w:p>
        </w:tc>
        <w:tc>
          <w:tcPr>
            <w:tcW w:w="45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类别</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2019.6.27检验结果</w:t>
            </w:r>
          </w:p>
        </w:tc>
        <w:tc>
          <w:tcPr>
            <w:tcW w:w="45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类别</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2019.8.07检验结果</w:t>
            </w:r>
          </w:p>
        </w:tc>
        <w:tc>
          <w:tcPr>
            <w:tcW w:w="49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色（铂钴色度单位）</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15</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&lt;5</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&lt;5</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&lt;5</w:t>
            </w:r>
          </w:p>
        </w:tc>
        <w:tc>
          <w:tcPr>
            <w:tcW w:w="498"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2</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浑浊度（NTU-散射浊度单位）</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0.14</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0.18</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0.21</w:t>
            </w:r>
          </w:p>
        </w:tc>
        <w:tc>
          <w:tcPr>
            <w:tcW w:w="498"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3</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嗅和味</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无异臭异味</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无</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无</w:t>
            </w:r>
          </w:p>
        </w:tc>
        <w:tc>
          <w:tcPr>
            <w:tcW w:w="498"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4</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肉眼可见物</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无</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无</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无</w:t>
            </w:r>
          </w:p>
        </w:tc>
        <w:tc>
          <w:tcPr>
            <w:tcW w:w="498"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5</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PH</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6.5-8.5</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7.40</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7.42</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7.38</w:t>
            </w:r>
          </w:p>
        </w:tc>
        <w:tc>
          <w:tcPr>
            <w:tcW w:w="498"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6</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铁                          mg/L</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0.3</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＜0.100</w:t>
            </w:r>
          </w:p>
        </w:tc>
        <w:tc>
          <w:tcPr>
            <w:tcW w:w="45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w:t>
            </w:r>
            <w:r>
              <w:rPr>
                <w:rFonts w:hint="eastAsia" w:ascii="宋体" w:hAnsi="宋体"/>
                <w:sz w:val="24"/>
              </w:rPr>
              <w:t>0.100</w:t>
            </w:r>
          </w:p>
        </w:tc>
        <w:tc>
          <w:tcPr>
            <w:tcW w:w="45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w:t>
            </w:r>
            <w:r>
              <w:rPr>
                <w:rFonts w:hint="eastAsia" w:ascii="宋体" w:hAnsi="宋体"/>
                <w:sz w:val="24"/>
              </w:rPr>
              <w:t>0.100</w:t>
            </w:r>
          </w:p>
        </w:tc>
        <w:tc>
          <w:tcPr>
            <w:tcW w:w="49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7</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锰                          mg/L</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0.1</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＜0.05</w:t>
            </w:r>
          </w:p>
        </w:tc>
        <w:tc>
          <w:tcPr>
            <w:tcW w:w="45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w:t>
            </w:r>
            <w:r>
              <w:rPr>
                <w:rFonts w:hint="eastAsia" w:ascii="宋体" w:hAnsi="宋体"/>
                <w:sz w:val="24"/>
              </w:rPr>
              <w:t>0.05</w:t>
            </w:r>
          </w:p>
        </w:tc>
        <w:tc>
          <w:tcPr>
            <w:tcW w:w="45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w:t>
            </w:r>
            <w:r>
              <w:rPr>
                <w:rFonts w:hint="eastAsia" w:ascii="宋体" w:hAnsi="宋体"/>
                <w:sz w:val="24"/>
              </w:rPr>
              <w:t>0.05</w:t>
            </w:r>
          </w:p>
        </w:tc>
        <w:tc>
          <w:tcPr>
            <w:tcW w:w="49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8</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硫酸盐                      mg/L</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250</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99.5</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Ⅱ</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94.6</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Ⅱ</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89.7</w:t>
            </w:r>
          </w:p>
        </w:tc>
        <w:tc>
          <w:tcPr>
            <w:tcW w:w="498" w:type="dxa"/>
            <w:vAlign w:val="center"/>
          </w:tcPr>
          <w:p>
            <w:pPr>
              <w:widowControl/>
              <w:spacing w:line="240" w:lineRule="auto"/>
              <w:ind w:firstLine="0" w:firstLineChars="0"/>
              <w:jc w:val="center"/>
              <w:rPr>
                <w:rFonts w:ascii="宋体" w:hAnsi="宋体"/>
                <w:sz w:val="24"/>
              </w:rPr>
            </w:pPr>
            <w:r>
              <w:rPr>
                <w:rFonts w:hint="eastAsia"/>
                <w:color w:val="000000"/>
                <w:sz w:val="24"/>
                <w:szCs w:val="28"/>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9</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氯化物                      mg/L</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250</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21.6</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22.4</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21.4</w:t>
            </w:r>
          </w:p>
        </w:tc>
        <w:tc>
          <w:tcPr>
            <w:tcW w:w="498"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10</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铜                          mg/L</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1.0</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0.040</w:t>
            </w:r>
          </w:p>
        </w:tc>
        <w:tc>
          <w:tcPr>
            <w:tcW w:w="45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w:t>
            </w:r>
            <w:r>
              <w:rPr>
                <w:rFonts w:hint="eastAsia" w:ascii="宋体" w:hAnsi="宋体"/>
                <w:sz w:val="24"/>
              </w:rPr>
              <w:t>0.05</w:t>
            </w:r>
          </w:p>
        </w:tc>
        <w:tc>
          <w:tcPr>
            <w:tcW w:w="45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w:t>
            </w:r>
            <w:r>
              <w:rPr>
                <w:rFonts w:hint="eastAsia" w:ascii="宋体" w:hAnsi="宋体"/>
                <w:sz w:val="24"/>
              </w:rPr>
              <w:t>0.05</w:t>
            </w:r>
          </w:p>
        </w:tc>
        <w:tc>
          <w:tcPr>
            <w:tcW w:w="49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11</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锌                          mg/L</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1.0</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0.054</w:t>
            </w:r>
          </w:p>
        </w:tc>
        <w:tc>
          <w:tcPr>
            <w:tcW w:w="45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w:t>
            </w:r>
            <w:r>
              <w:rPr>
                <w:rFonts w:hint="eastAsia" w:ascii="宋体" w:hAnsi="宋体"/>
                <w:sz w:val="24"/>
              </w:rPr>
              <w:t>0.05</w:t>
            </w:r>
          </w:p>
        </w:tc>
        <w:tc>
          <w:tcPr>
            <w:tcW w:w="45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w:t>
            </w:r>
            <w:r>
              <w:rPr>
                <w:rFonts w:hint="eastAsia" w:ascii="宋体" w:hAnsi="宋体"/>
                <w:sz w:val="24"/>
              </w:rPr>
              <w:t>0.05</w:t>
            </w:r>
          </w:p>
        </w:tc>
        <w:tc>
          <w:tcPr>
            <w:tcW w:w="49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color w:val="000000"/>
                <w:sz w:val="24"/>
                <w:szCs w:val="28"/>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12</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氟化物                      mg/L</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1.0</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0.22</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0.19</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0.20</w:t>
            </w:r>
          </w:p>
        </w:tc>
        <w:tc>
          <w:tcPr>
            <w:tcW w:w="498"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13</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硝酸盐                      mg/L</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10</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5.99</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Ⅲ</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9.28</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Ⅲ</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8.70</w:t>
            </w:r>
          </w:p>
        </w:tc>
        <w:tc>
          <w:tcPr>
            <w:tcW w:w="498" w:type="dxa"/>
            <w:vAlign w:val="center"/>
          </w:tcPr>
          <w:p>
            <w:pPr>
              <w:widowControl/>
              <w:spacing w:line="240" w:lineRule="auto"/>
              <w:ind w:firstLine="0" w:firstLineChars="0"/>
              <w:jc w:val="center"/>
              <w:rPr>
                <w:rFonts w:ascii="宋体" w:hAnsi="宋体"/>
                <w:sz w:val="24"/>
              </w:rPr>
            </w:pPr>
            <w:r>
              <w:rPr>
                <w:rFonts w:hint="eastAsia"/>
                <w:color w:val="000000"/>
                <w:sz w:val="24"/>
                <w:szCs w:val="2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14</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菌落总数                  CFU/mL</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100</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0</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1</w:t>
            </w:r>
          </w:p>
        </w:tc>
        <w:tc>
          <w:tcPr>
            <w:tcW w:w="498"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15</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总大肠菌群             CFU/100mL</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不得检出</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未检出</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未检出</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未检出</w:t>
            </w:r>
          </w:p>
        </w:tc>
        <w:tc>
          <w:tcPr>
            <w:tcW w:w="498"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16</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铬(六价)                     mg/L</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0.05</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&lt;0.004</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&lt;0.004</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&lt;0.004</w:t>
            </w:r>
          </w:p>
        </w:tc>
        <w:tc>
          <w:tcPr>
            <w:tcW w:w="498"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17</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汞                          mg/L</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0.001</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&lt;0.00007</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&lt;0.00007</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&lt;0.00007</w:t>
            </w:r>
          </w:p>
        </w:tc>
        <w:tc>
          <w:tcPr>
            <w:tcW w:w="498"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18</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二氧化氯                   mg/L</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在与水接触30min后出厂水中余量不高于0.8mg/L，不低于0.1 mg/L，管网末梢水中余量≥0.02mg/L</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0.17</w:t>
            </w:r>
          </w:p>
        </w:tc>
        <w:tc>
          <w:tcPr>
            <w:tcW w:w="456" w:type="dxa"/>
            <w:vAlign w:val="center"/>
          </w:tcPr>
          <w:p>
            <w:pPr>
              <w:widowControl/>
              <w:spacing w:line="240" w:lineRule="auto"/>
              <w:ind w:firstLine="0" w:firstLineChars="0"/>
              <w:jc w:val="center"/>
              <w:rPr>
                <w:rFonts w:ascii="宋体" w:hAnsi="宋体"/>
                <w:sz w:val="24"/>
              </w:rPr>
            </w:pP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0.20</w:t>
            </w:r>
          </w:p>
        </w:tc>
        <w:tc>
          <w:tcPr>
            <w:tcW w:w="456" w:type="dxa"/>
            <w:vAlign w:val="center"/>
          </w:tcPr>
          <w:p>
            <w:pPr>
              <w:widowControl/>
              <w:spacing w:line="240" w:lineRule="auto"/>
              <w:ind w:firstLine="0" w:firstLineChars="0"/>
              <w:jc w:val="center"/>
              <w:rPr>
                <w:rFonts w:ascii="宋体" w:hAnsi="宋体"/>
                <w:sz w:val="24"/>
              </w:rPr>
            </w:pP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0.08</w:t>
            </w:r>
          </w:p>
        </w:tc>
        <w:tc>
          <w:tcPr>
            <w:tcW w:w="498" w:type="dxa"/>
            <w:vAlign w:val="center"/>
          </w:tcPr>
          <w:p>
            <w:pPr>
              <w:widowControl/>
              <w:spacing w:line="240" w:lineRule="auto"/>
              <w:ind w:firstLine="0" w:firstLineChars="0"/>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19</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总硬度                      mg/L</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450</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375</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Ⅲ</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362</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Ⅲ</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341</w:t>
            </w:r>
          </w:p>
        </w:tc>
        <w:tc>
          <w:tcPr>
            <w:tcW w:w="498" w:type="dxa"/>
            <w:vAlign w:val="center"/>
          </w:tcPr>
          <w:p>
            <w:pPr>
              <w:widowControl/>
              <w:spacing w:line="240" w:lineRule="auto"/>
              <w:ind w:firstLine="0" w:firstLineChars="0"/>
              <w:jc w:val="center"/>
              <w:rPr>
                <w:rFonts w:ascii="宋体" w:hAnsi="宋体"/>
                <w:sz w:val="24"/>
              </w:rPr>
            </w:pPr>
            <w:r>
              <w:rPr>
                <w:rFonts w:hint="eastAsia"/>
                <w:color w:val="000000"/>
                <w:sz w:val="24"/>
                <w:szCs w:val="2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20</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耗氧量（COD Mn法，以O2计） mg/L</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3</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0.8</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0.7</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0.9</w:t>
            </w:r>
          </w:p>
        </w:tc>
        <w:tc>
          <w:tcPr>
            <w:tcW w:w="498"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21</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亚硝酸盐氮（以N计）        mg/L</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1</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&lt;0.001</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&lt;0.001</w:t>
            </w:r>
          </w:p>
        </w:tc>
        <w:tc>
          <w:tcPr>
            <w:tcW w:w="456"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&lt;0.001</w:t>
            </w:r>
          </w:p>
        </w:tc>
        <w:tc>
          <w:tcPr>
            <w:tcW w:w="498" w:type="dxa"/>
            <w:vAlign w:val="center"/>
          </w:tcPr>
          <w:p>
            <w:pPr>
              <w:widowControl/>
              <w:spacing w:line="240" w:lineRule="auto"/>
              <w:ind w:firstLine="0" w:firstLineChars="0"/>
              <w:jc w:val="center"/>
              <w:rPr>
                <w:rFonts w:ascii="宋体" w:hAnsi="宋体"/>
                <w:sz w:val="24"/>
              </w:rPr>
            </w:pPr>
            <w:r>
              <w:rPr>
                <w:rFonts w:hint="eastAsia"/>
                <w:color w:val="000000"/>
                <w:sz w:val="24"/>
                <w:szCs w:val="28"/>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22</w:t>
            </w:r>
          </w:p>
        </w:tc>
        <w:tc>
          <w:tcPr>
            <w:tcW w:w="1972"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电导率                     µs/cm</w:t>
            </w:r>
          </w:p>
        </w:tc>
        <w:tc>
          <w:tcPr>
            <w:tcW w:w="1296" w:type="dxa"/>
            <w:vAlign w:val="center"/>
          </w:tcPr>
          <w:p>
            <w:pPr>
              <w:widowControl/>
              <w:spacing w:line="240" w:lineRule="auto"/>
              <w:ind w:firstLine="0" w:firstLineChars="0"/>
              <w:jc w:val="center"/>
              <w:rPr>
                <w:rFonts w:ascii="宋体" w:hAnsi="宋体" w:eastAsia="宋体" w:cs="宋体"/>
                <w:color w:val="000000"/>
                <w:kern w:val="0"/>
                <w:sz w:val="24"/>
                <w:szCs w:val="28"/>
              </w:rPr>
            </w:pP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eastAsia="宋体" w:cs="宋体"/>
                <w:color w:val="000000"/>
                <w:kern w:val="0"/>
                <w:sz w:val="24"/>
                <w:szCs w:val="28"/>
              </w:rPr>
              <w:t>597</w:t>
            </w:r>
          </w:p>
        </w:tc>
        <w:tc>
          <w:tcPr>
            <w:tcW w:w="456" w:type="dxa"/>
            <w:vAlign w:val="center"/>
          </w:tcPr>
          <w:p>
            <w:pPr>
              <w:widowControl/>
              <w:spacing w:line="240" w:lineRule="auto"/>
              <w:ind w:firstLine="0" w:firstLineChars="0"/>
              <w:jc w:val="center"/>
              <w:rPr>
                <w:rFonts w:ascii="宋体" w:hAnsi="宋体"/>
                <w:sz w:val="24"/>
              </w:rPr>
            </w:pPr>
          </w:p>
        </w:tc>
        <w:tc>
          <w:tcPr>
            <w:tcW w:w="153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582</w:t>
            </w:r>
          </w:p>
        </w:tc>
        <w:tc>
          <w:tcPr>
            <w:tcW w:w="456" w:type="dxa"/>
            <w:vAlign w:val="center"/>
          </w:tcPr>
          <w:p>
            <w:pPr>
              <w:widowControl/>
              <w:spacing w:line="240" w:lineRule="auto"/>
              <w:ind w:firstLine="0" w:firstLineChars="0"/>
              <w:jc w:val="center"/>
              <w:rPr>
                <w:rFonts w:ascii="宋体" w:hAnsi="宋体"/>
                <w:sz w:val="24"/>
              </w:rPr>
            </w:pPr>
          </w:p>
        </w:tc>
        <w:tc>
          <w:tcPr>
            <w:tcW w:w="1408" w:type="dxa"/>
            <w:vAlign w:val="center"/>
          </w:tcPr>
          <w:p>
            <w:pPr>
              <w:widowControl/>
              <w:spacing w:line="240" w:lineRule="auto"/>
              <w:ind w:firstLine="0" w:firstLineChars="0"/>
              <w:jc w:val="center"/>
              <w:rPr>
                <w:rFonts w:ascii="宋体" w:hAnsi="宋体" w:eastAsia="宋体" w:cs="宋体"/>
                <w:color w:val="000000"/>
                <w:kern w:val="0"/>
                <w:sz w:val="24"/>
                <w:szCs w:val="28"/>
              </w:rPr>
            </w:pPr>
            <w:r>
              <w:rPr>
                <w:rFonts w:hint="eastAsia" w:ascii="宋体" w:hAnsi="宋体"/>
                <w:sz w:val="24"/>
              </w:rPr>
              <w:t>593</w:t>
            </w:r>
          </w:p>
        </w:tc>
        <w:tc>
          <w:tcPr>
            <w:tcW w:w="498" w:type="dxa"/>
            <w:vAlign w:val="center"/>
          </w:tcPr>
          <w:p>
            <w:pPr>
              <w:widowControl/>
              <w:spacing w:line="240" w:lineRule="auto"/>
              <w:ind w:firstLine="0" w:firstLineChars="0"/>
              <w:jc w:val="center"/>
              <w:rPr>
                <w:rFonts w:ascii="宋体" w:hAnsi="宋体"/>
                <w:sz w:val="24"/>
              </w:rPr>
            </w:pPr>
          </w:p>
        </w:tc>
      </w:tr>
    </w:tbl>
    <w:p>
      <w:pPr>
        <w:spacing w:line="240" w:lineRule="auto"/>
        <w:ind w:firstLine="0" w:firstLineChars="0"/>
        <w:rPr>
          <w:rFonts w:ascii="宋体" w:hAnsi="宋体" w:eastAsia="宋体"/>
          <w:sz w:val="24"/>
          <w:szCs w:val="24"/>
        </w:rPr>
      </w:pPr>
      <w:r>
        <w:rPr>
          <w:sz w:val="20"/>
        </w:rPr>
        <w:drawing>
          <wp:inline distT="0" distB="0" distL="0" distR="0">
            <wp:extent cx="5274310" cy="7118985"/>
            <wp:effectExtent l="0" t="0" r="2540" b="5715"/>
            <wp:docPr id="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jpeg"/>
                    <pic:cNvPicPr>
                      <a:picLocks noChangeAspect="1"/>
                    </pic:cNvPicPr>
                  </pic:nvPicPr>
                  <pic:blipFill>
                    <a:blip r:embed="rId22" cstate="print"/>
                    <a:stretch>
                      <a:fillRect/>
                    </a:stretch>
                  </pic:blipFill>
                  <pic:spPr>
                    <a:xfrm>
                      <a:off x="0" y="0"/>
                      <a:ext cx="5274310" cy="7119267"/>
                    </a:xfrm>
                    <a:prstGeom prst="rect">
                      <a:avLst/>
                    </a:prstGeom>
                  </pic:spPr>
                </pic:pic>
              </a:graphicData>
            </a:graphic>
          </wp:inline>
        </w:drawing>
      </w:r>
    </w:p>
    <w:p>
      <w:pPr>
        <w:spacing w:line="240" w:lineRule="auto"/>
        <w:ind w:firstLine="0" w:firstLineChars="0"/>
        <w:rPr>
          <w:rFonts w:ascii="宋体" w:hAnsi="宋体" w:eastAsia="宋体"/>
          <w:sz w:val="24"/>
          <w:szCs w:val="24"/>
        </w:rPr>
      </w:pPr>
      <w:r>
        <w:rPr>
          <w:sz w:val="20"/>
        </w:rPr>
        <w:drawing>
          <wp:inline distT="0" distB="0" distL="0" distR="0">
            <wp:extent cx="5274310" cy="8205470"/>
            <wp:effectExtent l="0" t="0" r="2540" b="5080"/>
            <wp:docPr id="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jpeg"/>
                    <pic:cNvPicPr>
                      <a:picLocks noChangeAspect="1"/>
                    </pic:cNvPicPr>
                  </pic:nvPicPr>
                  <pic:blipFill>
                    <a:blip r:embed="rId23" cstate="print"/>
                    <a:stretch>
                      <a:fillRect/>
                    </a:stretch>
                  </pic:blipFill>
                  <pic:spPr>
                    <a:xfrm>
                      <a:off x="0" y="0"/>
                      <a:ext cx="5274310" cy="8205744"/>
                    </a:xfrm>
                    <a:prstGeom prst="rect">
                      <a:avLst/>
                    </a:prstGeom>
                  </pic:spPr>
                </pic:pic>
              </a:graphicData>
            </a:graphic>
          </wp:inline>
        </w:drawing>
      </w:r>
    </w:p>
    <w:p>
      <w:pPr>
        <w:spacing w:line="240" w:lineRule="auto"/>
        <w:ind w:firstLine="0" w:firstLineChars="0"/>
        <w:jc w:val="center"/>
        <w:rPr>
          <w:rFonts w:ascii="宋体" w:hAnsi="宋体" w:eastAsia="宋体"/>
          <w:sz w:val="24"/>
          <w:szCs w:val="24"/>
        </w:rPr>
      </w:pPr>
      <w:r>
        <w:rPr>
          <w:rFonts w:hint="eastAsia" w:ascii="宋体" w:hAnsi="宋体" w:eastAsia="宋体"/>
          <w:sz w:val="24"/>
          <w:szCs w:val="24"/>
        </w:rPr>
        <w:t>图2-6</w:t>
      </w:r>
      <w:r>
        <w:rPr>
          <w:rFonts w:ascii="宋体" w:hAnsi="宋体" w:eastAsia="宋体"/>
          <w:sz w:val="24"/>
          <w:szCs w:val="24"/>
        </w:rPr>
        <w:t xml:space="preserve"> </w:t>
      </w:r>
      <w:r>
        <w:rPr>
          <w:rFonts w:hint="eastAsia" w:ascii="宋体" w:hAnsi="宋体" w:eastAsia="宋体"/>
          <w:sz w:val="24"/>
          <w:szCs w:val="24"/>
        </w:rPr>
        <w:t>淄博安瑞水质检测报告</w:t>
      </w:r>
    </w:p>
    <w:p>
      <w:pPr>
        <w:pStyle w:val="27"/>
      </w:pPr>
      <w:bookmarkStart w:id="42" w:name="_Toc35526462"/>
      <w:r>
        <w:rPr>
          <w:rFonts w:hint="eastAsia"/>
        </w:rPr>
        <w:t>污染源调查</w:t>
      </w:r>
      <w:bookmarkEnd w:id="42"/>
    </w:p>
    <w:p>
      <w:pPr>
        <w:ind w:firstLine="560"/>
        <w:rPr>
          <w:rFonts w:ascii="Times New Roman" w:hAnsi="Times New Roman"/>
        </w:rPr>
      </w:pPr>
      <w:r>
        <w:rPr>
          <w:rFonts w:hint="eastAsia" w:ascii="Times New Roman" w:hAnsi="Times New Roman"/>
        </w:rPr>
        <w:t>根据调查，谢家店地区污染源、污染物较少，所在区域无工业污水排放口，无垃圾填埋场、垃圾转运站、垃圾堆存点、矿山开发等典型污染源。主要存在污染源为个体农家乐餐馆、农业污染源及农村生活污染源，分布较为零散，且规模不大。</w:t>
      </w:r>
    </w:p>
    <w:p>
      <w:pPr>
        <w:ind w:firstLine="560"/>
        <w:rPr>
          <w:rFonts w:ascii="Times New Roman" w:hAnsi="Times New Roman"/>
        </w:rPr>
      </w:pPr>
      <w:r>
        <w:rPr>
          <w:rFonts w:hint="eastAsia" w:ascii="Times New Roman" w:hAnsi="Times New Roman"/>
        </w:rPr>
        <w:t>1．个体农家乐餐馆</w:t>
      </w:r>
    </w:p>
    <w:p>
      <w:pPr>
        <w:ind w:firstLine="560"/>
        <w:rPr>
          <w:rFonts w:ascii="Times New Roman" w:hAnsi="Times New Roman"/>
        </w:rPr>
      </w:pPr>
      <w:r>
        <w:rPr>
          <w:rFonts w:hint="eastAsia" w:ascii="Times New Roman" w:hAnsi="Times New Roman"/>
        </w:rPr>
        <w:t>根据调查，水源地周边分布着少量个体农家乐餐馆，其中谢家店村1家、盆泉村1家、王家庄村3家。由于规模小，废水排放量少，对水源地的影响小。个体农家乐餐馆污染物产生情况见表</w:t>
      </w:r>
      <w:r>
        <w:rPr>
          <w:rFonts w:ascii="Times New Roman" w:hAnsi="Times New Roman"/>
        </w:rPr>
        <w:t xml:space="preserve"> 2.</w:t>
      </w:r>
      <w:r>
        <w:rPr>
          <w:rFonts w:hint="eastAsia" w:ascii="Times New Roman" w:hAnsi="Times New Roman"/>
        </w:rPr>
        <w:t>6。</w:t>
      </w:r>
    </w:p>
    <w:p>
      <w:pPr>
        <w:ind w:firstLine="560"/>
        <w:jc w:val="center"/>
      </w:pPr>
      <w:r>
        <w:t xml:space="preserve">表 </w:t>
      </w:r>
      <w:r>
        <w:rPr>
          <w:rFonts w:ascii="Times New Roman" w:eastAsia="Times New Roman"/>
        </w:rPr>
        <w:t>2.</w:t>
      </w:r>
      <w:r>
        <w:rPr>
          <w:rFonts w:hint="eastAsia" w:asciiTheme="minorEastAsia" w:hAnsiTheme="minorEastAsia" w:eastAsiaTheme="minorEastAsia"/>
        </w:rPr>
        <w:t>6</w:t>
      </w:r>
      <w:r>
        <w:rPr>
          <w:rFonts w:hint="eastAsia" w:ascii="Times New Roman" w:hAnsi="Times New Roman"/>
        </w:rPr>
        <w:t>个体农家乐餐馆</w:t>
      </w:r>
      <w:r>
        <w:t>污染源一览表</w:t>
      </w:r>
    </w:p>
    <w:tbl>
      <w:tblPr>
        <w:tblStyle w:val="15"/>
        <w:tblW w:w="7885" w:type="dxa"/>
        <w:jc w:val="center"/>
        <w:tblLayout w:type="autofit"/>
        <w:tblCellMar>
          <w:top w:w="0" w:type="dxa"/>
          <w:left w:w="108" w:type="dxa"/>
          <w:bottom w:w="0" w:type="dxa"/>
          <w:right w:w="108" w:type="dxa"/>
        </w:tblCellMar>
      </w:tblPr>
      <w:tblGrid>
        <w:gridCol w:w="1413"/>
        <w:gridCol w:w="1134"/>
        <w:gridCol w:w="693"/>
        <w:gridCol w:w="1717"/>
        <w:gridCol w:w="1559"/>
        <w:gridCol w:w="1369"/>
      </w:tblGrid>
      <w:tr>
        <w:tblPrEx>
          <w:tblCellMar>
            <w:top w:w="0" w:type="dxa"/>
            <w:left w:w="108" w:type="dxa"/>
            <w:bottom w:w="0" w:type="dxa"/>
            <w:right w:w="108" w:type="dxa"/>
          </w:tblCellMar>
        </w:tblPrEx>
        <w:trPr>
          <w:trHeight w:val="600" w:hRule="atLeast"/>
          <w:jc w:val="center"/>
        </w:trPr>
        <w:tc>
          <w:tcPr>
            <w:tcW w:w="1413" w:type="dxa"/>
            <w:vMerge w:val="restart"/>
            <w:tcBorders>
              <w:top w:val="single" w:color="auto" w:sz="4" w:space="0"/>
              <w:left w:val="single" w:color="auto" w:sz="4" w:space="0"/>
              <w:bottom w:val="single" w:color="000000"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b/>
                <w:bCs/>
                <w:color w:val="000000"/>
                <w:kern w:val="0"/>
                <w:sz w:val="22"/>
              </w:rPr>
            </w:pPr>
            <w:r>
              <w:rPr>
                <w:rFonts w:hint="eastAsia" w:ascii="等线" w:hAnsi="等线" w:eastAsia="等线" w:cs="宋体"/>
                <w:b/>
                <w:bCs/>
                <w:color w:val="000000"/>
                <w:kern w:val="0"/>
                <w:sz w:val="22"/>
              </w:rPr>
              <w:t>类型</w:t>
            </w:r>
          </w:p>
        </w:tc>
        <w:tc>
          <w:tcPr>
            <w:tcW w:w="1134" w:type="dxa"/>
            <w:vMerge w:val="restart"/>
            <w:tcBorders>
              <w:top w:val="single" w:color="auto" w:sz="4" w:space="0"/>
              <w:left w:val="single" w:color="auto" w:sz="4" w:space="0"/>
              <w:bottom w:val="single" w:color="000000"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b/>
                <w:bCs/>
                <w:color w:val="000000"/>
                <w:kern w:val="0"/>
                <w:sz w:val="22"/>
              </w:rPr>
            </w:pPr>
            <w:r>
              <w:rPr>
                <w:rFonts w:hint="eastAsia" w:ascii="等线" w:hAnsi="等线" w:eastAsia="等线" w:cs="宋体"/>
                <w:b/>
                <w:bCs/>
                <w:color w:val="000000"/>
                <w:kern w:val="0"/>
                <w:sz w:val="22"/>
              </w:rPr>
              <w:t>村庄</w:t>
            </w:r>
          </w:p>
        </w:tc>
        <w:tc>
          <w:tcPr>
            <w:tcW w:w="693" w:type="dxa"/>
            <w:vMerge w:val="restart"/>
            <w:tcBorders>
              <w:top w:val="single" w:color="auto" w:sz="4" w:space="0"/>
              <w:left w:val="single" w:color="auto" w:sz="4" w:space="0"/>
              <w:bottom w:val="single" w:color="000000"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b/>
                <w:bCs/>
                <w:color w:val="000000"/>
                <w:kern w:val="0"/>
                <w:sz w:val="22"/>
              </w:rPr>
            </w:pPr>
            <w:r>
              <w:rPr>
                <w:rFonts w:hint="eastAsia" w:ascii="等线" w:hAnsi="等线" w:eastAsia="等线" w:cs="宋体"/>
                <w:b/>
                <w:bCs/>
                <w:color w:val="000000"/>
                <w:kern w:val="0"/>
                <w:sz w:val="22"/>
              </w:rPr>
              <w:t>数量</w:t>
            </w:r>
          </w:p>
        </w:tc>
        <w:tc>
          <w:tcPr>
            <w:tcW w:w="4645" w:type="dxa"/>
            <w:gridSpan w:val="3"/>
            <w:tcBorders>
              <w:top w:val="single" w:color="auto" w:sz="4" w:space="0"/>
              <w:left w:val="nil"/>
              <w:bottom w:val="single" w:color="auto" w:sz="4" w:space="0"/>
              <w:right w:val="single" w:color="000000" w:sz="4" w:space="0"/>
            </w:tcBorders>
            <w:shd w:val="clear" w:color="auto" w:fill="auto"/>
            <w:noWrap/>
            <w:vAlign w:val="center"/>
          </w:tcPr>
          <w:p>
            <w:pPr>
              <w:widowControl/>
              <w:spacing w:line="240" w:lineRule="auto"/>
              <w:ind w:firstLine="0" w:firstLineChars="0"/>
              <w:jc w:val="center"/>
              <w:rPr>
                <w:rFonts w:ascii="等线" w:hAnsi="等线" w:eastAsia="等线" w:cs="宋体"/>
                <w:b/>
                <w:bCs/>
                <w:color w:val="000000"/>
                <w:kern w:val="0"/>
                <w:sz w:val="22"/>
              </w:rPr>
            </w:pPr>
            <w:r>
              <w:rPr>
                <w:rFonts w:hint="eastAsia" w:ascii="等线" w:hAnsi="等线" w:eastAsia="等线" w:cs="宋体"/>
                <w:b/>
                <w:bCs/>
                <w:color w:val="000000"/>
                <w:kern w:val="0"/>
                <w:sz w:val="22"/>
              </w:rPr>
              <w:t>废水排放量污染物排放量（t/a）</w:t>
            </w:r>
          </w:p>
        </w:tc>
      </w:tr>
      <w:tr>
        <w:tblPrEx>
          <w:tblCellMar>
            <w:top w:w="0" w:type="dxa"/>
            <w:left w:w="108" w:type="dxa"/>
            <w:bottom w:w="0" w:type="dxa"/>
            <w:right w:w="108" w:type="dxa"/>
          </w:tblCellMar>
        </w:tblPrEx>
        <w:trPr>
          <w:trHeight w:val="315" w:hRule="atLeast"/>
          <w:jc w:val="center"/>
        </w:trPr>
        <w:tc>
          <w:tcPr>
            <w:tcW w:w="1413" w:type="dxa"/>
            <w:vMerge w:val="continue"/>
            <w:tcBorders>
              <w:top w:val="single" w:color="auto" w:sz="4" w:space="0"/>
              <w:left w:val="single" w:color="auto" w:sz="4" w:space="0"/>
              <w:bottom w:val="single" w:color="000000" w:sz="4" w:space="0"/>
              <w:right w:val="single" w:color="auto" w:sz="4" w:space="0"/>
            </w:tcBorders>
            <w:vAlign w:val="center"/>
          </w:tcPr>
          <w:p>
            <w:pPr>
              <w:widowControl/>
              <w:spacing w:line="240" w:lineRule="auto"/>
              <w:ind w:firstLine="0" w:firstLineChars="0"/>
              <w:jc w:val="left"/>
              <w:rPr>
                <w:rFonts w:ascii="等线" w:hAnsi="等线" w:eastAsia="等线" w:cs="宋体"/>
                <w:b/>
                <w:bCs/>
                <w:color w:val="000000"/>
                <w:kern w:val="0"/>
                <w:sz w:val="22"/>
              </w:rPr>
            </w:pPr>
          </w:p>
        </w:tc>
        <w:tc>
          <w:tcPr>
            <w:tcW w:w="1134" w:type="dxa"/>
            <w:vMerge w:val="continue"/>
            <w:tcBorders>
              <w:top w:val="single" w:color="auto" w:sz="4" w:space="0"/>
              <w:left w:val="single" w:color="auto" w:sz="4" w:space="0"/>
              <w:bottom w:val="single" w:color="000000" w:sz="4" w:space="0"/>
              <w:right w:val="single" w:color="auto" w:sz="4" w:space="0"/>
            </w:tcBorders>
            <w:vAlign w:val="center"/>
          </w:tcPr>
          <w:p>
            <w:pPr>
              <w:widowControl/>
              <w:spacing w:line="240" w:lineRule="auto"/>
              <w:ind w:firstLine="0" w:firstLineChars="0"/>
              <w:jc w:val="left"/>
              <w:rPr>
                <w:rFonts w:ascii="等线" w:hAnsi="等线" w:eastAsia="等线" w:cs="宋体"/>
                <w:b/>
                <w:bCs/>
                <w:color w:val="000000"/>
                <w:kern w:val="0"/>
                <w:sz w:val="22"/>
              </w:rPr>
            </w:pPr>
          </w:p>
        </w:tc>
        <w:tc>
          <w:tcPr>
            <w:tcW w:w="693" w:type="dxa"/>
            <w:vMerge w:val="continue"/>
            <w:tcBorders>
              <w:top w:val="single" w:color="auto" w:sz="4" w:space="0"/>
              <w:left w:val="single" w:color="auto" w:sz="4" w:space="0"/>
              <w:bottom w:val="single" w:color="000000" w:sz="4" w:space="0"/>
              <w:right w:val="single" w:color="auto" w:sz="4" w:space="0"/>
            </w:tcBorders>
            <w:vAlign w:val="center"/>
          </w:tcPr>
          <w:p>
            <w:pPr>
              <w:widowControl/>
              <w:spacing w:line="240" w:lineRule="auto"/>
              <w:ind w:firstLine="0" w:firstLineChars="0"/>
              <w:jc w:val="left"/>
              <w:rPr>
                <w:rFonts w:ascii="等线" w:hAnsi="等线" w:eastAsia="等线" w:cs="宋体"/>
                <w:b/>
                <w:bCs/>
                <w:color w:val="000000"/>
                <w:kern w:val="0"/>
                <w:sz w:val="22"/>
              </w:rPr>
            </w:pPr>
          </w:p>
        </w:tc>
        <w:tc>
          <w:tcPr>
            <w:tcW w:w="171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b/>
                <w:bCs/>
                <w:color w:val="000000"/>
                <w:kern w:val="0"/>
                <w:sz w:val="22"/>
              </w:rPr>
            </w:pPr>
            <w:r>
              <w:rPr>
                <w:rFonts w:hint="eastAsia" w:ascii="等线" w:hAnsi="等线" w:eastAsia="等线" w:cs="宋体"/>
                <w:b/>
                <w:bCs/>
                <w:color w:val="000000"/>
                <w:kern w:val="0"/>
                <w:sz w:val="22"/>
              </w:rPr>
              <w:t>（</w:t>
            </w:r>
            <w:r>
              <w:rPr>
                <w:rFonts w:ascii="Times New Roman" w:hAnsi="Times New Roman" w:eastAsia="等线"/>
                <w:b/>
                <w:bCs/>
                <w:color w:val="000000"/>
                <w:kern w:val="0"/>
                <w:sz w:val="24"/>
                <w:szCs w:val="24"/>
              </w:rPr>
              <w:t>t/a</w:t>
            </w:r>
            <w:r>
              <w:rPr>
                <w:rFonts w:hint="eastAsia" w:ascii="宋体" w:hAnsi="宋体" w:eastAsia="宋体" w:cs="宋体"/>
                <w:b/>
                <w:bCs/>
                <w:color w:val="000000"/>
                <w:kern w:val="0"/>
                <w:sz w:val="24"/>
                <w:szCs w:val="24"/>
              </w:rPr>
              <w:t>）</w:t>
            </w:r>
          </w:p>
        </w:tc>
        <w:tc>
          <w:tcPr>
            <w:tcW w:w="1559"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b/>
                <w:bCs/>
                <w:color w:val="000000"/>
                <w:kern w:val="0"/>
                <w:sz w:val="22"/>
              </w:rPr>
            </w:pPr>
            <w:r>
              <w:rPr>
                <w:rFonts w:hint="eastAsia" w:ascii="等线" w:hAnsi="等线" w:eastAsia="等线" w:cs="宋体"/>
                <w:b/>
                <w:bCs/>
                <w:color w:val="000000"/>
                <w:kern w:val="0"/>
                <w:sz w:val="22"/>
              </w:rPr>
              <w:t>COD</w:t>
            </w:r>
          </w:p>
        </w:tc>
        <w:tc>
          <w:tcPr>
            <w:tcW w:w="1369"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b/>
                <w:bCs/>
                <w:color w:val="000000"/>
                <w:kern w:val="0"/>
                <w:sz w:val="22"/>
              </w:rPr>
            </w:pPr>
            <w:r>
              <w:rPr>
                <w:rFonts w:hint="eastAsia" w:ascii="等线" w:hAnsi="等线" w:eastAsia="等线" w:cs="宋体"/>
                <w:b/>
                <w:bCs/>
                <w:color w:val="000000"/>
                <w:kern w:val="0"/>
                <w:sz w:val="22"/>
              </w:rPr>
              <w:t>NH</w:t>
            </w:r>
            <w:r>
              <w:rPr>
                <w:rFonts w:ascii="Times New Roman" w:hAnsi="Times New Roman" w:eastAsia="等线"/>
                <w:b/>
                <w:bCs/>
                <w:color w:val="000000"/>
                <w:kern w:val="0"/>
                <w:sz w:val="16"/>
                <w:szCs w:val="16"/>
              </w:rPr>
              <w:t>3</w:t>
            </w:r>
            <w:r>
              <w:rPr>
                <w:rFonts w:ascii="Times New Roman" w:hAnsi="Times New Roman" w:eastAsia="等线"/>
                <w:b/>
                <w:bCs/>
                <w:color w:val="000000"/>
                <w:kern w:val="0"/>
                <w:sz w:val="24"/>
                <w:szCs w:val="24"/>
              </w:rPr>
              <w:t>-N</w:t>
            </w:r>
          </w:p>
        </w:tc>
      </w:tr>
      <w:tr>
        <w:tblPrEx>
          <w:tblCellMar>
            <w:top w:w="0" w:type="dxa"/>
            <w:left w:w="108" w:type="dxa"/>
            <w:bottom w:w="0" w:type="dxa"/>
            <w:right w:w="108" w:type="dxa"/>
          </w:tblCellMar>
        </w:tblPrEx>
        <w:trPr>
          <w:trHeight w:val="300" w:hRule="atLeast"/>
          <w:jc w:val="center"/>
        </w:trPr>
        <w:tc>
          <w:tcPr>
            <w:tcW w:w="1413" w:type="dxa"/>
            <w:vMerge w:val="restart"/>
            <w:tcBorders>
              <w:top w:val="nil"/>
              <w:left w:val="single" w:color="auto" w:sz="4" w:space="0"/>
              <w:bottom w:val="single" w:color="000000" w:sz="4" w:space="0"/>
              <w:right w:val="single" w:color="auto" w:sz="4" w:space="0"/>
            </w:tcBorders>
            <w:shd w:val="clear" w:color="auto" w:fill="auto"/>
            <w:noWrap/>
            <w:vAlign w:val="center"/>
          </w:tcPr>
          <w:p>
            <w:pPr>
              <w:widowControl/>
              <w:spacing w:line="240" w:lineRule="auto"/>
              <w:ind w:firstLine="0" w:firstLineChars="0"/>
              <w:rPr>
                <w:rFonts w:ascii="等线" w:hAnsi="等线" w:eastAsia="等线" w:cs="宋体"/>
                <w:color w:val="000000"/>
                <w:kern w:val="0"/>
                <w:sz w:val="22"/>
              </w:rPr>
            </w:pPr>
            <w:r>
              <w:rPr>
                <w:rFonts w:hint="eastAsia" w:ascii="等线" w:hAnsi="等线" w:eastAsia="等线" w:cs="宋体"/>
                <w:color w:val="000000"/>
                <w:kern w:val="0"/>
                <w:sz w:val="22"/>
              </w:rPr>
              <w:t>点源（餐饮）</w:t>
            </w:r>
          </w:p>
        </w:tc>
        <w:tc>
          <w:tcPr>
            <w:tcW w:w="1134"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谢家店村</w:t>
            </w:r>
          </w:p>
        </w:tc>
        <w:tc>
          <w:tcPr>
            <w:tcW w:w="69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1</w:t>
            </w:r>
          </w:p>
        </w:tc>
        <w:tc>
          <w:tcPr>
            <w:tcW w:w="171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219</w:t>
            </w:r>
          </w:p>
        </w:tc>
        <w:tc>
          <w:tcPr>
            <w:tcW w:w="1559"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0.15</w:t>
            </w:r>
          </w:p>
        </w:tc>
        <w:tc>
          <w:tcPr>
            <w:tcW w:w="1369"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0.013</w:t>
            </w:r>
          </w:p>
        </w:tc>
      </w:tr>
      <w:tr>
        <w:tblPrEx>
          <w:tblCellMar>
            <w:top w:w="0" w:type="dxa"/>
            <w:left w:w="108" w:type="dxa"/>
            <w:bottom w:w="0" w:type="dxa"/>
            <w:right w:w="108" w:type="dxa"/>
          </w:tblCellMar>
        </w:tblPrEx>
        <w:trPr>
          <w:trHeight w:val="285" w:hRule="atLeast"/>
          <w:jc w:val="center"/>
        </w:trPr>
        <w:tc>
          <w:tcPr>
            <w:tcW w:w="1413" w:type="dxa"/>
            <w:vMerge w:val="continue"/>
            <w:tcBorders>
              <w:top w:val="nil"/>
              <w:left w:val="single" w:color="auto" w:sz="4" w:space="0"/>
              <w:bottom w:val="single" w:color="000000" w:sz="4" w:space="0"/>
              <w:right w:val="single" w:color="auto" w:sz="4" w:space="0"/>
            </w:tcBorders>
            <w:vAlign w:val="center"/>
          </w:tcPr>
          <w:p>
            <w:pPr>
              <w:widowControl/>
              <w:spacing w:line="240" w:lineRule="auto"/>
              <w:ind w:firstLine="0" w:firstLineChars="0"/>
              <w:jc w:val="left"/>
              <w:rPr>
                <w:rFonts w:ascii="等线" w:hAnsi="等线" w:eastAsia="等线" w:cs="宋体"/>
                <w:color w:val="000000"/>
                <w:kern w:val="0"/>
                <w:sz w:val="22"/>
              </w:rPr>
            </w:pPr>
          </w:p>
        </w:tc>
        <w:tc>
          <w:tcPr>
            <w:tcW w:w="1134"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盆泉村</w:t>
            </w:r>
          </w:p>
        </w:tc>
        <w:tc>
          <w:tcPr>
            <w:tcW w:w="69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1</w:t>
            </w:r>
          </w:p>
        </w:tc>
        <w:tc>
          <w:tcPr>
            <w:tcW w:w="171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219</w:t>
            </w:r>
          </w:p>
        </w:tc>
        <w:tc>
          <w:tcPr>
            <w:tcW w:w="1559"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0.15</w:t>
            </w:r>
          </w:p>
        </w:tc>
        <w:tc>
          <w:tcPr>
            <w:tcW w:w="1369"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0.013</w:t>
            </w:r>
          </w:p>
        </w:tc>
      </w:tr>
      <w:tr>
        <w:tblPrEx>
          <w:tblCellMar>
            <w:top w:w="0" w:type="dxa"/>
            <w:left w:w="108" w:type="dxa"/>
            <w:bottom w:w="0" w:type="dxa"/>
            <w:right w:w="108" w:type="dxa"/>
          </w:tblCellMar>
        </w:tblPrEx>
        <w:trPr>
          <w:trHeight w:val="285" w:hRule="atLeast"/>
          <w:jc w:val="center"/>
        </w:trPr>
        <w:tc>
          <w:tcPr>
            <w:tcW w:w="1413" w:type="dxa"/>
            <w:vMerge w:val="continue"/>
            <w:tcBorders>
              <w:top w:val="nil"/>
              <w:left w:val="single" w:color="auto" w:sz="4" w:space="0"/>
              <w:bottom w:val="single" w:color="000000" w:sz="4" w:space="0"/>
              <w:right w:val="single" w:color="auto" w:sz="4" w:space="0"/>
            </w:tcBorders>
            <w:vAlign w:val="center"/>
          </w:tcPr>
          <w:p>
            <w:pPr>
              <w:widowControl/>
              <w:spacing w:line="240" w:lineRule="auto"/>
              <w:ind w:firstLine="0" w:firstLineChars="0"/>
              <w:jc w:val="left"/>
              <w:rPr>
                <w:rFonts w:ascii="等线" w:hAnsi="等线" w:eastAsia="等线" w:cs="宋体"/>
                <w:color w:val="000000"/>
                <w:kern w:val="0"/>
                <w:sz w:val="22"/>
              </w:rPr>
            </w:pPr>
          </w:p>
        </w:tc>
        <w:tc>
          <w:tcPr>
            <w:tcW w:w="1134"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王家庄村</w:t>
            </w:r>
          </w:p>
        </w:tc>
        <w:tc>
          <w:tcPr>
            <w:tcW w:w="69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3</w:t>
            </w:r>
          </w:p>
        </w:tc>
        <w:tc>
          <w:tcPr>
            <w:tcW w:w="171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657</w:t>
            </w:r>
          </w:p>
        </w:tc>
        <w:tc>
          <w:tcPr>
            <w:tcW w:w="1559"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0.45</w:t>
            </w:r>
          </w:p>
        </w:tc>
        <w:tc>
          <w:tcPr>
            <w:tcW w:w="1369"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0.039</w:t>
            </w:r>
          </w:p>
        </w:tc>
      </w:tr>
      <w:tr>
        <w:tblPrEx>
          <w:tblCellMar>
            <w:top w:w="0" w:type="dxa"/>
            <w:left w:w="108" w:type="dxa"/>
            <w:bottom w:w="0" w:type="dxa"/>
            <w:right w:w="108" w:type="dxa"/>
          </w:tblCellMar>
        </w:tblPrEx>
        <w:trPr>
          <w:trHeight w:val="285" w:hRule="atLeast"/>
          <w:jc w:val="center"/>
        </w:trPr>
        <w:tc>
          <w:tcPr>
            <w:tcW w:w="2547" w:type="dxa"/>
            <w:gridSpan w:val="2"/>
            <w:tcBorders>
              <w:top w:val="single" w:color="auto" w:sz="4" w:space="0"/>
              <w:left w:val="single" w:color="auto" w:sz="4" w:space="0"/>
              <w:bottom w:val="single" w:color="auto" w:sz="4" w:space="0"/>
              <w:right w:val="single" w:color="000000"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小 计</w:t>
            </w:r>
          </w:p>
        </w:tc>
        <w:tc>
          <w:tcPr>
            <w:tcW w:w="69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5</w:t>
            </w:r>
          </w:p>
        </w:tc>
        <w:tc>
          <w:tcPr>
            <w:tcW w:w="171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1095</w:t>
            </w:r>
          </w:p>
        </w:tc>
        <w:tc>
          <w:tcPr>
            <w:tcW w:w="1559"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0.75</w:t>
            </w:r>
          </w:p>
        </w:tc>
        <w:tc>
          <w:tcPr>
            <w:tcW w:w="1369"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0.065</w:t>
            </w:r>
          </w:p>
        </w:tc>
      </w:tr>
    </w:tbl>
    <w:p>
      <w:pPr>
        <w:ind w:firstLine="560"/>
        <w:rPr>
          <w:rFonts w:ascii="Times New Roman" w:hAnsi="Times New Roman"/>
        </w:rPr>
      </w:pPr>
      <w:r>
        <w:rPr>
          <w:rFonts w:hint="eastAsia" w:ascii="Times New Roman" w:hAnsi="Times New Roman"/>
        </w:rPr>
        <w:t>2．农业污染源</w:t>
      </w:r>
    </w:p>
    <w:p>
      <w:pPr>
        <w:ind w:firstLine="560"/>
        <w:rPr>
          <w:rFonts w:ascii="Times New Roman" w:hAnsi="Times New Roman"/>
        </w:rPr>
      </w:pPr>
      <w:r>
        <w:rPr>
          <w:rFonts w:hint="eastAsia" w:ascii="Times New Roman" w:hAnsi="Times New Roman"/>
        </w:rPr>
        <w:t>农业污染源主要指化肥、农药施用以及牲畜养殖，化肥主要为氮肥。水源地周边主要为基本农田，以种植传统农作物为主，农业面源污染小。盆泉村种植经济作物较多，主要为猕猴桃、草莓、蔬菜等，有机肥及化肥使用量均较大，降水形成的地表径流可将残留有机肥、化肥、农药成分冲刷至淄河内，通过下渗对地下水造成污染。</w:t>
      </w:r>
    </w:p>
    <w:p>
      <w:pPr>
        <w:ind w:firstLine="560"/>
        <w:rPr>
          <w:rFonts w:ascii="Times New Roman" w:hAnsi="Times New Roman"/>
        </w:rPr>
      </w:pPr>
      <w:r>
        <w:rPr>
          <w:rFonts w:hint="eastAsia" w:ascii="Times New Roman" w:hAnsi="Times New Roman"/>
        </w:rPr>
        <w:t>3．生活污染源</w:t>
      </w:r>
    </w:p>
    <w:p>
      <w:pPr>
        <w:ind w:firstLine="560"/>
        <w:rPr>
          <w:rFonts w:ascii="Times New Roman" w:hAnsi="Times New Roman"/>
        </w:rPr>
      </w:pPr>
      <w:r>
        <w:rPr>
          <w:rFonts w:hint="eastAsia" w:ascii="Times New Roman" w:hAnsi="Times New Roman"/>
        </w:rPr>
        <w:t>生活污染源，主要为农村生活污水和生活垃圾，生活污水一般排放于村庄附近的低坑洼沟内，消耗于渗透和蒸发。生活垃圾在村庄内较普遍，一般集中堆放于村落旁。这些生活垃圾在降水淋滤后，入渗后对地下水造成污染。</w:t>
      </w:r>
    </w:p>
    <w:p>
      <w:pPr>
        <w:ind w:firstLine="560"/>
        <w:rPr>
          <w:rFonts w:ascii="Times New Roman" w:hAnsi="Times New Roman"/>
        </w:rPr>
      </w:pPr>
      <w:r>
        <w:rPr>
          <w:rFonts w:hint="eastAsia" w:ascii="Times New Roman" w:hAnsi="Times New Roman"/>
        </w:rPr>
        <w:t>4．工业污染源</w:t>
      </w:r>
    </w:p>
    <w:p>
      <w:pPr>
        <w:ind w:firstLine="560"/>
        <w:rPr>
          <w:rFonts w:ascii="Times New Roman" w:hAnsi="Times New Roman"/>
        </w:rPr>
      </w:pPr>
      <w:r>
        <w:rPr>
          <w:rFonts w:hint="eastAsia" w:ascii="Times New Roman" w:hAnsi="Times New Roman"/>
        </w:rPr>
        <w:t>工业企业主要有山东业盛玻璃有限公司和山东万乔集团有限公司两家。山东业盛玻璃有限公司主要生产玻璃餐具，而山东万乔集团有限公司主要生产耐火材料，其生产工艺基本不产生废水，也不存在废水排放现象，</w:t>
      </w:r>
      <w:r>
        <w:rPr>
          <w:rFonts w:ascii="Times New Roman" w:hAnsi="Times New Roman"/>
        </w:rPr>
        <w:t>对</w:t>
      </w:r>
      <w:r>
        <w:rPr>
          <w:rFonts w:hint="eastAsia" w:ascii="Times New Roman" w:hAnsi="Times New Roman"/>
        </w:rPr>
        <w:t>开采层</w:t>
      </w:r>
      <w:r>
        <w:rPr>
          <w:rFonts w:ascii="Times New Roman" w:hAnsi="Times New Roman"/>
        </w:rPr>
        <w:t>地下水环境</w:t>
      </w:r>
      <w:r>
        <w:rPr>
          <w:rFonts w:hint="eastAsia" w:ascii="Times New Roman" w:hAnsi="Times New Roman"/>
        </w:rPr>
        <w:t>不会</w:t>
      </w:r>
      <w:r>
        <w:rPr>
          <w:rFonts w:ascii="Times New Roman" w:hAnsi="Times New Roman"/>
        </w:rPr>
        <w:t>造成影响。</w:t>
      </w:r>
    </w:p>
    <w:p>
      <w:pPr>
        <w:pStyle w:val="27"/>
      </w:pPr>
      <w:bookmarkStart w:id="43" w:name="_Toc35526463"/>
      <w:r>
        <w:rPr>
          <w:rFonts w:hint="eastAsia"/>
        </w:rPr>
        <w:t>水环境风险分析</w:t>
      </w:r>
      <w:bookmarkEnd w:id="43"/>
    </w:p>
    <w:p>
      <w:pPr>
        <w:ind w:firstLine="560"/>
        <w:rPr>
          <w:rFonts w:ascii="Times New Roman" w:hAnsi="Times New Roman"/>
        </w:rPr>
      </w:pPr>
      <w:r>
        <w:rPr>
          <w:rFonts w:hint="eastAsia" w:ascii="Times New Roman" w:hAnsi="Times New Roman"/>
        </w:rPr>
        <w:t>谢家店富水地段位于淄河盆泉支流河谷地带，面积较小，储水空间相对较小，地下水调蓄能力较差。在枯水期，谢家店富水地段地下水主要来自于外围广大补给区的侧向径流补给。水源地开采量 1.2 万 m</w:t>
      </w:r>
      <w:r>
        <w:rPr>
          <w:rFonts w:hint="eastAsia" w:ascii="Times New Roman" w:hAnsi="Times New Roman"/>
          <w:vertAlign w:val="superscript"/>
        </w:rPr>
        <w:t>3</w:t>
      </w:r>
      <w:r>
        <w:rPr>
          <w:rFonts w:hint="eastAsia" w:ascii="Times New Roman" w:hAnsi="Times New Roman"/>
        </w:rPr>
        <w:t>/d 时，富水地段内水位日降幅为0.158m/d，当开采量增加至 1.62 万 m</w:t>
      </w:r>
      <w:r>
        <w:rPr>
          <w:rFonts w:hint="eastAsia" w:ascii="Times New Roman" w:hAnsi="Times New Roman"/>
          <w:vertAlign w:val="superscript"/>
        </w:rPr>
        <w:t>3</w:t>
      </w:r>
      <w:r>
        <w:rPr>
          <w:rFonts w:hint="eastAsia" w:ascii="Times New Roman" w:hAnsi="Times New Roman"/>
        </w:rPr>
        <w:t>/d 时，富水地段内水位日降幅则增加至0.409m/d。富水地段在抽水结束后，水位能迅速恢复，补给迅速。</w:t>
      </w:r>
    </w:p>
    <w:p>
      <w:pPr>
        <w:ind w:firstLine="560"/>
        <w:rPr>
          <w:rFonts w:ascii="Times New Roman" w:hAnsi="Times New Roman"/>
        </w:rPr>
      </w:pPr>
      <w:r>
        <w:rPr>
          <w:rFonts w:ascii="Times New Roman" w:hAnsi="Times New Roman"/>
        </w:rPr>
        <w:t>通过对该水源地</w:t>
      </w:r>
      <w:r>
        <w:rPr>
          <w:rFonts w:hint="eastAsia" w:ascii="Times New Roman" w:hAnsi="Times New Roman"/>
        </w:rPr>
        <w:t>9眼井各眼井水质状况以及集中供水的出厂水情况进行水质评价。监测的各个指标均在</w:t>
      </w:r>
      <w:r>
        <w:rPr>
          <w:rFonts w:ascii="Times New Roman" w:hAnsi="Times New Roman"/>
        </w:rPr>
        <w:t>《地下水质量标准》（GB/T14848-</w:t>
      </w:r>
      <w:r>
        <w:rPr>
          <w:rFonts w:hint="eastAsia" w:ascii="Times New Roman" w:hAnsi="Times New Roman"/>
        </w:rPr>
        <w:t>2017</w:t>
      </w:r>
      <w:r>
        <w:rPr>
          <w:rFonts w:ascii="Times New Roman" w:hAnsi="Times New Roman"/>
        </w:rPr>
        <w:t>）III类水标准以上</w:t>
      </w:r>
      <w:r>
        <w:rPr>
          <w:rFonts w:hint="eastAsia" w:ascii="Times New Roman" w:hAnsi="Times New Roman"/>
        </w:rPr>
        <w:t>，</w:t>
      </w:r>
      <w:r>
        <w:rPr>
          <w:rFonts w:ascii="Times New Roman" w:hAnsi="Times New Roman"/>
        </w:rPr>
        <w:t>部分指标达到</w:t>
      </w:r>
      <w:r>
        <w:rPr>
          <w:rFonts w:hint="eastAsia" w:ascii="宋体" w:hAnsi="宋体" w:eastAsia="宋体" w:cs="宋体"/>
          <w:color w:val="000000"/>
          <w:kern w:val="0"/>
          <w:szCs w:val="28"/>
        </w:rPr>
        <w:t>Ⅰ</w:t>
      </w:r>
      <w:r>
        <w:rPr>
          <w:rFonts w:hint="eastAsia" w:ascii="Times New Roman" w:hAnsi="Times New Roman"/>
        </w:rPr>
        <w:t>类水标准</w:t>
      </w:r>
      <w:r>
        <w:rPr>
          <w:rFonts w:hint="eastAsia" w:ascii="宋体" w:hAnsi="宋体" w:eastAsia="宋体" w:cs="宋体"/>
          <w:color w:val="000000"/>
          <w:kern w:val="0"/>
          <w:szCs w:val="28"/>
        </w:rPr>
        <w:t>，</w:t>
      </w:r>
      <w:r>
        <w:rPr>
          <w:rFonts w:hint="eastAsia" w:ascii="Times New Roman" w:hAnsi="Times New Roman"/>
        </w:rPr>
        <w:t>各项指标均符合《生活饮用水卫生标准》（GB5749-2006）标准。</w:t>
      </w:r>
    </w:p>
    <w:p>
      <w:pPr>
        <w:ind w:firstLine="560"/>
        <w:rPr>
          <w:rFonts w:ascii="Times New Roman" w:hAnsi="Times New Roman"/>
        </w:rPr>
      </w:pPr>
      <w:r>
        <w:rPr>
          <w:rFonts w:hint="eastAsia" w:ascii="Times New Roman" w:hAnsi="Times New Roman"/>
        </w:rPr>
        <w:t>根据调查，谢家店地区污染源、污染物较少，所在区域无工业污水排放口，无垃圾填埋场、垃圾转运站、垃圾堆存点、矿山开发等典型污染源。主要存在污染源为个体农家乐餐馆、农业污染源及农村生活污染源，分布较为零散，且规模不大，影响较小。</w:t>
      </w:r>
    </w:p>
    <w:p>
      <w:pPr>
        <w:ind w:firstLine="560"/>
        <w:rPr>
          <w:rFonts w:ascii="Times New Roman" w:hAnsi="Times New Roman"/>
        </w:rPr>
      </w:pPr>
      <w:r>
        <w:rPr>
          <w:rFonts w:hint="eastAsia" w:ascii="Times New Roman" w:hAnsi="Times New Roman"/>
        </w:rPr>
        <w:t>个体农家乐餐馆方面，水源地周边分布着少量个体农家乐餐馆，由于规模小，废水排放量少，对水源地的影响小。</w:t>
      </w:r>
    </w:p>
    <w:p>
      <w:pPr>
        <w:ind w:firstLine="560"/>
        <w:rPr>
          <w:rFonts w:ascii="Times New Roman" w:hAnsi="Times New Roman"/>
        </w:rPr>
      </w:pPr>
      <w:r>
        <w:rPr>
          <w:rFonts w:hint="eastAsia" w:ascii="Times New Roman" w:hAnsi="Times New Roman"/>
        </w:rPr>
        <w:t>农业污染源方面，水源地周边主要为基本农田，以种植传统农作物为主，农业面源污染小。盆泉村种植经济作物较多，主要为猕猴桃、草莓、蔬菜等，有机肥及化肥使用量均较大，降水形成的地表径流可将残留有机肥、化肥、农药成分冲刷至淄河内，通过下渗对地下水造成污染。</w:t>
      </w:r>
    </w:p>
    <w:p>
      <w:pPr>
        <w:ind w:firstLine="560"/>
        <w:rPr>
          <w:rFonts w:ascii="Times New Roman" w:hAnsi="Times New Roman"/>
        </w:rPr>
      </w:pPr>
      <w:r>
        <w:rPr>
          <w:rFonts w:hint="eastAsia" w:ascii="Times New Roman" w:hAnsi="Times New Roman"/>
        </w:rPr>
        <w:t>生活污染源方面，主要为农村生活污水和生活垃圾，生活污水一般排放于村庄附近的低坑洼沟内，消耗于渗透和蒸发。生活垃圾在降水淋滤后，入渗后对地下水造成污染。</w:t>
      </w:r>
    </w:p>
    <w:p>
      <w:pPr>
        <w:ind w:firstLine="560"/>
        <w:rPr>
          <w:rFonts w:ascii="Times New Roman" w:hAnsi="Times New Roman"/>
        </w:rPr>
      </w:pPr>
      <w:r>
        <w:rPr>
          <w:rFonts w:hint="eastAsia" w:ascii="Times New Roman" w:hAnsi="Times New Roman"/>
        </w:rPr>
        <w:t>工业企业主要有山东业盛玻璃有限公司和山东万乔集团有限公司两家。山东业盛玻璃有限公司主要生产玻璃餐具，而山东万乔集团有限公司主要生产耐火材料，其生产工艺基本不产生废水，也不存在废水排放现象，</w:t>
      </w:r>
      <w:r>
        <w:rPr>
          <w:rFonts w:ascii="Times New Roman" w:hAnsi="Times New Roman"/>
        </w:rPr>
        <w:t>对</w:t>
      </w:r>
      <w:r>
        <w:rPr>
          <w:rFonts w:hint="eastAsia" w:ascii="Times New Roman" w:hAnsi="Times New Roman"/>
        </w:rPr>
        <w:t>开采层</w:t>
      </w:r>
      <w:r>
        <w:rPr>
          <w:rFonts w:ascii="Times New Roman" w:hAnsi="Times New Roman"/>
        </w:rPr>
        <w:t>地下水环境</w:t>
      </w:r>
      <w:r>
        <w:rPr>
          <w:rFonts w:hint="eastAsia" w:ascii="Times New Roman" w:hAnsi="Times New Roman"/>
        </w:rPr>
        <w:t>不会</w:t>
      </w:r>
      <w:r>
        <w:rPr>
          <w:rFonts w:ascii="Times New Roman" w:hAnsi="Times New Roman"/>
        </w:rPr>
        <w:t>造成影响。</w:t>
      </w:r>
    </w:p>
    <w:p>
      <w:pPr>
        <w:ind w:firstLine="560"/>
        <w:rPr>
          <w:rFonts w:ascii="Times New Roman" w:hAnsi="Times New Roman"/>
        </w:rPr>
      </w:pPr>
      <w:r>
        <w:rPr>
          <w:rFonts w:hint="eastAsia" w:ascii="Times New Roman" w:hAnsi="Times New Roman"/>
        </w:rPr>
        <w:t>综上所述，谢家店水源地位于富水地段，水源补给充足，</w:t>
      </w:r>
      <w:r>
        <w:rPr>
          <w:rFonts w:ascii="Times New Roman" w:hAnsi="Times New Roman"/>
        </w:rPr>
        <w:t>水源地设计开采量1.75万m</w:t>
      </w:r>
      <w:r>
        <w:rPr>
          <w:rFonts w:ascii="Times New Roman" w:hAnsi="Times New Roman"/>
          <w:vertAlign w:val="superscript"/>
        </w:rPr>
        <w:t>3</w:t>
      </w:r>
      <w:r>
        <w:rPr>
          <w:rFonts w:ascii="Times New Roman" w:hAnsi="Times New Roman"/>
        </w:rPr>
        <w:t>/d，能够快速恢复水位</w:t>
      </w:r>
      <w:r>
        <w:rPr>
          <w:rFonts w:hint="eastAsia" w:ascii="Times New Roman" w:hAnsi="Times New Roman"/>
        </w:rPr>
        <w:t>，谢家店地区岩溶水位下降后遇丰水年即迅速回升，具备良好的补给条件和一定的调蓄能力，在枯水期适当地疏干储存量后，在丰水期可以得到充分的补偿，</w:t>
      </w:r>
      <w:r>
        <w:rPr>
          <w:rFonts w:ascii="Times New Roman" w:hAnsi="Times New Roman"/>
        </w:rPr>
        <w:t>可开采量充足</w:t>
      </w:r>
      <w:r>
        <w:rPr>
          <w:rFonts w:hint="eastAsia" w:ascii="Times New Roman" w:hAnsi="Times New Roman"/>
        </w:rPr>
        <w:t>。水源地周边的污染源分布分散，排放规模与问题小，对水源地的影响较小。各眼取水井的水质符合地下水质</w:t>
      </w:r>
      <w:r>
        <w:rPr>
          <w:rFonts w:ascii="Times New Roman" w:hAnsi="Times New Roman"/>
        </w:rPr>
        <w:t>III类水标准以上</w:t>
      </w:r>
      <w:r>
        <w:rPr>
          <w:rFonts w:hint="eastAsia" w:ascii="Times New Roman" w:hAnsi="Times New Roman"/>
        </w:rPr>
        <w:t>，以及出厂水质均达到饮用水卫生标准。因此，谢家店水源地水源地能够作为饮用水水源使用。</w:t>
      </w:r>
      <w:r>
        <w:rPr>
          <w:rFonts w:ascii="Times New Roman" w:hAnsi="Times New Roman"/>
        </w:rPr>
        <w:br w:type="page"/>
      </w:r>
    </w:p>
    <w:p>
      <w:pPr>
        <w:pStyle w:val="2"/>
        <w:numPr>
          <w:ilvl w:val="0"/>
          <w:numId w:val="1"/>
        </w:numPr>
        <w:spacing w:before="120" w:after="120" w:line="360" w:lineRule="auto"/>
        <w:ind w:left="715" w:hanging="432" w:firstLineChars="0"/>
        <w:jc w:val="center"/>
        <w:rPr>
          <w:rFonts w:hAnsi="Times New Roman"/>
        </w:rPr>
      </w:pPr>
      <w:bookmarkStart w:id="44" w:name="_Toc35526464"/>
      <w:r>
        <w:rPr>
          <w:rFonts w:hAnsi="Times New Roman"/>
        </w:rPr>
        <w:t>饮用水水源保护区划分与定界</w:t>
      </w:r>
      <w:bookmarkEnd w:id="44"/>
    </w:p>
    <w:p>
      <w:pPr>
        <w:pStyle w:val="27"/>
      </w:pPr>
      <w:bookmarkStart w:id="45" w:name="_Toc35526465"/>
      <w:r>
        <w:t>保护区划分</w:t>
      </w:r>
      <w:bookmarkEnd w:id="45"/>
    </w:p>
    <w:p>
      <w:pPr>
        <w:pStyle w:val="25"/>
      </w:pPr>
      <w:bookmarkStart w:id="46" w:name="_Toc35526466"/>
      <w:r>
        <w:t>保护区划分要求</w:t>
      </w:r>
      <w:bookmarkEnd w:id="46"/>
    </w:p>
    <w:p>
      <w:pPr>
        <w:ind w:firstLine="560"/>
        <w:rPr>
          <w:rFonts w:ascii="Times New Roman" w:hAnsi="Times New Roman"/>
        </w:rPr>
      </w:pPr>
      <w:r>
        <w:rPr>
          <w:rFonts w:ascii="Times New Roman" w:hAnsi="Times New Roman"/>
        </w:rPr>
        <w:t>饮用水水源保护区是国家为保护水源安全而划定的加以特殊保护、防止污染和破坏的一定区域。集中式饮用水水源地应设置饮用水水源保护区；按照不同的水质标准和防护要求，饮用水水源保护区一般划分为一级保护区和二级保护区，可增设准保护区。</w:t>
      </w:r>
    </w:p>
    <w:p>
      <w:pPr>
        <w:ind w:firstLine="560"/>
        <w:rPr>
          <w:rFonts w:ascii="Times New Roman" w:hAnsi="Times New Roman"/>
        </w:rPr>
      </w:pPr>
      <w:r>
        <w:rPr>
          <w:rFonts w:ascii="Times New Roman" w:hAnsi="Times New Roman"/>
        </w:rPr>
        <w:t>饮用水水源保护区的设置应纳入当地社会经济发展规划和水污染防治规划；跨地区的饮用水水源保护区的设置应纳入有关流域、区域、城市社会经济发展规划和水污染防治规划。饮用水水源保护区的水环境监测与污染源监督应作为重点纳入地方环境管理体系中，若无法满足保护区规定水质的要求，应及时调整保护区范围。</w:t>
      </w:r>
    </w:p>
    <w:p>
      <w:pPr>
        <w:ind w:firstLine="560"/>
        <w:rPr>
          <w:rFonts w:ascii="Times New Roman" w:hAnsi="Times New Roman"/>
        </w:rPr>
      </w:pPr>
      <w:r>
        <w:rPr>
          <w:rFonts w:ascii="Times New Roman" w:hAnsi="Times New Roman"/>
        </w:rPr>
        <w:t>本次划分以《中华人民共和国水污染防治法》、《饮用水水源保护区污染防治管理规定》为主要依据，按照《饮用水水源保护区划分技术规范》（HJ/T338</w:t>
      </w:r>
      <w:r>
        <w:rPr>
          <w:rFonts w:hint="eastAsia" w:ascii="Times New Roman" w:hAnsi="Times New Roman"/>
        </w:rPr>
        <w:t>-</w:t>
      </w:r>
      <w:r>
        <w:rPr>
          <w:rFonts w:ascii="Times New Roman" w:hAnsi="Times New Roman"/>
        </w:rPr>
        <w:t>20</w:t>
      </w:r>
      <w:r>
        <w:rPr>
          <w:rFonts w:hint="eastAsia" w:ascii="Times New Roman" w:hAnsi="Times New Roman"/>
        </w:rPr>
        <w:t>18</w:t>
      </w:r>
      <w:r>
        <w:rPr>
          <w:rFonts w:ascii="Times New Roman" w:hAnsi="Times New Roman"/>
        </w:rPr>
        <w:t>）（以下简称《规范》）对谢家店饮用水水源保护区开展划分工作。</w:t>
      </w:r>
    </w:p>
    <w:p>
      <w:pPr>
        <w:ind w:firstLine="560"/>
        <w:rPr>
          <w:rFonts w:ascii="Times New Roman" w:hAnsi="Times New Roman"/>
        </w:rPr>
      </w:pPr>
      <w:r>
        <w:rPr>
          <w:rFonts w:ascii="Times New Roman" w:hAnsi="Times New Roman"/>
        </w:rPr>
        <w:t>饮用水水源保护区划分技术原则包括以下几点：</w:t>
      </w:r>
    </w:p>
    <w:p>
      <w:pPr>
        <w:ind w:firstLine="560"/>
        <w:rPr>
          <w:rFonts w:ascii="Times New Roman" w:hAnsi="Times New Roman"/>
        </w:rPr>
      </w:pPr>
      <w:r>
        <w:rPr>
          <w:rFonts w:ascii="Times New Roman" w:hAnsi="Times New Roman"/>
        </w:rPr>
        <w:t>（1）保护优先原则。地下水资源是经济社会发展和人民生活最为宝贵的资源，应以保护地下水资源作为划分饮用水水源保护区划分的首要原则。</w:t>
      </w:r>
    </w:p>
    <w:p>
      <w:pPr>
        <w:ind w:firstLine="560"/>
        <w:rPr>
          <w:rFonts w:ascii="Times New Roman" w:hAnsi="Times New Roman"/>
        </w:rPr>
      </w:pPr>
      <w:r>
        <w:rPr>
          <w:rFonts w:ascii="Times New Roman" w:hAnsi="Times New Roman"/>
        </w:rPr>
        <w:t>（2）预防为主，防治结合原则。地下水水源地保护区应根据本</w:t>
      </w:r>
      <w:r>
        <w:rPr>
          <w:rFonts w:hint="eastAsia" w:ascii="Times New Roman" w:hAnsi="Times New Roman"/>
        </w:rPr>
        <w:t>地</w:t>
      </w:r>
      <w:r>
        <w:rPr>
          <w:rFonts w:ascii="Times New Roman" w:hAnsi="Times New Roman"/>
        </w:rPr>
        <w:t>水源地所处的地理位置、水文地质条件、供水的数量、开采方式和污染源的分布划定。</w:t>
      </w:r>
    </w:p>
    <w:p>
      <w:pPr>
        <w:ind w:firstLine="560"/>
        <w:rPr>
          <w:rFonts w:ascii="Times New Roman" w:hAnsi="Times New Roman"/>
        </w:rPr>
      </w:pPr>
      <w:r>
        <w:rPr>
          <w:rFonts w:ascii="Times New Roman" w:hAnsi="Times New Roman"/>
        </w:rPr>
        <w:t>（3）保护区范围最小原则。在确保水源水质不受污染的前提下，划定的饮用水水源保护区范围应尽可能小。</w:t>
      </w:r>
    </w:p>
    <w:p>
      <w:pPr>
        <w:ind w:firstLine="560"/>
        <w:rPr>
          <w:rFonts w:ascii="Times New Roman" w:hAnsi="Times New Roman"/>
        </w:rPr>
      </w:pPr>
      <w:r>
        <w:rPr>
          <w:rFonts w:ascii="Times New Roman" w:hAnsi="Times New Roman"/>
        </w:rPr>
        <w:t>（4）因地制宜原则。划定的饮用水水源保护区范围，应防止水源附近人类活动对水源的直接污染；应足以使所选定的主要污染物在向取水点（或开采井、井群）输移（或运移）过程中，衰减到所期望的浓度水平；在正常情况下保证取水水质达到规定要求，一旦出现污染水源的突发情况，有采取紧急补救措施的时间和缓冲地带。</w:t>
      </w:r>
    </w:p>
    <w:p>
      <w:pPr>
        <w:pStyle w:val="25"/>
      </w:pPr>
      <w:bookmarkStart w:id="47" w:name="_Toc35526467"/>
      <w:r>
        <w:t>保护区划分步骤和方法</w:t>
      </w:r>
      <w:bookmarkEnd w:id="47"/>
    </w:p>
    <w:p>
      <w:pPr>
        <w:ind w:firstLine="560"/>
        <w:rPr>
          <w:rFonts w:ascii="Times New Roman" w:hAnsi="Times New Roman"/>
        </w:rPr>
      </w:pPr>
      <w:r>
        <w:rPr>
          <w:rFonts w:ascii="Times New Roman" w:hAnsi="Times New Roman"/>
        </w:rPr>
        <w:t>以《饮用水水源保护区划分技术规范》（HJ/T338-20</w:t>
      </w:r>
      <w:r>
        <w:rPr>
          <w:rFonts w:hint="eastAsia" w:ascii="Times New Roman" w:hAnsi="Times New Roman"/>
        </w:rPr>
        <w:t>18</w:t>
      </w:r>
      <w:r>
        <w:rPr>
          <w:rFonts w:ascii="Times New Roman" w:hAnsi="Times New Roman"/>
        </w:rPr>
        <w:t>）为主要依据，参照其他相关文件，结合饮用水水源实际情况调整其保护区范围。</w:t>
      </w:r>
    </w:p>
    <w:p>
      <w:pPr>
        <w:ind w:firstLine="560"/>
        <w:rPr>
          <w:rFonts w:ascii="Times New Roman" w:hAnsi="Times New Roman"/>
        </w:rPr>
      </w:pPr>
      <w:r>
        <w:rPr>
          <w:rFonts w:ascii="Times New Roman" w:hAnsi="Times New Roman"/>
        </w:rPr>
        <w:t>划分过程主要分为3个步骤：</w:t>
      </w:r>
    </w:p>
    <w:p>
      <w:pPr>
        <w:ind w:firstLine="560"/>
        <w:rPr>
          <w:rFonts w:ascii="Times New Roman" w:hAnsi="Times New Roman"/>
        </w:rPr>
      </w:pPr>
      <w:r>
        <w:rPr>
          <w:rFonts w:ascii="Times New Roman" w:hAnsi="Times New Roman"/>
        </w:rPr>
        <w:t>（1）确定饮用水水源保护区划分依据。根据饮用水水源地理位置、水文地质条件、规模等情况，按照《规范》要求，选择适合饮用水水源保护区划分的方法，明确相关参数，初步确定饮用水水源保护区边界；为了便于开展日常环境管理工作，依据保护区划分的分析、计算结果，充分利用具有永久性的明显标志如水分线、行政区界线、公路、铁路、桥梁、大型建筑物、水库大坝、水工建筑物、河流汊口、输电线、通信线等标示保护区界线。</w:t>
      </w:r>
    </w:p>
    <w:p>
      <w:pPr>
        <w:ind w:firstLine="560"/>
        <w:rPr>
          <w:rFonts w:ascii="Times New Roman" w:hAnsi="Times New Roman"/>
        </w:rPr>
      </w:pPr>
      <w:r>
        <w:rPr>
          <w:rFonts w:ascii="Times New Roman" w:hAnsi="Times New Roman"/>
        </w:rPr>
        <w:t>（2）绘制保护区边界。根据确定的划分方法，利用收集的资料和遥感影像，使用ArcGIS绘制保护区边界。</w:t>
      </w:r>
    </w:p>
    <w:p>
      <w:pPr>
        <w:ind w:firstLine="560"/>
        <w:rPr>
          <w:rFonts w:ascii="Times New Roman" w:hAnsi="Times New Roman"/>
        </w:rPr>
      </w:pPr>
      <w:r>
        <w:rPr>
          <w:rFonts w:ascii="Times New Roman" w:hAnsi="Times New Roman"/>
        </w:rPr>
        <w:t>（3）室外勘界。持高精度GPS现场勘界，确定水源被保护区主要拐点的坐标，记录拐点周边主要标志物，与绘制的水源保护区边界进行比对、修正。</w:t>
      </w:r>
    </w:p>
    <w:p>
      <w:pPr>
        <w:ind w:firstLine="560"/>
        <w:rPr>
          <w:rFonts w:ascii="Times New Roman" w:hAnsi="Times New Roman"/>
        </w:rPr>
      </w:pPr>
      <w:r>
        <w:rPr>
          <w:rFonts w:ascii="Times New Roman" w:hAnsi="Times New Roman"/>
        </w:rPr>
        <w:t>地下水型水源地按取水层含水介质类型的不同分为孔隙水、基岩裂隙水和岩溶水三类；按地下水埋藏类型分为潜水和承压水两类。不同开采规模、不同含水层介质和埋藏类型的组合按照《饮用水水源保护区划分技术规范》（HJ/T338-201</w:t>
      </w:r>
      <w:r>
        <w:rPr>
          <w:rFonts w:hint="eastAsia" w:ascii="Times New Roman" w:hAnsi="Times New Roman"/>
        </w:rPr>
        <w:t>8</w:t>
      </w:r>
      <w:r>
        <w:rPr>
          <w:rFonts w:ascii="Times New Roman" w:hAnsi="Times New Roman"/>
        </w:rPr>
        <w:t>）需采取不同的划分方法，如下表所示。</w:t>
      </w:r>
    </w:p>
    <w:p>
      <w:pPr>
        <w:snapToGrid w:val="0"/>
        <w:ind w:firstLine="0" w:firstLineChars="0"/>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3</w:t>
      </w:r>
      <w:r>
        <w:rPr>
          <w:rFonts w:ascii="Times New Roman" w:hAnsi="Times New Roman"/>
          <w:b/>
          <w:sz w:val="24"/>
        </w:rPr>
        <w:t>-1 地下水饮用水水源保护区划分方法统计表</w:t>
      </w:r>
    </w:p>
    <w:tbl>
      <w:tblPr>
        <w:tblStyle w:val="15"/>
        <w:tblW w:w="8179" w:type="dxa"/>
        <w:tblInd w:w="93" w:type="dxa"/>
        <w:tblLayout w:type="autofit"/>
        <w:tblCellMar>
          <w:top w:w="0" w:type="dxa"/>
          <w:left w:w="108" w:type="dxa"/>
          <w:bottom w:w="0" w:type="dxa"/>
          <w:right w:w="108" w:type="dxa"/>
        </w:tblCellMar>
      </w:tblPr>
      <w:tblGrid>
        <w:gridCol w:w="1184"/>
        <w:gridCol w:w="823"/>
        <w:gridCol w:w="972"/>
        <w:gridCol w:w="3978"/>
        <w:gridCol w:w="1222"/>
      </w:tblGrid>
      <w:tr>
        <w:tblPrEx>
          <w:tblCellMar>
            <w:top w:w="0" w:type="dxa"/>
            <w:left w:w="108" w:type="dxa"/>
            <w:bottom w:w="0" w:type="dxa"/>
            <w:right w:w="108" w:type="dxa"/>
          </w:tblCellMar>
        </w:tblPrEx>
        <w:trPr>
          <w:trHeight w:val="285" w:hRule="atLeast"/>
        </w:trPr>
        <w:tc>
          <w:tcPr>
            <w:tcW w:w="118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b/>
                <w:color w:val="000000"/>
                <w:sz w:val="20"/>
                <w:szCs w:val="20"/>
              </w:rPr>
            </w:pPr>
            <w:r>
              <w:rPr>
                <w:rFonts w:ascii="Times New Roman" w:hAnsi="Times New Roman" w:eastAsia="宋体"/>
                <w:b/>
                <w:color w:val="000000"/>
                <w:sz w:val="20"/>
                <w:szCs w:val="20"/>
              </w:rPr>
              <w:t>介质类型</w:t>
            </w:r>
          </w:p>
        </w:tc>
        <w:tc>
          <w:tcPr>
            <w:tcW w:w="823" w:type="dxa"/>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b/>
                <w:color w:val="000000"/>
                <w:sz w:val="20"/>
                <w:szCs w:val="20"/>
              </w:rPr>
            </w:pPr>
            <w:r>
              <w:rPr>
                <w:rFonts w:ascii="Times New Roman" w:hAnsi="Times New Roman" w:eastAsia="宋体"/>
                <w:b/>
                <w:color w:val="000000"/>
                <w:sz w:val="20"/>
                <w:szCs w:val="20"/>
              </w:rPr>
              <w:t>埋藏条件</w:t>
            </w:r>
          </w:p>
        </w:tc>
        <w:tc>
          <w:tcPr>
            <w:tcW w:w="971" w:type="dxa"/>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b/>
                <w:color w:val="000000"/>
                <w:sz w:val="20"/>
                <w:szCs w:val="20"/>
              </w:rPr>
            </w:pPr>
            <w:r>
              <w:rPr>
                <w:rFonts w:ascii="Times New Roman" w:hAnsi="Times New Roman" w:eastAsia="宋体"/>
                <w:b/>
                <w:color w:val="000000"/>
                <w:sz w:val="20"/>
                <w:szCs w:val="20"/>
              </w:rPr>
              <w:t>规模</w:t>
            </w:r>
          </w:p>
        </w:tc>
        <w:tc>
          <w:tcPr>
            <w:tcW w:w="3978" w:type="dxa"/>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b/>
                <w:color w:val="000000"/>
                <w:sz w:val="20"/>
                <w:szCs w:val="20"/>
              </w:rPr>
            </w:pPr>
            <w:r>
              <w:rPr>
                <w:rFonts w:ascii="Times New Roman" w:hAnsi="Times New Roman" w:eastAsia="宋体"/>
                <w:b/>
                <w:color w:val="000000"/>
                <w:sz w:val="20"/>
                <w:szCs w:val="20"/>
              </w:rPr>
              <w:t>选用方法</w:t>
            </w:r>
          </w:p>
        </w:tc>
        <w:tc>
          <w:tcPr>
            <w:tcW w:w="1221" w:type="dxa"/>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b/>
                <w:color w:val="000000"/>
                <w:sz w:val="20"/>
                <w:szCs w:val="20"/>
              </w:rPr>
            </w:pPr>
            <w:r>
              <w:rPr>
                <w:rFonts w:ascii="Times New Roman" w:hAnsi="Times New Roman" w:eastAsia="宋体"/>
                <w:b/>
                <w:color w:val="000000"/>
                <w:sz w:val="20"/>
                <w:szCs w:val="20"/>
              </w:rPr>
              <w:t>保护区等级</w:t>
            </w:r>
          </w:p>
        </w:tc>
      </w:tr>
      <w:tr>
        <w:tblPrEx>
          <w:tblCellMar>
            <w:top w:w="0" w:type="dxa"/>
            <w:left w:w="108" w:type="dxa"/>
            <w:bottom w:w="0" w:type="dxa"/>
            <w:right w:w="108" w:type="dxa"/>
          </w:tblCellMar>
        </w:tblPrEx>
        <w:trPr>
          <w:trHeight w:val="556" w:hRule="atLeast"/>
        </w:trPr>
        <w:tc>
          <w:tcPr>
            <w:tcW w:w="1184" w:type="dxa"/>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孔隙</w:t>
            </w:r>
          </w:p>
        </w:tc>
        <w:tc>
          <w:tcPr>
            <w:tcW w:w="823" w:type="dxa"/>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潜水</w:t>
            </w:r>
          </w:p>
        </w:tc>
        <w:tc>
          <w:tcPr>
            <w:tcW w:w="97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中小型</w:t>
            </w:r>
          </w:p>
        </w:tc>
        <w:tc>
          <w:tcPr>
            <w:tcW w:w="3978"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经验公式法/经验值法，如经验公式法计算值小于经验值，需采用经验值</w:t>
            </w:r>
          </w:p>
        </w:tc>
        <w:tc>
          <w:tcPr>
            <w:tcW w:w="122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一级、二级</w:t>
            </w:r>
          </w:p>
        </w:tc>
      </w:tr>
      <w:tr>
        <w:tblPrEx>
          <w:tblCellMar>
            <w:top w:w="0" w:type="dxa"/>
            <w:left w:w="108" w:type="dxa"/>
            <w:bottom w:w="0" w:type="dxa"/>
            <w:right w:w="108" w:type="dxa"/>
          </w:tblCellMar>
        </w:tblPrEx>
        <w:trPr>
          <w:trHeight w:val="285" w:hRule="atLeast"/>
        </w:trPr>
        <w:tc>
          <w:tcPr>
            <w:tcW w:w="118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left"/>
              <w:rPr>
                <w:rFonts w:ascii="Times New Roman" w:hAnsi="Times New Roman" w:eastAsia="宋体"/>
                <w:color w:val="000000"/>
                <w:sz w:val="20"/>
                <w:szCs w:val="20"/>
              </w:rPr>
            </w:pPr>
          </w:p>
        </w:tc>
        <w:tc>
          <w:tcPr>
            <w:tcW w:w="823"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left"/>
              <w:rPr>
                <w:rFonts w:ascii="Times New Roman" w:hAnsi="Times New Roman" w:eastAsia="宋体"/>
                <w:color w:val="000000"/>
                <w:sz w:val="20"/>
                <w:szCs w:val="20"/>
              </w:rPr>
            </w:pPr>
          </w:p>
        </w:tc>
        <w:tc>
          <w:tcPr>
            <w:tcW w:w="97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大型</w:t>
            </w:r>
          </w:p>
        </w:tc>
        <w:tc>
          <w:tcPr>
            <w:tcW w:w="3978"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建议采用数值模型法</w:t>
            </w:r>
          </w:p>
        </w:tc>
        <w:tc>
          <w:tcPr>
            <w:tcW w:w="122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一级、二级</w:t>
            </w:r>
          </w:p>
        </w:tc>
      </w:tr>
      <w:tr>
        <w:tblPrEx>
          <w:tblCellMar>
            <w:top w:w="0" w:type="dxa"/>
            <w:left w:w="108" w:type="dxa"/>
            <w:bottom w:w="0" w:type="dxa"/>
            <w:right w:w="108" w:type="dxa"/>
          </w:tblCellMar>
        </w:tblPrEx>
        <w:trPr>
          <w:trHeight w:val="541" w:hRule="atLeast"/>
        </w:trPr>
        <w:tc>
          <w:tcPr>
            <w:tcW w:w="118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left"/>
              <w:rPr>
                <w:rFonts w:ascii="Times New Roman" w:hAnsi="Times New Roman" w:eastAsia="宋体"/>
                <w:color w:val="000000"/>
                <w:sz w:val="20"/>
                <w:szCs w:val="20"/>
              </w:rPr>
            </w:pPr>
          </w:p>
        </w:tc>
        <w:tc>
          <w:tcPr>
            <w:tcW w:w="823" w:type="dxa"/>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承压水</w:t>
            </w:r>
          </w:p>
        </w:tc>
        <w:tc>
          <w:tcPr>
            <w:tcW w:w="97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中小型</w:t>
            </w:r>
          </w:p>
        </w:tc>
        <w:tc>
          <w:tcPr>
            <w:tcW w:w="3978"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划定上层潜水一级保护区，方法同孔隙潜水中小型水源地</w:t>
            </w:r>
          </w:p>
        </w:tc>
        <w:tc>
          <w:tcPr>
            <w:tcW w:w="122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一级</w:t>
            </w:r>
          </w:p>
        </w:tc>
      </w:tr>
      <w:tr>
        <w:tblPrEx>
          <w:tblCellMar>
            <w:top w:w="0" w:type="dxa"/>
            <w:left w:w="108" w:type="dxa"/>
            <w:bottom w:w="0" w:type="dxa"/>
            <w:right w:w="108" w:type="dxa"/>
          </w:tblCellMar>
        </w:tblPrEx>
        <w:trPr>
          <w:trHeight w:val="541" w:hRule="atLeast"/>
        </w:trPr>
        <w:tc>
          <w:tcPr>
            <w:tcW w:w="118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left"/>
              <w:rPr>
                <w:rFonts w:ascii="Times New Roman" w:hAnsi="Times New Roman" w:eastAsia="宋体"/>
                <w:color w:val="000000"/>
                <w:sz w:val="20"/>
                <w:szCs w:val="20"/>
              </w:rPr>
            </w:pPr>
          </w:p>
        </w:tc>
        <w:tc>
          <w:tcPr>
            <w:tcW w:w="823"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left"/>
              <w:rPr>
                <w:rFonts w:ascii="Times New Roman" w:hAnsi="Times New Roman" w:eastAsia="宋体"/>
                <w:color w:val="000000"/>
                <w:sz w:val="20"/>
                <w:szCs w:val="20"/>
              </w:rPr>
            </w:pPr>
          </w:p>
        </w:tc>
        <w:tc>
          <w:tcPr>
            <w:tcW w:w="97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大型</w:t>
            </w:r>
          </w:p>
        </w:tc>
        <w:tc>
          <w:tcPr>
            <w:tcW w:w="3978"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划定上层潜水一级保护区，方法同孔隙潜水大型水源地</w:t>
            </w:r>
          </w:p>
        </w:tc>
        <w:tc>
          <w:tcPr>
            <w:tcW w:w="122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　</w:t>
            </w:r>
          </w:p>
        </w:tc>
      </w:tr>
      <w:tr>
        <w:tblPrEx>
          <w:tblCellMar>
            <w:top w:w="0" w:type="dxa"/>
            <w:left w:w="108" w:type="dxa"/>
            <w:bottom w:w="0" w:type="dxa"/>
            <w:right w:w="108" w:type="dxa"/>
          </w:tblCellMar>
        </w:tblPrEx>
        <w:trPr>
          <w:trHeight w:val="285" w:hRule="atLeast"/>
        </w:trPr>
        <w:tc>
          <w:tcPr>
            <w:tcW w:w="1184" w:type="dxa"/>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风化裂隙/成岩裂隙</w:t>
            </w:r>
          </w:p>
        </w:tc>
        <w:tc>
          <w:tcPr>
            <w:tcW w:w="823" w:type="dxa"/>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潜水</w:t>
            </w:r>
          </w:p>
        </w:tc>
        <w:tc>
          <w:tcPr>
            <w:tcW w:w="97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中小型</w:t>
            </w:r>
          </w:p>
        </w:tc>
        <w:tc>
          <w:tcPr>
            <w:tcW w:w="3978"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经验公式法</w:t>
            </w:r>
          </w:p>
        </w:tc>
        <w:tc>
          <w:tcPr>
            <w:tcW w:w="122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一级、二级</w:t>
            </w:r>
          </w:p>
        </w:tc>
      </w:tr>
      <w:tr>
        <w:tblPrEx>
          <w:tblCellMar>
            <w:top w:w="0" w:type="dxa"/>
            <w:left w:w="108" w:type="dxa"/>
            <w:bottom w:w="0" w:type="dxa"/>
            <w:right w:w="108" w:type="dxa"/>
          </w:tblCellMar>
        </w:tblPrEx>
        <w:trPr>
          <w:trHeight w:val="285" w:hRule="atLeast"/>
        </w:trPr>
        <w:tc>
          <w:tcPr>
            <w:tcW w:w="118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left"/>
              <w:rPr>
                <w:rFonts w:ascii="Times New Roman" w:hAnsi="Times New Roman" w:eastAsia="宋体"/>
                <w:color w:val="000000"/>
                <w:sz w:val="20"/>
                <w:szCs w:val="20"/>
              </w:rPr>
            </w:pPr>
          </w:p>
        </w:tc>
        <w:tc>
          <w:tcPr>
            <w:tcW w:w="823"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left"/>
              <w:rPr>
                <w:rFonts w:ascii="Times New Roman" w:hAnsi="Times New Roman" w:eastAsia="宋体"/>
                <w:color w:val="000000"/>
                <w:sz w:val="20"/>
                <w:szCs w:val="20"/>
              </w:rPr>
            </w:pPr>
          </w:p>
        </w:tc>
        <w:tc>
          <w:tcPr>
            <w:tcW w:w="97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大型</w:t>
            </w:r>
          </w:p>
        </w:tc>
        <w:tc>
          <w:tcPr>
            <w:tcW w:w="3978"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需采用数值模型法</w:t>
            </w:r>
          </w:p>
        </w:tc>
        <w:tc>
          <w:tcPr>
            <w:tcW w:w="122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一级、二级</w:t>
            </w:r>
          </w:p>
        </w:tc>
      </w:tr>
      <w:tr>
        <w:tblPrEx>
          <w:tblCellMar>
            <w:top w:w="0" w:type="dxa"/>
            <w:left w:w="108" w:type="dxa"/>
            <w:bottom w:w="0" w:type="dxa"/>
            <w:right w:w="108" w:type="dxa"/>
          </w:tblCellMar>
        </w:tblPrEx>
        <w:trPr>
          <w:trHeight w:val="541" w:hRule="atLeast"/>
        </w:trPr>
        <w:tc>
          <w:tcPr>
            <w:tcW w:w="118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left"/>
              <w:rPr>
                <w:rFonts w:ascii="Times New Roman" w:hAnsi="Times New Roman" w:eastAsia="宋体"/>
                <w:color w:val="000000"/>
                <w:sz w:val="20"/>
                <w:szCs w:val="20"/>
              </w:rPr>
            </w:pPr>
          </w:p>
        </w:tc>
        <w:tc>
          <w:tcPr>
            <w:tcW w:w="1795"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承压水</w:t>
            </w:r>
          </w:p>
        </w:tc>
        <w:tc>
          <w:tcPr>
            <w:tcW w:w="3978"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划定上层潜水一级保护区，参考风化裂隙潜水中小型水源地，采用经验公式法</w:t>
            </w:r>
          </w:p>
        </w:tc>
        <w:tc>
          <w:tcPr>
            <w:tcW w:w="122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一级</w:t>
            </w:r>
          </w:p>
        </w:tc>
      </w:tr>
      <w:tr>
        <w:tblPrEx>
          <w:tblCellMar>
            <w:top w:w="0" w:type="dxa"/>
            <w:left w:w="108" w:type="dxa"/>
            <w:bottom w:w="0" w:type="dxa"/>
            <w:right w:w="108" w:type="dxa"/>
          </w:tblCellMar>
        </w:tblPrEx>
        <w:trPr>
          <w:trHeight w:val="541" w:hRule="atLeast"/>
        </w:trPr>
        <w:tc>
          <w:tcPr>
            <w:tcW w:w="1184" w:type="dxa"/>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构造裂隙</w:t>
            </w:r>
          </w:p>
        </w:tc>
        <w:tc>
          <w:tcPr>
            <w:tcW w:w="823" w:type="dxa"/>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潜水</w:t>
            </w:r>
          </w:p>
        </w:tc>
        <w:tc>
          <w:tcPr>
            <w:tcW w:w="97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中小型</w:t>
            </w:r>
          </w:p>
        </w:tc>
        <w:tc>
          <w:tcPr>
            <w:tcW w:w="3978"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经验公式法，但需分别计算保护区的长度和宽度</w:t>
            </w:r>
          </w:p>
        </w:tc>
        <w:tc>
          <w:tcPr>
            <w:tcW w:w="122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一级、二级</w:t>
            </w:r>
          </w:p>
        </w:tc>
      </w:tr>
      <w:tr>
        <w:tblPrEx>
          <w:tblCellMar>
            <w:top w:w="0" w:type="dxa"/>
            <w:left w:w="108" w:type="dxa"/>
            <w:bottom w:w="0" w:type="dxa"/>
            <w:right w:w="108" w:type="dxa"/>
          </w:tblCellMar>
        </w:tblPrEx>
        <w:trPr>
          <w:trHeight w:val="285" w:hRule="atLeast"/>
        </w:trPr>
        <w:tc>
          <w:tcPr>
            <w:tcW w:w="118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left"/>
              <w:rPr>
                <w:rFonts w:ascii="Times New Roman" w:hAnsi="Times New Roman" w:eastAsia="宋体"/>
                <w:color w:val="000000"/>
                <w:sz w:val="20"/>
                <w:szCs w:val="20"/>
              </w:rPr>
            </w:pPr>
          </w:p>
        </w:tc>
        <w:tc>
          <w:tcPr>
            <w:tcW w:w="823"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left"/>
              <w:rPr>
                <w:rFonts w:ascii="Times New Roman" w:hAnsi="Times New Roman" w:eastAsia="宋体"/>
                <w:color w:val="000000"/>
                <w:sz w:val="20"/>
                <w:szCs w:val="20"/>
              </w:rPr>
            </w:pPr>
          </w:p>
        </w:tc>
        <w:tc>
          <w:tcPr>
            <w:tcW w:w="97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大型</w:t>
            </w:r>
          </w:p>
        </w:tc>
        <w:tc>
          <w:tcPr>
            <w:tcW w:w="3978"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需采用数值模型法</w:t>
            </w:r>
          </w:p>
        </w:tc>
        <w:tc>
          <w:tcPr>
            <w:tcW w:w="122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一级、二级</w:t>
            </w:r>
          </w:p>
        </w:tc>
      </w:tr>
      <w:tr>
        <w:tblPrEx>
          <w:tblCellMar>
            <w:top w:w="0" w:type="dxa"/>
            <w:left w:w="108" w:type="dxa"/>
            <w:bottom w:w="0" w:type="dxa"/>
            <w:right w:w="108" w:type="dxa"/>
          </w:tblCellMar>
        </w:tblPrEx>
        <w:trPr>
          <w:trHeight w:val="285" w:hRule="atLeast"/>
        </w:trPr>
        <w:tc>
          <w:tcPr>
            <w:tcW w:w="118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left"/>
              <w:rPr>
                <w:rFonts w:ascii="Times New Roman" w:hAnsi="Times New Roman" w:eastAsia="宋体"/>
                <w:color w:val="000000"/>
                <w:sz w:val="20"/>
                <w:szCs w:val="20"/>
              </w:rPr>
            </w:pPr>
          </w:p>
        </w:tc>
        <w:tc>
          <w:tcPr>
            <w:tcW w:w="1795"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承压水</w:t>
            </w:r>
          </w:p>
        </w:tc>
        <w:tc>
          <w:tcPr>
            <w:tcW w:w="3978"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同风化裂隙/成岩裂隙</w:t>
            </w:r>
          </w:p>
        </w:tc>
        <w:tc>
          <w:tcPr>
            <w:tcW w:w="122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一级</w:t>
            </w:r>
          </w:p>
        </w:tc>
      </w:tr>
      <w:tr>
        <w:tblPrEx>
          <w:tblCellMar>
            <w:top w:w="0" w:type="dxa"/>
            <w:left w:w="108" w:type="dxa"/>
            <w:bottom w:w="0" w:type="dxa"/>
            <w:right w:w="108" w:type="dxa"/>
          </w:tblCellMar>
        </w:tblPrEx>
        <w:trPr>
          <w:trHeight w:val="285" w:hRule="atLeast"/>
        </w:trPr>
        <w:tc>
          <w:tcPr>
            <w:tcW w:w="1184" w:type="dxa"/>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岩溶裂隙网络型</w:t>
            </w:r>
          </w:p>
        </w:tc>
        <w:tc>
          <w:tcPr>
            <w:tcW w:w="823"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潜水</w:t>
            </w:r>
          </w:p>
        </w:tc>
        <w:tc>
          <w:tcPr>
            <w:tcW w:w="97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中小型</w:t>
            </w:r>
          </w:p>
        </w:tc>
        <w:tc>
          <w:tcPr>
            <w:tcW w:w="5200"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同风化裂隙/成岩裂隙</w:t>
            </w:r>
          </w:p>
        </w:tc>
      </w:tr>
      <w:tr>
        <w:tblPrEx>
          <w:tblCellMar>
            <w:top w:w="0" w:type="dxa"/>
            <w:left w:w="108" w:type="dxa"/>
            <w:bottom w:w="0" w:type="dxa"/>
            <w:right w:w="108" w:type="dxa"/>
          </w:tblCellMar>
        </w:tblPrEx>
        <w:trPr>
          <w:trHeight w:val="285" w:hRule="atLeast"/>
        </w:trPr>
        <w:tc>
          <w:tcPr>
            <w:tcW w:w="118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left"/>
              <w:rPr>
                <w:rFonts w:ascii="Times New Roman" w:hAnsi="Times New Roman" w:eastAsia="宋体"/>
                <w:color w:val="000000"/>
                <w:sz w:val="20"/>
                <w:szCs w:val="20"/>
              </w:rPr>
            </w:pPr>
          </w:p>
        </w:tc>
        <w:tc>
          <w:tcPr>
            <w:tcW w:w="823"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　</w:t>
            </w:r>
          </w:p>
        </w:tc>
        <w:tc>
          <w:tcPr>
            <w:tcW w:w="97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大型</w:t>
            </w:r>
          </w:p>
        </w:tc>
        <w:tc>
          <w:tcPr>
            <w:tcW w:w="5200" w:type="dxa"/>
            <w:gridSpan w:val="2"/>
            <w:vMerge w:val="continue"/>
            <w:tcBorders>
              <w:top w:val="nil"/>
              <w:left w:val="nil"/>
              <w:bottom w:val="single" w:color="auto" w:sz="4" w:space="0"/>
              <w:right w:val="single" w:color="auto" w:sz="4" w:space="0"/>
            </w:tcBorders>
            <w:vAlign w:val="center"/>
          </w:tcPr>
          <w:p>
            <w:pPr>
              <w:spacing w:line="240" w:lineRule="auto"/>
              <w:ind w:firstLine="0" w:firstLineChars="0"/>
              <w:jc w:val="left"/>
              <w:rPr>
                <w:rFonts w:ascii="Times New Roman" w:hAnsi="Times New Roman" w:eastAsia="宋体"/>
                <w:color w:val="000000"/>
                <w:sz w:val="20"/>
                <w:szCs w:val="20"/>
              </w:rPr>
            </w:pPr>
          </w:p>
        </w:tc>
      </w:tr>
      <w:tr>
        <w:tblPrEx>
          <w:tblCellMar>
            <w:top w:w="0" w:type="dxa"/>
            <w:left w:w="108" w:type="dxa"/>
            <w:bottom w:w="0" w:type="dxa"/>
            <w:right w:w="108" w:type="dxa"/>
          </w:tblCellMar>
        </w:tblPrEx>
        <w:trPr>
          <w:trHeight w:val="285" w:hRule="atLeast"/>
        </w:trPr>
        <w:tc>
          <w:tcPr>
            <w:tcW w:w="118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left"/>
              <w:rPr>
                <w:rFonts w:ascii="Times New Roman" w:hAnsi="Times New Roman" w:eastAsia="宋体"/>
                <w:color w:val="000000"/>
                <w:sz w:val="20"/>
                <w:szCs w:val="20"/>
              </w:rPr>
            </w:pPr>
          </w:p>
        </w:tc>
        <w:tc>
          <w:tcPr>
            <w:tcW w:w="1795"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承压水</w:t>
            </w:r>
          </w:p>
        </w:tc>
        <w:tc>
          <w:tcPr>
            <w:tcW w:w="5200" w:type="dxa"/>
            <w:gridSpan w:val="2"/>
            <w:vMerge w:val="continue"/>
            <w:tcBorders>
              <w:top w:val="nil"/>
              <w:left w:val="nil"/>
              <w:bottom w:val="single" w:color="auto" w:sz="4" w:space="0"/>
              <w:right w:val="single" w:color="auto" w:sz="4" w:space="0"/>
            </w:tcBorders>
            <w:vAlign w:val="center"/>
          </w:tcPr>
          <w:p>
            <w:pPr>
              <w:spacing w:line="240" w:lineRule="auto"/>
              <w:ind w:firstLine="0" w:firstLineChars="0"/>
              <w:jc w:val="left"/>
              <w:rPr>
                <w:rFonts w:ascii="Times New Roman" w:hAnsi="Times New Roman" w:eastAsia="宋体"/>
                <w:color w:val="000000"/>
                <w:sz w:val="20"/>
                <w:szCs w:val="20"/>
              </w:rPr>
            </w:pPr>
          </w:p>
        </w:tc>
      </w:tr>
      <w:tr>
        <w:tblPrEx>
          <w:tblCellMar>
            <w:top w:w="0" w:type="dxa"/>
            <w:left w:w="108" w:type="dxa"/>
            <w:bottom w:w="0" w:type="dxa"/>
            <w:right w:w="108" w:type="dxa"/>
          </w:tblCellMar>
        </w:tblPrEx>
        <w:trPr>
          <w:trHeight w:val="285" w:hRule="atLeast"/>
        </w:trPr>
        <w:tc>
          <w:tcPr>
            <w:tcW w:w="1184" w:type="dxa"/>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峰林平原强径流带型</w:t>
            </w:r>
          </w:p>
        </w:tc>
        <w:tc>
          <w:tcPr>
            <w:tcW w:w="823"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潜水</w:t>
            </w:r>
          </w:p>
        </w:tc>
        <w:tc>
          <w:tcPr>
            <w:tcW w:w="97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中小型</w:t>
            </w:r>
          </w:p>
        </w:tc>
        <w:tc>
          <w:tcPr>
            <w:tcW w:w="5200"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同构造裂隙</w:t>
            </w:r>
          </w:p>
        </w:tc>
      </w:tr>
      <w:tr>
        <w:tblPrEx>
          <w:tblCellMar>
            <w:top w:w="0" w:type="dxa"/>
            <w:left w:w="108" w:type="dxa"/>
            <w:bottom w:w="0" w:type="dxa"/>
            <w:right w:w="108" w:type="dxa"/>
          </w:tblCellMar>
        </w:tblPrEx>
        <w:trPr>
          <w:trHeight w:val="285" w:hRule="atLeast"/>
        </w:trPr>
        <w:tc>
          <w:tcPr>
            <w:tcW w:w="118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left"/>
              <w:rPr>
                <w:rFonts w:ascii="Times New Roman" w:hAnsi="Times New Roman" w:eastAsia="宋体"/>
                <w:color w:val="000000"/>
                <w:sz w:val="20"/>
                <w:szCs w:val="20"/>
              </w:rPr>
            </w:pPr>
          </w:p>
        </w:tc>
        <w:tc>
          <w:tcPr>
            <w:tcW w:w="823"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　</w:t>
            </w:r>
          </w:p>
        </w:tc>
        <w:tc>
          <w:tcPr>
            <w:tcW w:w="97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大型</w:t>
            </w:r>
          </w:p>
        </w:tc>
        <w:tc>
          <w:tcPr>
            <w:tcW w:w="5200" w:type="dxa"/>
            <w:gridSpan w:val="2"/>
            <w:vMerge w:val="continue"/>
            <w:tcBorders>
              <w:top w:val="nil"/>
              <w:left w:val="nil"/>
              <w:bottom w:val="single" w:color="auto" w:sz="4" w:space="0"/>
              <w:right w:val="single" w:color="auto" w:sz="4" w:space="0"/>
            </w:tcBorders>
            <w:vAlign w:val="center"/>
          </w:tcPr>
          <w:p>
            <w:pPr>
              <w:spacing w:line="240" w:lineRule="auto"/>
              <w:ind w:firstLine="0" w:firstLineChars="0"/>
              <w:jc w:val="left"/>
              <w:rPr>
                <w:rFonts w:ascii="Times New Roman" w:hAnsi="Times New Roman" w:eastAsia="宋体"/>
                <w:color w:val="000000"/>
                <w:sz w:val="20"/>
                <w:szCs w:val="20"/>
              </w:rPr>
            </w:pPr>
          </w:p>
        </w:tc>
      </w:tr>
      <w:tr>
        <w:tblPrEx>
          <w:tblCellMar>
            <w:top w:w="0" w:type="dxa"/>
            <w:left w:w="108" w:type="dxa"/>
            <w:bottom w:w="0" w:type="dxa"/>
            <w:right w:w="108" w:type="dxa"/>
          </w:tblCellMar>
        </w:tblPrEx>
        <w:trPr>
          <w:trHeight w:val="285" w:hRule="atLeast"/>
        </w:trPr>
        <w:tc>
          <w:tcPr>
            <w:tcW w:w="118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left"/>
              <w:rPr>
                <w:rFonts w:ascii="Times New Roman" w:hAnsi="Times New Roman" w:eastAsia="宋体"/>
                <w:color w:val="000000"/>
                <w:sz w:val="20"/>
                <w:szCs w:val="20"/>
              </w:rPr>
            </w:pPr>
          </w:p>
        </w:tc>
        <w:tc>
          <w:tcPr>
            <w:tcW w:w="1795"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承压水</w:t>
            </w:r>
          </w:p>
        </w:tc>
        <w:tc>
          <w:tcPr>
            <w:tcW w:w="5200" w:type="dxa"/>
            <w:gridSpan w:val="2"/>
            <w:vMerge w:val="continue"/>
            <w:tcBorders>
              <w:top w:val="nil"/>
              <w:left w:val="nil"/>
              <w:bottom w:val="single" w:color="auto" w:sz="4" w:space="0"/>
              <w:right w:val="single" w:color="auto" w:sz="4" w:space="0"/>
            </w:tcBorders>
            <w:vAlign w:val="center"/>
          </w:tcPr>
          <w:p>
            <w:pPr>
              <w:spacing w:line="240" w:lineRule="auto"/>
              <w:ind w:firstLine="0" w:firstLineChars="0"/>
              <w:jc w:val="left"/>
              <w:rPr>
                <w:rFonts w:ascii="Times New Roman" w:hAnsi="Times New Roman" w:eastAsia="宋体"/>
                <w:color w:val="000000"/>
                <w:sz w:val="20"/>
                <w:szCs w:val="20"/>
              </w:rPr>
            </w:pPr>
          </w:p>
        </w:tc>
      </w:tr>
      <w:tr>
        <w:tblPrEx>
          <w:tblCellMar>
            <w:top w:w="0" w:type="dxa"/>
            <w:left w:w="108" w:type="dxa"/>
            <w:bottom w:w="0" w:type="dxa"/>
            <w:right w:w="108" w:type="dxa"/>
          </w:tblCellMar>
        </w:tblPrEx>
        <w:trPr>
          <w:trHeight w:val="285" w:hRule="atLeast"/>
        </w:trPr>
        <w:tc>
          <w:tcPr>
            <w:tcW w:w="1184"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其他岩溶</w:t>
            </w:r>
          </w:p>
        </w:tc>
        <w:tc>
          <w:tcPr>
            <w:tcW w:w="5773" w:type="dxa"/>
            <w:gridSpan w:val="3"/>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参照地表河流型水源地</w:t>
            </w:r>
          </w:p>
        </w:tc>
        <w:tc>
          <w:tcPr>
            <w:tcW w:w="122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eastAsia="宋体"/>
                <w:color w:val="000000"/>
                <w:sz w:val="20"/>
                <w:szCs w:val="20"/>
              </w:rPr>
            </w:pPr>
            <w:r>
              <w:rPr>
                <w:rFonts w:ascii="Times New Roman" w:hAnsi="Times New Roman" w:eastAsia="宋体"/>
                <w:color w:val="000000"/>
                <w:sz w:val="20"/>
                <w:szCs w:val="20"/>
              </w:rPr>
              <w:t>一级</w:t>
            </w:r>
          </w:p>
        </w:tc>
      </w:tr>
    </w:tbl>
    <w:p>
      <w:pPr>
        <w:pStyle w:val="25"/>
      </w:pPr>
      <w:bookmarkStart w:id="48" w:name="_Toc35526468"/>
      <w:r>
        <w:t>保护区划分的</w:t>
      </w:r>
      <w:r>
        <w:rPr>
          <w:rFonts w:hint="eastAsia"/>
        </w:rPr>
        <w:t>数值计算方法</w:t>
      </w:r>
      <w:bookmarkEnd w:id="48"/>
    </w:p>
    <w:p>
      <w:pPr>
        <w:ind w:firstLine="560"/>
        <w:rPr>
          <w:rFonts w:ascii="Times New Roman" w:hAnsi="Times New Roman"/>
        </w:rPr>
      </w:pPr>
      <w:r>
        <w:rPr>
          <w:rFonts w:ascii="Times New Roman" w:hAnsi="Times New Roman"/>
        </w:rPr>
        <w:t>谢家店饮用水水源地开采量为</w:t>
      </w:r>
      <w:r>
        <w:rPr>
          <w:rFonts w:hint="eastAsia" w:ascii="Times New Roman" w:hAnsi="Times New Roman"/>
        </w:rPr>
        <w:t>1.</w:t>
      </w:r>
      <w:r>
        <w:rPr>
          <w:rFonts w:ascii="Times New Roman" w:hAnsi="Times New Roman"/>
        </w:rPr>
        <w:t>75万m</w:t>
      </w:r>
      <w:r>
        <w:rPr>
          <w:rFonts w:ascii="Times New Roman" w:hAnsi="Times New Roman"/>
          <w:vertAlign w:val="superscript"/>
        </w:rPr>
        <w:t>3</w:t>
      </w:r>
      <w:r>
        <w:rPr>
          <w:rFonts w:ascii="Times New Roman" w:hAnsi="Times New Roman"/>
        </w:rPr>
        <w:t>/d，</w:t>
      </w:r>
      <w:r>
        <w:rPr>
          <w:rFonts w:hint="eastAsia" w:ascii="Times New Roman" w:hAnsi="Times New Roman"/>
        </w:rPr>
        <w:t>小于5万</w:t>
      </w:r>
      <w:r>
        <w:rPr>
          <w:rFonts w:ascii="Times New Roman" w:hAnsi="Times New Roman"/>
        </w:rPr>
        <w:t>m</w:t>
      </w:r>
      <w:r>
        <w:rPr>
          <w:rFonts w:ascii="Times New Roman" w:hAnsi="Times New Roman"/>
          <w:vertAlign w:val="superscript"/>
        </w:rPr>
        <w:t>3</w:t>
      </w:r>
      <w:r>
        <w:rPr>
          <w:rFonts w:ascii="Times New Roman" w:hAnsi="Times New Roman"/>
        </w:rPr>
        <w:t>/d</w:t>
      </w:r>
      <w:r>
        <w:rPr>
          <w:rFonts w:hint="eastAsia" w:ascii="Times New Roman" w:hAnsi="Times New Roman"/>
        </w:rPr>
        <w:t>，</w:t>
      </w:r>
      <w:r>
        <w:rPr>
          <w:rFonts w:ascii="Times New Roman" w:hAnsi="Times New Roman"/>
        </w:rPr>
        <w:t>属中小型地下水水源地；开采层为</w:t>
      </w:r>
      <w:r>
        <w:rPr>
          <w:rFonts w:hint="eastAsia" w:ascii="Times New Roman" w:hAnsi="Times New Roman"/>
        </w:rPr>
        <w:t>奥陶纪及寒武—奥陶纪裂隙岩溶水含水岩组</w:t>
      </w:r>
      <w:r>
        <w:rPr>
          <w:rFonts w:ascii="Times New Roman" w:hAnsi="Times New Roman"/>
        </w:rPr>
        <w:t>，开采层的地下水类型为岩溶裂隙网络型承压</w:t>
      </w:r>
      <w:r>
        <w:rPr>
          <w:rFonts w:hint="eastAsia" w:ascii="Times New Roman" w:hAnsi="Times New Roman"/>
        </w:rPr>
        <w:t>水</w:t>
      </w:r>
      <w:r>
        <w:rPr>
          <w:rFonts w:ascii="Times New Roman" w:hAnsi="Times New Roman"/>
        </w:rPr>
        <w:t>。根据《饮用水水源保护区划分技术规范》（HJ/T338-201</w:t>
      </w:r>
      <w:r>
        <w:rPr>
          <w:rFonts w:hint="eastAsia" w:ascii="Times New Roman" w:hAnsi="Times New Roman"/>
        </w:rPr>
        <w:t>8</w:t>
      </w:r>
      <w:r>
        <w:rPr>
          <w:rFonts w:ascii="Times New Roman" w:hAnsi="Times New Roman"/>
        </w:rPr>
        <w:t>）规定，岩溶裂隙网络型承压</w:t>
      </w:r>
      <w:r>
        <w:rPr>
          <w:rFonts w:hint="eastAsia" w:ascii="Times New Roman" w:hAnsi="Times New Roman"/>
        </w:rPr>
        <w:t>水</w:t>
      </w:r>
      <w:r>
        <w:rPr>
          <w:rFonts w:ascii="Times New Roman" w:hAnsi="Times New Roman"/>
        </w:rPr>
        <w:t>饮用水水源一级保护区方法同风化裂隙</w:t>
      </w:r>
      <w:r>
        <w:rPr>
          <w:rFonts w:hint="eastAsia" w:ascii="Times New Roman" w:hAnsi="Times New Roman"/>
        </w:rPr>
        <w:t>潜水</w:t>
      </w:r>
      <w:r>
        <w:rPr>
          <w:rFonts w:ascii="Times New Roman" w:hAnsi="Times New Roman"/>
        </w:rPr>
        <w:t>饮用水水源一级保护区的划分方法，不设二级保护区。风化裂隙承压型饮用水水源一级保护区划分方法是将上部潜水的一级保护区作为风化裂隙承压水型水源地的一级保护区，划分方法</w:t>
      </w:r>
      <w:r>
        <w:rPr>
          <w:rFonts w:hint="eastAsia" w:ascii="Times New Roman" w:hAnsi="Times New Roman"/>
        </w:rPr>
        <w:t>是</w:t>
      </w:r>
      <w:r>
        <w:rPr>
          <w:rFonts w:ascii="Times New Roman" w:hAnsi="Times New Roman"/>
        </w:rPr>
        <w:t>依据上部潜水的含水层介质类型，参考对应介质类型的中小型水源地的一级保护区的划分方法。</w:t>
      </w:r>
      <w:r>
        <w:rPr>
          <w:rFonts w:hint="eastAsia" w:ascii="Times New Roman" w:hAnsi="Times New Roman"/>
        </w:rPr>
        <w:t>虽然谢家店饮用水水源地取水口（井）布置在河流边，但不属于冲积层中的水源井，在抽水时不直接吸取隔水顶板之上潜水层中的水。因此，谢家店饮用水水源地取水口（井）不属于傍河取水井。</w:t>
      </w:r>
      <w:r>
        <w:rPr>
          <w:rFonts w:ascii="Times New Roman" w:hAnsi="Times New Roman"/>
        </w:rPr>
        <w:t>中小型孔隙水潜水型饮用水水源一级保护区的划分方法有两种：经验公式法和</w:t>
      </w:r>
      <w:bookmarkStart w:id="49" w:name="_Hlk497664766"/>
      <w:r>
        <w:rPr>
          <w:rFonts w:ascii="Times New Roman" w:hAnsi="Times New Roman"/>
        </w:rPr>
        <w:t>经验值法</w:t>
      </w:r>
      <w:bookmarkEnd w:id="49"/>
      <w:r>
        <w:rPr>
          <w:rFonts w:ascii="Times New Roman" w:hAnsi="Times New Roman"/>
        </w:rPr>
        <w:t>。</w:t>
      </w:r>
    </w:p>
    <w:p>
      <w:pPr>
        <w:ind w:firstLine="560"/>
        <w:rPr>
          <w:rFonts w:ascii="Times New Roman" w:hAnsi="Times New Roman"/>
        </w:rPr>
      </w:pPr>
      <w:r>
        <w:rPr>
          <w:rFonts w:ascii="Times New Roman" w:hAnsi="Times New Roman"/>
        </w:rPr>
        <w:t>(1)经验公式法</w:t>
      </w:r>
    </w:p>
    <w:p>
      <w:pPr>
        <w:ind w:firstLine="560"/>
        <w:rPr>
          <w:rFonts w:ascii="Times New Roman" w:hAnsi="Times New Roman"/>
        </w:rPr>
      </w:pPr>
      <w:r>
        <w:rPr>
          <w:rFonts w:ascii="Times New Roman" w:hAnsi="Times New Roman"/>
        </w:rPr>
        <w:t>一级保护区：以开采井为中心，按照式</w:t>
      </w:r>
      <w:r>
        <w:rPr>
          <w:rFonts w:hint="eastAsia" w:ascii="Times New Roman" w:hAnsi="Times New Roman"/>
        </w:rPr>
        <w:t>3</w:t>
      </w:r>
      <w:r>
        <w:rPr>
          <w:rFonts w:ascii="Times New Roman" w:hAnsi="Times New Roman"/>
        </w:rPr>
        <w:t>-1计算的距离为半径的圆形区域。一级保护区T取100天。</w:t>
      </w:r>
    </w:p>
    <w:p>
      <w:pPr>
        <w:ind w:firstLine="560"/>
        <w:rPr>
          <w:rFonts w:ascii="Times New Roman" w:hAnsi="Times New Roman"/>
        </w:rPr>
      </w:pPr>
      <w:r>
        <w:rPr>
          <w:rFonts w:ascii="Times New Roman" w:hAnsi="Times New Roman"/>
        </w:rPr>
        <w:t>R＝α×K×I×T/n                                 （式</w:t>
      </w:r>
      <w:r>
        <w:rPr>
          <w:rFonts w:hint="eastAsia" w:ascii="Times New Roman" w:hAnsi="Times New Roman"/>
        </w:rPr>
        <w:t>3</w:t>
      </w:r>
      <w:r>
        <w:rPr>
          <w:rFonts w:ascii="Times New Roman" w:hAnsi="Times New Roman"/>
        </w:rPr>
        <w:t>-1）</w:t>
      </w:r>
    </w:p>
    <w:p>
      <w:pPr>
        <w:ind w:firstLine="560"/>
        <w:rPr>
          <w:rFonts w:ascii="Times New Roman" w:hAnsi="Times New Roman"/>
        </w:rPr>
      </w:pPr>
      <w:r>
        <w:rPr>
          <w:rFonts w:ascii="Times New Roman" w:hAnsi="Times New Roman"/>
        </w:rPr>
        <w:t>式中，R—保护区半径，m</w:t>
      </w:r>
    </w:p>
    <w:p>
      <w:pPr>
        <w:ind w:firstLine="560"/>
        <w:rPr>
          <w:rFonts w:ascii="Times New Roman" w:hAnsi="Times New Roman"/>
        </w:rPr>
      </w:pPr>
      <w:r>
        <w:rPr>
          <w:rFonts w:ascii="Times New Roman" w:hAnsi="Times New Roman"/>
        </w:rPr>
        <w:t>α—安全系数，150%；</w:t>
      </w:r>
    </w:p>
    <w:p>
      <w:pPr>
        <w:ind w:firstLine="560"/>
        <w:rPr>
          <w:rFonts w:ascii="Times New Roman" w:hAnsi="Times New Roman"/>
        </w:rPr>
      </w:pPr>
      <w:r>
        <w:rPr>
          <w:rFonts w:ascii="Times New Roman" w:hAnsi="Times New Roman"/>
        </w:rPr>
        <w:t>K—含水层渗透系数，m/d；</w:t>
      </w:r>
    </w:p>
    <w:p>
      <w:pPr>
        <w:ind w:firstLine="560"/>
        <w:rPr>
          <w:rFonts w:ascii="Times New Roman" w:hAnsi="Times New Roman"/>
        </w:rPr>
      </w:pPr>
      <w:r>
        <w:rPr>
          <w:rFonts w:ascii="Times New Roman" w:hAnsi="Times New Roman"/>
        </w:rPr>
        <w:t>I—水力坡度；</w:t>
      </w:r>
    </w:p>
    <w:p>
      <w:pPr>
        <w:ind w:firstLine="560"/>
        <w:rPr>
          <w:rFonts w:ascii="Times New Roman" w:hAnsi="Times New Roman"/>
        </w:rPr>
      </w:pPr>
      <w:r>
        <w:rPr>
          <w:rFonts w:ascii="Times New Roman" w:hAnsi="Times New Roman"/>
        </w:rPr>
        <w:t>T—污染物水平迁移时间，d；</w:t>
      </w:r>
    </w:p>
    <w:p>
      <w:pPr>
        <w:ind w:firstLine="560"/>
        <w:rPr>
          <w:rFonts w:ascii="Times New Roman" w:hAnsi="Times New Roman"/>
        </w:rPr>
      </w:pPr>
      <w:r>
        <w:rPr>
          <w:rFonts w:ascii="Times New Roman" w:hAnsi="Times New Roman"/>
        </w:rPr>
        <w:t>n—有效孔隙度；</w:t>
      </w:r>
    </w:p>
    <w:p>
      <w:pPr>
        <w:ind w:firstLine="560"/>
        <w:rPr>
          <w:rFonts w:ascii="Times New Roman" w:hAnsi="Times New Roman"/>
        </w:rPr>
      </w:pPr>
      <w:r>
        <w:rPr>
          <w:rFonts w:ascii="Times New Roman" w:hAnsi="Times New Roman"/>
        </w:rPr>
        <w:t>(2) 经验值法</w:t>
      </w:r>
    </w:p>
    <w:p>
      <w:pPr>
        <w:ind w:firstLine="560"/>
        <w:rPr>
          <w:rFonts w:ascii="Times New Roman" w:hAnsi="Times New Roman"/>
        </w:rPr>
      </w:pPr>
      <w:r>
        <w:rPr>
          <w:rFonts w:ascii="Times New Roman" w:hAnsi="Times New Roman"/>
        </w:rPr>
        <w:t>依据含水层介质的类型，以开采井为中心，依据经验值确定保护区半径的划分方法。不同含水层介质的一级保护区半径如下表所示。</w:t>
      </w:r>
    </w:p>
    <w:p>
      <w:pPr>
        <w:snapToGrid w:val="0"/>
        <w:ind w:firstLine="0" w:firstLineChars="0"/>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3</w:t>
      </w:r>
      <w:r>
        <w:rPr>
          <w:rFonts w:ascii="Times New Roman" w:hAnsi="Times New Roman"/>
          <w:b/>
          <w:sz w:val="24"/>
        </w:rPr>
        <w:t>-2中小型潜水型水源地一级保护区范围的经验值</w:t>
      </w:r>
    </w:p>
    <w:tbl>
      <w:tblPr>
        <w:tblStyle w:val="15"/>
        <w:tblW w:w="442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15"/>
        <w:gridCol w:w="50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667" w:type="pct"/>
            <w:vAlign w:val="center"/>
          </w:tcPr>
          <w:p>
            <w:pPr>
              <w:spacing w:line="240" w:lineRule="auto"/>
              <w:ind w:firstLine="0" w:firstLineChars="0"/>
              <w:jc w:val="center"/>
              <w:rPr>
                <w:rFonts w:ascii="Times New Roman" w:hAnsi="Times New Roman" w:eastAsia="宋体"/>
                <w:b/>
                <w:sz w:val="21"/>
                <w:szCs w:val="21"/>
              </w:rPr>
            </w:pPr>
            <w:r>
              <w:rPr>
                <w:rFonts w:ascii="Times New Roman" w:hAnsi="Times New Roman" w:eastAsia="宋体"/>
                <w:b/>
                <w:sz w:val="21"/>
                <w:szCs w:val="21"/>
              </w:rPr>
              <w:t>介质类型</w:t>
            </w:r>
          </w:p>
        </w:tc>
        <w:tc>
          <w:tcPr>
            <w:tcW w:w="3333" w:type="pct"/>
            <w:vAlign w:val="center"/>
          </w:tcPr>
          <w:p>
            <w:pPr>
              <w:spacing w:line="240" w:lineRule="auto"/>
              <w:ind w:firstLine="0" w:firstLineChars="0"/>
              <w:jc w:val="center"/>
              <w:rPr>
                <w:rFonts w:ascii="Times New Roman" w:hAnsi="Times New Roman" w:eastAsia="宋体"/>
                <w:b/>
                <w:sz w:val="21"/>
                <w:szCs w:val="21"/>
              </w:rPr>
            </w:pPr>
            <w:r>
              <w:rPr>
                <w:rFonts w:ascii="Times New Roman" w:hAnsi="Times New Roman" w:eastAsia="宋体"/>
                <w:b/>
                <w:sz w:val="21"/>
                <w:szCs w:val="21"/>
              </w:rPr>
              <w:t>一级保护区半径R（m）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1667" w:type="pct"/>
            <w:vAlign w:val="center"/>
          </w:tcPr>
          <w:p>
            <w:pPr>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细砂</w:t>
            </w:r>
          </w:p>
        </w:tc>
        <w:tc>
          <w:tcPr>
            <w:tcW w:w="3333" w:type="pct"/>
            <w:vAlign w:val="center"/>
          </w:tcPr>
          <w:p>
            <w:pPr>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667" w:type="pct"/>
            <w:vAlign w:val="center"/>
          </w:tcPr>
          <w:p>
            <w:pPr>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中砂</w:t>
            </w:r>
          </w:p>
        </w:tc>
        <w:tc>
          <w:tcPr>
            <w:tcW w:w="3333" w:type="pct"/>
            <w:vAlign w:val="center"/>
          </w:tcPr>
          <w:p>
            <w:pPr>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1667" w:type="pct"/>
            <w:vAlign w:val="center"/>
          </w:tcPr>
          <w:p>
            <w:pPr>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粗砂</w:t>
            </w:r>
          </w:p>
        </w:tc>
        <w:tc>
          <w:tcPr>
            <w:tcW w:w="3333" w:type="pct"/>
            <w:vAlign w:val="center"/>
          </w:tcPr>
          <w:p>
            <w:pPr>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667" w:type="pct"/>
            <w:vAlign w:val="center"/>
          </w:tcPr>
          <w:p>
            <w:pPr>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砾石</w:t>
            </w:r>
          </w:p>
        </w:tc>
        <w:tc>
          <w:tcPr>
            <w:tcW w:w="3333" w:type="pct"/>
            <w:vAlign w:val="center"/>
          </w:tcPr>
          <w:p>
            <w:pPr>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667" w:type="pct"/>
            <w:vAlign w:val="center"/>
          </w:tcPr>
          <w:p>
            <w:pPr>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卵石</w:t>
            </w:r>
          </w:p>
        </w:tc>
        <w:tc>
          <w:tcPr>
            <w:tcW w:w="3333" w:type="pct"/>
            <w:vAlign w:val="center"/>
          </w:tcPr>
          <w:p>
            <w:pPr>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500</w:t>
            </w:r>
          </w:p>
        </w:tc>
      </w:tr>
    </w:tbl>
    <w:p>
      <w:pPr>
        <w:spacing w:before="156" w:beforeLines="50"/>
        <w:ind w:firstLine="560"/>
        <w:rPr>
          <w:rFonts w:ascii="Times New Roman" w:hAnsi="Times New Roman"/>
        </w:rPr>
      </w:pPr>
      <w:r>
        <w:rPr>
          <w:rFonts w:ascii="Times New Roman" w:hAnsi="Times New Roman"/>
        </w:rPr>
        <w:t>根据2018年2月</w:t>
      </w:r>
      <w:r>
        <w:rPr>
          <w:rFonts w:hint="eastAsia" w:ascii="Times New Roman" w:hAnsi="Times New Roman"/>
        </w:rPr>
        <w:t>山东省地矿工程勘察院</w:t>
      </w:r>
      <w:r>
        <w:rPr>
          <w:rFonts w:ascii="Times New Roman" w:hAnsi="Times New Roman"/>
        </w:rPr>
        <w:t>编制的《</w:t>
      </w:r>
      <w:r>
        <w:rPr>
          <w:rFonts w:hint="eastAsia" w:ascii="Times New Roman" w:hAnsi="Times New Roman"/>
        </w:rPr>
        <w:t>山东省淄博市博山区谢家店地区供水水文地质勘查报告</w:t>
      </w:r>
      <w:r>
        <w:rPr>
          <w:rFonts w:ascii="Times New Roman" w:hAnsi="Times New Roman"/>
        </w:rPr>
        <w:t>》可知，</w:t>
      </w:r>
      <w:r>
        <w:rPr>
          <w:rFonts w:hint="eastAsia" w:ascii="Times New Roman" w:hAnsi="Times New Roman"/>
        </w:rPr>
        <w:t>取水井周边的第四系为冲积洪积层，上部为黄褐色、土黄色粘质砂土，一般厚 3~5m，局部地区为粗砂砾石层，砾石大小不一，直径一般 2~10cm，砾石成分主要为灰岩；下部为粗砂砾石层，砂的主要成分为长石、石英，砾石层为砾石及河卵石相混杂，成分为灰岩及变质岩，直径一般 5~12cm，厚度一般 10~20m。上层潜水水位埋深较浅， 2017 年枯水期水位埋深 5.45~10.73m。因此，综合考虑上层土壤颗粒组成特点及下层砂砾的分布特征，以细砂为</w:t>
      </w:r>
      <w:r>
        <w:rPr>
          <w:rFonts w:ascii="Times New Roman" w:hAnsi="Times New Roman"/>
        </w:rPr>
        <w:t>谢家店饮用水水源地</w:t>
      </w:r>
      <w:r>
        <w:rPr>
          <w:rFonts w:hint="eastAsia" w:ascii="Times New Roman" w:hAnsi="Times New Roman"/>
        </w:rPr>
        <w:t>取水井处</w:t>
      </w:r>
      <w:r>
        <w:rPr>
          <w:rFonts w:ascii="Times New Roman" w:hAnsi="Times New Roman"/>
        </w:rPr>
        <w:t>含水</w:t>
      </w:r>
      <w:r>
        <w:rPr>
          <w:rFonts w:hint="eastAsia" w:ascii="Times New Roman" w:hAnsi="Times New Roman"/>
        </w:rPr>
        <w:t>层</w:t>
      </w:r>
      <w:r>
        <w:rPr>
          <w:rFonts w:ascii="Times New Roman" w:hAnsi="Times New Roman"/>
        </w:rPr>
        <w:t>介质</w:t>
      </w:r>
      <w:r>
        <w:rPr>
          <w:rFonts w:hint="eastAsia" w:ascii="Times New Roman" w:hAnsi="Times New Roman"/>
        </w:rPr>
        <w:t>类型是合理的。</w:t>
      </w:r>
      <w:r>
        <w:rPr>
          <w:rFonts w:ascii="Times New Roman" w:hAnsi="Times New Roman"/>
        </w:rPr>
        <w:t>为了确保谢家店饮用水水源保护区划分科学性和合理性，其一级保护区采用经验公式法和经验值法两种方法进行比较确定范围，其中经验公式中相关参数参考经验数值，计算过程如下。</w:t>
      </w:r>
    </w:p>
    <w:p>
      <w:pPr>
        <w:ind w:firstLine="562"/>
        <w:rPr>
          <w:rFonts w:ascii="Times New Roman" w:hAnsi="Times New Roman"/>
        </w:rPr>
      </w:pPr>
      <w:r>
        <w:rPr>
          <w:rFonts w:ascii="Times New Roman" w:hAnsi="Times New Roman"/>
          <w:b/>
        </w:rPr>
        <w:t>经验公式法</w:t>
      </w:r>
      <w:r>
        <w:rPr>
          <w:rFonts w:ascii="Times New Roman" w:hAnsi="Times New Roman"/>
        </w:rPr>
        <w:t>：</w:t>
      </w:r>
      <w:r>
        <w:rPr>
          <w:rFonts w:hint="eastAsia" w:ascii="Times New Roman" w:hAnsi="Times New Roman"/>
        </w:rPr>
        <w:t>实测</w:t>
      </w:r>
      <w:r>
        <w:rPr>
          <w:rFonts w:ascii="Times New Roman" w:hAnsi="Times New Roman"/>
        </w:rPr>
        <w:t>含水层渗透系数</w:t>
      </w:r>
      <w:r>
        <w:rPr>
          <w:rFonts w:hint="eastAsia" w:ascii="Times New Roman" w:hAnsi="Times New Roman"/>
        </w:rPr>
        <w:t>平均</w:t>
      </w:r>
      <w:r>
        <w:rPr>
          <w:rFonts w:ascii="Times New Roman" w:hAnsi="Times New Roman"/>
        </w:rPr>
        <w:t>值为</w:t>
      </w:r>
      <w:r>
        <w:rPr>
          <w:rFonts w:hint="eastAsia" w:ascii="Times New Roman" w:hAnsi="Times New Roman"/>
        </w:rPr>
        <w:t>19.</w:t>
      </w:r>
      <w:r>
        <w:rPr>
          <w:rFonts w:ascii="Times New Roman" w:hAnsi="Times New Roman"/>
        </w:rPr>
        <w:t>3 m/d，</w:t>
      </w:r>
      <w:r>
        <w:rPr>
          <w:rFonts w:hint="eastAsia" w:ascii="Times New Roman" w:hAnsi="Times New Roman"/>
        </w:rPr>
        <w:t>有效</w:t>
      </w:r>
      <w:r>
        <w:rPr>
          <w:rFonts w:ascii="Times New Roman" w:hAnsi="Times New Roman"/>
        </w:rPr>
        <w:t>孔隙度为4</w:t>
      </w:r>
      <w:r>
        <w:rPr>
          <w:rFonts w:hint="eastAsia" w:ascii="Times New Roman" w:hAnsi="Times New Roman"/>
        </w:rPr>
        <w:t>0</w:t>
      </w:r>
      <w:r>
        <w:rPr>
          <w:rFonts w:ascii="Times New Roman" w:hAnsi="Times New Roman"/>
        </w:rPr>
        <w:t>%，</w:t>
      </w:r>
      <w:r>
        <w:rPr>
          <w:rFonts w:hint="eastAsia" w:ascii="Times New Roman" w:hAnsi="Times New Roman"/>
        </w:rPr>
        <w:t>地下水水力坡度平均</w:t>
      </w:r>
      <w:r>
        <w:rPr>
          <w:rFonts w:ascii="Times New Roman" w:hAnsi="Times New Roman"/>
        </w:rPr>
        <w:t>为</w:t>
      </w:r>
      <w:r>
        <w:rPr>
          <w:rFonts w:hint="eastAsia" w:ascii="Times New Roman" w:hAnsi="Times New Roman"/>
        </w:rPr>
        <w:t>2.5‰，</w:t>
      </w:r>
      <w:r>
        <w:rPr>
          <w:rFonts w:ascii="Times New Roman" w:hAnsi="Times New Roman"/>
        </w:rPr>
        <w:t>得到一级保护区半径参考值为</w:t>
      </w:r>
      <w:r>
        <w:rPr>
          <w:rFonts w:hint="eastAsia" w:ascii="Times New Roman" w:hAnsi="Times New Roman"/>
        </w:rPr>
        <w:t>18</w:t>
      </w:r>
      <w:r>
        <w:rPr>
          <w:rFonts w:ascii="Times New Roman" w:hAnsi="Times New Roman"/>
        </w:rPr>
        <w:t>.</w:t>
      </w:r>
      <w:r>
        <w:rPr>
          <w:rFonts w:hint="eastAsia" w:ascii="Times New Roman" w:hAnsi="Times New Roman"/>
        </w:rPr>
        <w:t>1</w:t>
      </w:r>
      <w:r>
        <w:rPr>
          <w:rFonts w:ascii="Times New Roman" w:hAnsi="Times New Roman"/>
        </w:rPr>
        <w:t>米。</w:t>
      </w:r>
    </w:p>
    <w:p>
      <w:pPr>
        <w:ind w:firstLine="562"/>
        <w:rPr>
          <w:rFonts w:ascii="Times New Roman" w:hAnsi="Times New Roman"/>
        </w:rPr>
      </w:pPr>
      <w:r>
        <w:rPr>
          <w:rFonts w:ascii="Times New Roman" w:hAnsi="Times New Roman"/>
          <w:b/>
        </w:rPr>
        <w:t>经验值法</w:t>
      </w:r>
      <w:r>
        <w:rPr>
          <w:rFonts w:ascii="Times New Roman" w:hAnsi="Times New Roman"/>
        </w:rPr>
        <w:t>：谢家店饮用水水源一级保护区可采用</w:t>
      </w:r>
      <w:r>
        <w:rPr>
          <w:rFonts w:hint="eastAsia" w:ascii="Times New Roman" w:hAnsi="Times New Roman"/>
        </w:rPr>
        <w:t>岩性为细砂的</w:t>
      </w:r>
      <w:r>
        <w:rPr>
          <w:rFonts w:ascii="Times New Roman" w:hAnsi="Times New Roman"/>
        </w:rPr>
        <w:t>一级保护区范围经验值划定，即一级保护区半径参考值为</w:t>
      </w:r>
      <w:r>
        <w:rPr>
          <w:rFonts w:hint="eastAsia" w:ascii="Times New Roman" w:hAnsi="Times New Roman"/>
        </w:rPr>
        <w:t>30</w:t>
      </w:r>
      <w:r>
        <w:rPr>
          <w:rFonts w:ascii="Times New Roman" w:hAnsi="Times New Roman"/>
        </w:rPr>
        <w:t>米</w:t>
      </w:r>
      <w:r>
        <w:rPr>
          <w:rFonts w:hint="eastAsia" w:ascii="Times New Roman" w:hAnsi="Times New Roman"/>
        </w:rPr>
        <w:t>（HJ/</w:t>
      </w:r>
      <w:r>
        <w:rPr>
          <w:rFonts w:ascii="Times New Roman" w:hAnsi="Times New Roman"/>
        </w:rPr>
        <w:t>T 338-20</w:t>
      </w:r>
      <w:r>
        <w:rPr>
          <w:rFonts w:hint="eastAsia" w:ascii="Times New Roman" w:hAnsi="Times New Roman"/>
        </w:rPr>
        <w:t>18）</w:t>
      </w:r>
      <w:r>
        <w:rPr>
          <w:rFonts w:ascii="Times New Roman" w:hAnsi="Times New Roman"/>
        </w:rPr>
        <w:t>。</w:t>
      </w:r>
    </w:p>
    <w:p>
      <w:pPr>
        <w:ind w:firstLine="560"/>
        <w:jc w:val="center"/>
        <w:rPr>
          <w:rFonts w:ascii="Times New Roman" w:hAnsi="Times New Roman"/>
        </w:rPr>
      </w:pPr>
      <w:r>
        <w:rPr>
          <w:rFonts w:hint="eastAsia" w:ascii="Times New Roman" w:hAnsi="Times New Roman"/>
        </w:rPr>
        <w:t>表3-3</w:t>
      </w:r>
      <w:r>
        <w:rPr>
          <w:rFonts w:ascii="Times New Roman" w:hAnsi="Times New Roman"/>
        </w:rPr>
        <w:t xml:space="preserve"> </w:t>
      </w:r>
      <w:r>
        <w:rPr>
          <w:rFonts w:hint="eastAsia" w:ascii="Times New Roman" w:hAnsi="Times New Roman"/>
        </w:rPr>
        <w:t>取水井基本揭露地层信息</w:t>
      </w:r>
    </w:p>
    <w:tbl>
      <w:tblPr>
        <w:tblStyle w:val="15"/>
        <w:tblW w:w="8380" w:type="dxa"/>
        <w:tblInd w:w="-5" w:type="dxa"/>
        <w:tblLayout w:type="autofit"/>
        <w:tblCellMar>
          <w:top w:w="0" w:type="dxa"/>
          <w:left w:w="108" w:type="dxa"/>
          <w:bottom w:w="0" w:type="dxa"/>
          <w:right w:w="108" w:type="dxa"/>
        </w:tblCellMar>
      </w:tblPr>
      <w:tblGrid>
        <w:gridCol w:w="486"/>
        <w:gridCol w:w="915"/>
        <w:gridCol w:w="2852"/>
        <w:gridCol w:w="1276"/>
        <w:gridCol w:w="1417"/>
        <w:gridCol w:w="1434"/>
      </w:tblGrid>
      <w:tr>
        <w:tblPrEx>
          <w:tblCellMar>
            <w:top w:w="0" w:type="dxa"/>
            <w:left w:w="108" w:type="dxa"/>
            <w:bottom w:w="0" w:type="dxa"/>
            <w:right w:w="108" w:type="dxa"/>
          </w:tblCellMar>
        </w:tblPrEx>
        <w:trPr>
          <w:trHeight w:val="810" w:hRule="atLeast"/>
        </w:trPr>
        <w:tc>
          <w:tcPr>
            <w:tcW w:w="46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b/>
                <w:bCs/>
                <w:color w:val="000000"/>
                <w:kern w:val="0"/>
                <w:sz w:val="22"/>
              </w:rPr>
            </w:pPr>
            <w:r>
              <w:rPr>
                <w:rFonts w:hint="eastAsia" w:ascii="宋体" w:hAnsi="宋体" w:eastAsia="宋体" w:cs="宋体"/>
                <w:b/>
                <w:bCs/>
                <w:color w:val="000000"/>
                <w:kern w:val="0"/>
                <w:sz w:val="22"/>
              </w:rPr>
              <w:t>编号</w:t>
            </w:r>
          </w:p>
        </w:tc>
        <w:tc>
          <w:tcPr>
            <w:tcW w:w="876"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b/>
                <w:bCs/>
                <w:color w:val="000000"/>
                <w:kern w:val="0"/>
                <w:sz w:val="22"/>
              </w:rPr>
            </w:pPr>
            <w:r>
              <w:rPr>
                <w:rFonts w:hint="eastAsia" w:ascii="宋体" w:hAnsi="宋体" w:eastAsia="宋体" w:cs="宋体"/>
                <w:b/>
                <w:bCs/>
                <w:color w:val="000000"/>
                <w:kern w:val="0"/>
                <w:sz w:val="22"/>
              </w:rPr>
              <w:t>井深（m）</w:t>
            </w:r>
          </w:p>
        </w:tc>
        <w:tc>
          <w:tcPr>
            <w:tcW w:w="2913"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b/>
                <w:bCs/>
                <w:color w:val="000000"/>
                <w:kern w:val="0"/>
                <w:sz w:val="22"/>
              </w:rPr>
            </w:pPr>
            <w:r>
              <w:rPr>
                <w:rFonts w:hint="eastAsia" w:ascii="宋体" w:hAnsi="宋体" w:eastAsia="宋体" w:cs="宋体"/>
                <w:b/>
                <w:bCs/>
                <w:color w:val="000000"/>
                <w:kern w:val="0"/>
                <w:sz w:val="22"/>
              </w:rPr>
              <w:t>揭露地层</w:t>
            </w:r>
          </w:p>
        </w:tc>
        <w:tc>
          <w:tcPr>
            <w:tcW w:w="1276"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rPr>
                <w:rFonts w:ascii="宋体" w:hAnsi="宋体" w:eastAsia="宋体" w:cs="宋体"/>
                <w:b/>
                <w:bCs/>
                <w:color w:val="000000"/>
                <w:kern w:val="0"/>
                <w:sz w:val="22"/>
              </w:rPr>
            </w:pPr>
            <w:r>
              <w:rPr>
                <w:rFonts w:hint="eastAsia" w:ascii="宋体" w:hAnsi="宋体" w:eastAsia="宋体" w:cs="宋体"/>
                <w:b/>
                <w:bCs/>
                <w:color w:val="000000"/>
                <w:kern w:val="0"/>
                <w:sz w:val="22"/>
              </w:rPr>
              <w:t>板埋深（含水层顶m）</w:t>
            </w:r>
          </w:p>
        </w:tc>
        <w:tc>
          <w:tcPr>
            <w:tcW w:w="1417"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b/>
                <w:bCs/>
                <w:color w:val="000000"/>
                <w:kern w:val="0"/>
                <w:sz w:val="22"/>
              </w:rPr>
            </w:pPr>
            <w:r>
              <w:rPr>
                <w:rFonts w:hint="eastAsia" w:ascii="宋体" w:hAnsi="宋体" w:eastAsia="宋体" w:cs="宋体"/>
                <w:b/>
                <w:bCs/>
                <w:color w:val="000000"/>
                <w:kern w:val="0"/>
                <w:sz w:val="22"/>
              </w:rPr>
              <w:t>含水层底板埋深（m）</w:t>
            </w:r>
          </w:p>
        </w:tc>
        <w:tc>
          <w:tcPr>
            <w:tcW w:w="1434"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b/>
                <w:bCs/>
                <w:color w:val="000000"/>
                <w:kern w:val="0"/>
                <w:sz w:val="22"/>
              </w:rPr>
            </w:pPr>
            <w:r>
              <w:rPr>
                <w:rFonts w:hint="eastAsia" w:ascii="宋体" w:hAnsi="宋体" w:eastAsia="宋体" w:cs="宋体"/>
                <w:b/>
                <w:bCs/>
                <w:color w:val="000000"/>
                <w:kern w:val="0"/>
                <w:sz w:val="22"/>
              </w:rPr>
              <w:t>含水层厚度（m）</w:t>
            </w:r>
          </w:p>
        </w:tc>
      </w:tr>
      <w:tr>
        <w:tblPrEx>
          <w:tblCellMar>
            <w:top w:w="0" w:type="dxa"/>
            <w:left w:w="108" w:type="dxa"/>
            <w:bottom w:w="0" w:type="dxa"/>
            <w:right w:w="108" w:type="dxa"/>
          </w:tblCellMar>
        </w:tblPrEx>
        <w:trPr>
          <w:trHeight w:val="285" w:hRule="atLeast"/>
        </w:trPr>
        <w:tc>
          <w:tcPr>
            <w:tcW w:w="46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876"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353.28</w:t>
            </w:r>
          </w:p>
        </w:tc>
        <w:tc>
          <w:tcPr>
            <w:tcW w:w="2913"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Q、O</w:t>
            </w:r>
            <w:r>
              <w:rPr>
                <w:rFonts w:hint="eastAsia" w:ascii="宋体" w:hAnsi="宋体" w:eastAsia="宋体" w:cs="宋体"/>
                <w:color w:val="000000"/>
                <w:kern w:val="0"/>
                <w:sz w:val="12"/>
                <w:szCs w:val="12"/>
              </w:rPr>
              <w:t>2</w:t>
            </w:r>
            <w:r>
              <w:rPr>
                <w:rFonts w:hint="eastAsia" w:ascii="宋体" w:hAnsi="宋体" w:eastAsia="宋体" w:cs="宋体"/>
                <w:color w:val="000000"/>
                <w:kern w:val="0"/>
                <w:sz w:val="22"/>
              </w:rPr>
              <w:t>b、O</w:t>
            </w:r>
            <w:r>
              <w:rPr>
                <w:rFonts w:hint="eastAsia" w:ascii="宋体" w:hAnsi="宋体" w:eastAsia="宋体" w:cs="宋体"/>
                <w:color w:val="000000"/>
                <w:kern w:val="0"/>
                <w:sz w:val="12"/>
                <w:szCs w:val="12"/>
              </w:rPr>
              <w:t>2</w:t>
            </w:r>
            <w:r>
              <w:rPr>
                <w:rFonts w:hint="eastAsia" w:ascii="宋体" w:hAnsi="宋体" w:eastAsia="宋体" w:cs="宋体"/>
                <w:color w:val="000000"/>
                <w:kern w:val="0"/>
                <w:sz w:val="22"/>
              </w:rPr>
              <w:t>d、∈</w:t>
            </w:r>
            <w:r>
              <w:rPr>
                <w:rFonts w:hint="eastAsia" w:ascii="宋体" w:hAnsi="宋体" w:eastAsia="宋体" w:cs="宋体"/>
                <w:color w:val="000000"/>
                <w:kern w:val="0"/>
                <w:sz w:val="12"/>
                <w:szCs w:val="12"/>
              </w:rPr>
              <w:t>4</w:t>
            </w:r>
            <w:r>
              <w:rPr>
                <w:rFonts w:hint="eastAsia" w:ascii="宋体" w:hAnsi="宋体" w:eastAsia="宋体" w:cs="宋体"/>
                <w:color w:val="000000"/>
                <w:kern w:val="0"/>
                <w:sz w:val="22"/>
              </w:rPr>
              <w:t>O</w:t>
            </w:r>
            <w:r>
              <w:rPr>
                <w:rFonts w:hint="eastAsia" w:ascii="宋体" w:hAnsi="宋体" w:eastAsia="宋体" w:cs="宋体"/>
                <w:color w:val="000000"/>
                <w:kern w:val="0"/>
                <w:sz w:val="12"/>
                <w:szCs w:val="12"/>
              </w:rPr>
              <w:t>1</w:t>
            </w:r>
            <w:r>
              <w:rPr>
                <w:rFonts w:hint="eastAsia" w:ascii="宋体" w:hAnsi="宋体" w:eastAsia="宋体" w:cs="宋体"/>
                <w:color w:val="000000"/>
                <w:kern w:val="0"/>
                <w:sz w:val="22"/>
              </w:rPr>
              <w:t>s、∈</w:t>
            </w:r>
            <w:r>
              <w:rPr>
                <w:rFonts w:hint="eastAsia" w:ascii="宋体" w:hAnsi="宋体" w:eastAsia="宋体" w:cs="宋体"/>
                <w:color w:val="000000"/>
                <w:kern w:val="0"/>
                <w:sz w:val="12"/>
                <w:szCs w:val="12"/>
              </w:rPr>
              <w:t>4</w:t>
            </w:r>
            <w:r>
              <w:rPr>
                <w:rFonts w:hint="eastAsia" w:ascii="宋体" w:hAnsi="宋体" w:eastAsia="宋体" w:cs="宋体"/>
                <w:color w:val="000000"/>
                <w:kern w:val="0"/>
                <w:sz w:val="22"/>
              </w:rPr>
              <w:t>O</w:t>
            </w:r>
            <w:r>
              <w:rPr>
                <w:rFonts w:hint="eastAsia" w:ascii="宋体" w:hAnsi="宋体" w:eastAsia="宋体" w:cs="宋体"/>
                <w:color w:val="000000"/>
                <w:kern w:val="0"/>
                <w:sz w:val="12"/>
                <w:szCs w:val="12"/>
              </w:rPr>
              <w:t>1</w:t>
            </w:r>
            <m:oMath>
              <m:acc>
                <m:accPr>
                  <m:ctrlPr>
                    <w:rPr>
                      <w:rFonts w:ascii="Cambria Math" w:hAnsi="Cambria Math" w:eastAsia="宋体" w:cs="宋体"/>
                      <w:color w:val="000000"/>
                      <w:kern w:val="0"/>
                      <w:sz w:val="21"/>
                      <w:szCs w:val="21"/>
                    </w:rPr>
                  </m:ctrlPr>
                </m:accPr>
                <m:e>
                  <m:r>
                    <w:rPr>
                      <w:rFonts w:hint="eastAsia" w:ascii="Cambria Math" w:hAnsi="Cambria Math" w:eastAsia="宋体" w:cs="宋体"/>
                      <w:color w:val="000000"/>
                      <w:kern w:val="0"/>
                      <w:sz w:val="21"/>
                      <w:szCs w:val="21"/>
                    </w:rPr>
                    <m:t>C</m:t>
                  </m:r>
                  <m:ctrlPr>
                    <w:rPr>
                      <w:rFonts w:ascii="Cambria Math" w:hAnsi="Cambria Math" w:eastAsia="宋体" w:cs="宋体"/>
                      <w:color w:val="000000"/>
                      <w:kern w:val="0"/>
                      <w:sz w:val="21"/>
                      <w:szCs w:val="21"/>
                    </w:rPr>
                  </m:ctrlPr>
                </m:e>
              </m:acc>
            </m:oMath>
          </w:p>
        </w:tc>
        <w:tc>
          <w:tcPr>
            <w:tcW w:w="1276"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32.3</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341</w:t>
            </w:r>
          </w:p>
        </w:tc>
        <w:tc>
          <w:tcPr>
            <w:tcW w:w="1434"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60.88</w:t>
            </w:r>
          </w:p>
        </w:tc>
      </w:tr>
      <w:tr>
        <w:tblPrEx>
          <w:tblCellMar>
            <w:top w:w="0" w:type="dxa"/>
            <w:left w:w="108" w:type="dxa"/>
            <w:bottom w:w="0" w:type="dxa"/>
            <w:right w:w="108" w:type="dxa"/>
          </w:tblCellMar>
        </w:tblPrEx>
        <w:trPr>
          <w:trHeight w:val="285" w:hRule="atLeast"/>
        </w:trPr>
        <w:tc>
          <w:tcPr>
            <w:tcW w:w="464"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2#</w:t>
            </w:r>
          </w:p>
        </w:tc>
        <w:tc>
          <w:tcPr>
            <w:tcW w:w="87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350.29</w:t>
            </w:r>
          </w:p>
        </w:tc>
        <w:tc>
          <w:tcPr>
            <w:tcW w:w="2913"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Q、O</w:t>
            </w:r>
            <w:r>
              <w:rPr>
                <w:rFonts w:hint="eastAsia" w:ascii="宋体" w:hAnsi="宋体" w:eastAsia="宋体" w:cs="宋体"/>
                <w:color w:val="000000"/>
                <w:kern w:val="0"/>
                <w:sz w:val="12"/>
                <w:szCs w:val="12"/>
              </w:rPr>
              <w:t>2</w:t>
            </w:r>
            <w:r>
              <w:rPr>
                <w:rFonts w:hint="eastAsia" w:ascii="宋体" w:hAnsi="宋体" w:eastAsia="宋体" w:cs="宋体"/>
                <w:color w:val="000000"/>
                <w:kern w:val="0"/>
                <w:sz w:val="22"/>
              </w:rPr>
              <w:t>b、O</w:t>
            </w:r>
            <w:r>
              <w:rPr>
                <w:rFonts w:hint="eastAsia" w:ascii="宋体" w:hAnsi="宋体" w:eastAsia="宋体" w:cs="宋体"/>
                <w:color w:val="000000"/>
                <w:kern w:val="0"/>
                <w:sz w:val="12"/>
                <w:szCs w:val="12"/>
              </w:rPr>
              <w:t>2</w:t>
            </w:r>
            <w:r>
              <w:rPr>
                <w:rFonts w:hint="eastAsia" w:ascii="宋体" w:hAnsi="宋体" w:eastAsia="宋体" w:cs="宋体"/>
                <w:color w:val="000000"/>
                <w:kern w:val="0"/>
                <w:sz w:val="22"/>
              </w:rPr>
              <w:t>d、∈</w:t>
            </w:r>
            <w:r>
              <w:rPr>
                <w:rFonts w:hint="eastAsia" w:ascii="宋体" w:hAnsi="宋体" w:eastAsia="宋体" w:cs="宋体"/>
                <w:color w:val="000000"/>
                <w:kern w:val="0"/>
                <w:sz w:val="12"/>
                <w:szCs w:val="12"/>
              </w:rPr>
              <w:t>4</w:t>
            </w:r>
            <w:r>
              <w:rPr>
                <w:rFonts w:hint="eastAsia" w:ascii="宋体" w:hAnsi="宋体" w:eastAsia="宋体" w:cs="宋体"/>
                <w:color w:val="000000"/>
                <w:kern w:val="0"/>
                <w:sz w:val="22"/>
              </w:rPr>
              <w:t>O</w:t>
            </w:r>
            <w:r>
              <w:rPr>
                <w:rFonts w:hint="eastAsia" w:ascii="宋体" w:hAnsi="宋体" w:eastAsia="宋体" w:cs="宋体"/>
                <w:color w:val="000000"/>
                <w:kern w:val="0"/>
                <w:sz w:val="12"/>
                <w:szCs w:val="12"/>
              </w:rPr>
              <w:t>1</w:t>
            </w:r>
            <w:r>
              <w:rPr>
                <w:rFonts w:hint="eastAsia" w:ascii="宋体" w:hAnsi="宋体" w:eastAsia="宋体" w:cs="宋体"/>
                <w:color w:val="000000"/>
                <w:kern w:val="0"/>
                <w:sz w:val="22"/>
              </w:rPr>
              <w:t>s、∈</w:t>
            </w:r>
            <w:r>
              <w:rPr>
                <w:rFonts w:hint="eastAsia" w:ascii="宋体" w:hAnsi="宋体" w:eastAsia="宋体" w:cs="宋体"/>
                <w:color w:val="000000"/>
                <w:kern w:val="0"/>
                <w:sz w:val="12"/>
                <w:szCs w:val="12"/>
              </w:rPr>
              <w:t>4</w:t>
            </w:r>
            <w:r>
              <w:rPr>
                <w:rFonts w:hint="eastAsia" w:ascii="宋体" w:hAnsi="宋体" w:eastAsia="宋体" w:cs="宋体"/>
                <w:color w:val="000000"/>
                <w:kern w:val="0"/>
                <w:sz w:val="22"/>
              </w:rPr>
              <w:t>O</w:t>
            </w:r>
            <w:r>
              <w:rPr>
                <w:rFonts w:hint="eastAsia" w:ascii="宋体" w:hAnsi="宋体" w:eastAsia="宋体" w:cs="宋体"/>
                <w:color w:val="000000"/>
                <w:kern w:val="0"/>
                <w:sz w:val="12"/>
                <w:szCs w:val="12"/>
              </w:rPr>
              <w:t>1</w:t>
            </w:r>
            <m:oMath>
              <m:acc>
                <m:accPr>
                  <m:ctrlPr>
                    <w:rPr>
                      <w:rFonts w:ascii="Cambria Math" w:hAnsi="Cambria Math" w:eastAsia="宋体" w:cs="宋体"/>
                      <w:color w:val="000000"/>
                      <w:kern w:val="0"/>
                      <w:sz w:val="21"/>
                      <w:szCs w:val="21"/>
                    </w:rPr>
                  </m:ctrlPr>
                </m:accPr>
                <m:e>
                  <m:r>
                    <w:rPr>
                      <w:rFonts w:hint="eastAsia" w:ascii="Cambria Math" w:hAnsi="Cambria Math" w:eastAsia="宋体" w:cs="宋体"/>
                      <w:color w:val="000000"/>
                      <w:kern w:val="0"/>
                      <w:sz w:val="21"/>
                      <w:szCs w:val="21"/>
                    </w:rPr>
                    <m:t>C</m:t>
                  </m:r>
                  <m:ctrlPr>
                    <w:rPr>
                      <w:rFonts w:ascii="Cambria Math" w:hAnsi="Cambria Math" w:eastAsia="宋体" w:cs="宋体"/>
                      <w:color w:val="000000"/>
                      <w:kern w:val="0"/>
                      <w:sz w:val="21"/>
                      <w:szCs w:val="21"/>
                    </w:rPr>
                  </m:ctrlPr>
                </m:e>
              </m:acc>
            </m:oMath>
          </w:p>
        </w:tc>
        <w:tc>
          <w:tcPr>
            <w:tcW w:w="127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42.65</w:t>
            </w:r>
          </w:p>
        </w:tc>
        <w:tc>
          <w:tcPr>
            <w:tcW w:w="141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317.15</w:t>
            </w:r>
          </w:p>
        </w:tc>
        <w:tc>
          <w:tcPr>
            <w:tcW w:w="1434"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38.62</w:t>
            </w:r>
          </w:p>
        </w:tc>
      </w:tr>
      <w:tr>
        <w:tblPrEx>
          <w:tblCellMar>
            <w:top w:w="0" w:type="dxa"/>
            <w:left w:w="108" w:type="dxa"/>
            <w:bottom w:w="0" w:type="dxa"/>
            <w:right w:w="108" w:type="dxa"/>
          </w:tblCellMar>
        </w:tblPrEx>
        <w:trPr>
          <w:trHeight w:val="285" w:hRule="atLeast"/>
        </w:trPr>
        <w:tc>
          <w:tcPr>
            <w:tcW w:w="46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876"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352.45</w:t>
            </w:r>
          </w:p>
        </w:tc>
        <w:tc>
          <w:tcPr>
            <w:tcW w:w="2913"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Q、O</w:t>
            </w:r>
            <w:r>
              <w:rPr>
                <w:rFonts w:hint="eastAsia" w:ascii="宋体" w:hAnsi="宋体" w:eastAsia="宋体" w:cs="宋体"/>
                <w:color w:val="000000"/>
                <w:kern w:val="0"/>
                <w:sz w:val="12"/>
                <w:szCs w:val="12"/>
              </w:rPr>
              <w:t>2</w:t>
            </w:r>
            <w:r>
              <w:rPr>
                <w:rFonts w:hint="eastAsia" w:ascii="宋体" w:hAnsi="宋体" w:eastAsia="宋体" w:cs="宋体"/>
                <w:color w:val="000000"/>
                <w:kern w:val="0"/>
                <w:sz w:val="22"/>
              </w:rPr>
              <w:t>b、O</w:t>
            </w:r>
            <w:r>
              <w:rPr>
                <w:rFonts w:hint="eastAsia" w:ascii="宋体" w:hAnsi="宋体" w:eastAsia="宋体" w:cs="宋体"/>
                <w:color w:val="000000"/>
                <w:kern w:val="0"/>
                <w:sz w:val="12"/>
                <w:szCs w:val="12"/>
              </w:rPr>
              <w:t>2</w:t>
            </w:r>
            <w:r>
              <w:rPr>
                <w:rFonts w:hint="eastAsia" w:ascii="宋体" w:hAnsi="宋体" w:eastAsia="宋体" w:cs="宋体"/>
                <w:color w:val="000000"/>
                <w:kern w:val="0"/>
                <w:sz w:val="22"/>
              </w:rPr>
              <w:t>d、∈</w:t>
            </w:r>
            <w:r>
              <w:rPr>
                <w:rFonts w:hint="eastAsia" w:ascii="宋体" w:hAnsi="宋体" w:eastAsia="宋体" w:cs="宋体"/>
                <w:color w:val="000000"/>
                <w:kern w:val="0"/>
                <w:sz w:val="12"/>
                <w:szCs w:val="12"/>
              </w:rPr>
              <w:t>4</w:t>
            </w:r>
            <w:r>
              <w:rPr>
                <w:rFonts w:hint="eastAsia" w:ascii="宋体" w:hAnsi="宋体" w:eastAsia="宋体" w:cs="宋体"/>
                <w:color w:val="000000"/>
                <w:kern w:val="0"/>
                <w:sz w:val="22"/>
              </w:rPr>
              <w:t>O</w:t>
            </w:r>
            <w:r>
              <w:rPr>
                <w:rFonts w:hint="eastAsia" w:ascii="宋体" w:hAnsi="宋体" w:eastAsia="宋体" w:cs="宋体"/>
                <w:color w:val="000000"/>
                <w:kern w:val="0"/>
                <w:sz w:val="12"/>
                <w:szCs w:val="12"/>
              </w:rPr>
              <w:t>1</w:t>
            </w:r>
            <w:r>
              <w:rPr>
                <w:rFonts w:hint="eastAsia" w:ascii="宋体" w:hAnsi="宋体" w:eastAsia="宋体" w:cs="宋体"/>
                <w:color w:val="000000"/>
                <w:kern w:val="0"/>
                <w:sz w:val="22"/>
              </w:rPr>
              <w:t>s、∈</w:t>
            </w:r>
            <w:r>
              <w:rPr>
                <w:rFonts w:hint="eastAsia" w:ascii="宋体" w:hAnsi="宋体" w:eastAsia="宋体" w:cs="宋体"/>
                <w:color w:val="000000"/>
                <w:kern w:val="0"/>
                <w:sz w:val="12"/>
                <w:szCs w:val="12"/>
              </w:rPr>
              <w:t>4</w:t>
            </w:r>
            <w:r>
              <w:rPr>
                <w:rFonts w:hint="eastAsia" w:ascii="宋体" w:hAnsi="宋体" w:eastAsia="宋体" w:cs="宋体"/>
                <w:color w:val="000000"/>
                <w:kern w:val="0"/>
                <w:sz w:val="22"/>
              </w:rPr>
              <w:t>O</w:t>
            </w:r>
            <w:r>
              <w:rPr>
                <w:rFonts w:hint="eastAsia" w:ascii="宋体" w:hAnsi="宋体" w:eastAsia="宋体" w:cs="宋体"/>
                <w:color w:val="000000"/>
                <w:kern w:val="0"/>
                <w:sz w:val="12"/>
                <w:szCs w:val="12"/>
              </w:rPr>
              <w:t>1</w:t>
            </w:r>
            <m:oMath>
              <m:acc>
                <m:accPr>
                  <m:ctrlPr>
                    <w:rPr>
                      <w:rFonts w:ascii="Cambria Math" w:hAnsi="Cambria Math" w:eastAsia="宋体" w:cs="宋体"/>
                      <w:color w:val="000000"/>
                      <w:kern w:val="0"/>
                      <w:sz w:val="21"/>
                      <w:szCs w:val="21"/>
                    </w:rPr>
                  </m:ctrlPr>
                </m:accPr>
                <m:e>
                  <m:r>
                    <w:rPr>
                      <w:rFonts w:hint="eastAsia" w:ascii="Cambria Math" w:hAnsi="Cambria Math" w:eastAsia="宋体" w:cs="宋体"/>
                      <w:color w:val="000000"/>
                      <w:kern w:val="0"/>
                      <w:sz w:val="21"/>
                      <w:szCs w:val="21"/>
                    </w:rPr>
                    <m:t>C</m:t>
                  </m:r>
                  <m:ctrlPr>
                    <w:rPr>
                      <w:rFonts w:ascii="Cambria Math" w:hAnsi="Cambria Math" w:eastAsia="宋体" w:cs="宋体"/>
                      <w:color w:val="000000"/>
                      <w:kern w:val="0"/>
                      <w:sz w:val="21"/>
                      <w:szCs w:val="21"/>
                    </w:rPr>
                  </m:ctrlPr>
                </m:e>
              </m:acc>
            </m:oMath>
          </w:p>
        </w:tc>
        <w:tc>
          <w:tcPr>
            <w:tcW w:w="1276"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15.44</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316.86</w:t>
            </w:r>
          </w:p>
        </w:tc>
        <w:tc>
          <w:tcPr>
            <w:tcW w:w="1434"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51.55</w:t>
            </w:r>
          </w:p>
        </w:tc>
      </w:tr>
      <w:tr>
        <w:tblPrEx>
          <w:tblCellMar>
            <w:top w:w="0" w:type="dxa"/>
            <w:left w:w="108" w:type="dxa"/>
            <w:bottom w:w="0" w:type="dxa"/>
            <w:right w:w="108" w:type="dxa"/>
          </w:tblCellMar>
        </w:tblPrEx>
        <w:trPr>
          <w:trHeight w:val="285" w:hRule="atLeast"/>
        </w:trPr>
        <w:tc>
          <w:tcPr>
            <w:tcW w:w="464"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4#</w:t>
            </w:r>
          </w:p>
        </w:tc>
        <w:tc>
          <w:tcPr>
            <w:tcW w:w="87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353.15</w:t>
            </w:r>
          </w:p>
        </w:tc>
        <w:tc>
          <w:tcPr>
            <w:tcW w:w="2913"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Q、O</w:t>
            </w:r>
            <w:r>
              <w:rPr>
                <w:rFonts w:hint="eastAsia" w:ascii="宋体" w:hAnsi="宋体" w:eastAsia="宋体" w:cs="宋体"/>
                <w:color w:val="000000"/>
                <w:kern w:val="0"/>
                <w:sz w:val="12"/>
                <w:szCs w:val="12"/>
              </w:rPr>
              <w:t>2</w:t>
            </w:r>
            <w:r>
              <w:rPr>
                <w:rFonts w:hint="eastAsia" w:ascii="宋体" w:hAnsi="宋体" w:eastAsia="宋体" w:cs="宋体"/>
                <w:color w:val="000000"/>
                <w:kern w:val="0"/>
                <w:sz w:val="22"/>
              </w:rPr>
              <w:t>b、O</w:t>
            </w:r>
            <w:r>
              <w:rPr>
                <w:rFonts w:hint="eastAsia" w:ascii="宋体" w:hAnsi="宋体" w:eastAsia="宋体" w:cs="宋体"/>
                <w:color w:val="000000"/>
                <w:kern w:val="0"/>
                <w:sz w:val="12"/>
                <w:szCs w:val="12"/>
              </w:rPr>
              <w:t>2</w:t>
            </w:r>
            <w:r>
              <w:rPr>
                <w:rFonts w:hint="eastAsia" w:ascii="宋体" w:hAnsi="宋体" w:eastAsia="宋体" w:cs="宋体"/>
                <w:color w:val="000000"/>
                <w:kern w:val="0"/>
                <w:sz w:val="22"/>
              </w:rPr>
              <w:t>d、∈</w:t>
            </w:r>
            <w:r>
              <w:rPr>
                <w:rFonts w:hint="eastAsia" w:ascii="宋体" w:hAnsi="宋体" w:eastAsia="宋体" w:cs="宋体"/>
                <w:color w:val="000000"/>
                <w:kern w:val="0"/>
                <w:sz w:val="12"/>
                <w:szCs w:val="12"/>
              </w:rPr>
              <w:t>4</w:t>
            </w:r>
            <w:r>
              <w:rPr>
                <w:rFonts w:hint="eastAsia" w:ascii="宋体" w:hAnsi="宋体" w:eastAsia="宋体" w:cs="宋体"/>
                <w:color w:val="000000"/>
                <w:kern w:val="0"/>
                <w:sz w:val="22"/>
              </w:rPr>
              <w:t>O</w:t>
            </w:r>
            <w:r>
              <w:rPr>
                <w:rFonts w:hint="eastAsia" w:ascii="宋体" w:hAnsi="宋体" w:eastAsia="宋体" w:cs="宋体"/>
                <w:color w:val="000000"/>
                <w:kern w:val="0"/>
                <w:sz w:val="12"/>
                <w:szCs w:val="12"/>
              </w:rPr>
              <w:t>1</w:t>
            </w:r>
            <w:r>
              <w:rPr>
                <w:rFonts w:hint="eastAsia" w:ascii="宋体" w:hAnsi="宋体" w:eastAsia="宋体" w:cs="宋体"/>
                <w:color w:val="000000"/>
                <w:kern w:val="0"/>
                <w:sz w:val="22"/>
              </w:rPr>
              <w:t>s、∈</w:t>
            </w:r>
            <w:r>
              <w:rPr>
                <w:rFonts w:hint="eastAsia" w:ascii="宋体" w:hAnsi="宋体" w:eastAsia="宋体" w:cs="宋体"/>
                <w:color w:val="000000"/>
                <w:kern w:val="0"/>
                <w:sz w:val="12"/>
                <w:szCs w:val="12"/>
              </w:rPr>
              <w:t>4</w:t>
            </w:r>
            <w:r>
              <w:rPr>
                <w:rFonts w:hint="eastAsia" w:ascii="宋体" w:hAnsi="宋体" w:eastAsia="宋体" w:cs="宋体"/>
                <w:color w:val="000000"/>
                <w:kern w:val="0"/>
                <w:sz w:val="22"/>
              </w:rPr>
              <w:t>O</w:t>
            </w:r>
            <w:r>
              <w:rPr>
                <w:rFonts w:hint="eastAsia" w:ascii="宋体" w:hAnsi="宋体" w:eastAsia="宋体" w:cs="宋体"/>
                <w:color w:val="000000"/>
                <w:kern w:val="0"/>
                <w:sz w:val="12"/>
                <w:szCs w:val="12"/>
              </w:rPr>
              <w:t>1</w:t>
            </w:r>
            <m:oMath>
              <m:acc>
                <m:accPr>
                  <m:ctrlPr>
                    <w:rPr>
                      <w:rFonts w:ascii="Cambria Math" w:hAnsi="Cambria Math" w:eastAsia="宋体" w:cs="宋体"/>
                      <w:color w:val="000000"/>
                      <w:kern w:val="0"/>
                      <w:sz w:val="21"/>
                      <w:szCs w:val="21"/>
                    </w:rPr>
                  </m:ctrlPr>
                </m:accPr>
                <m:e>
                  <m:r>
                    <w:rPr>
                      <w:rFonts w:hint="eastAsia" w:ascii="Cambria Math" w:hAnsi="Cambria Math" w:eastAsia="宋体" w:cs="宋体"/>
                      <w:color w:val="000000"/>
                      <w:kern w:val="0"/>
                      <w:sz w:val="21"/>
                      <w:szCs w:val="21"/>
                    </w:rPr>
                    <m:t>C</m:t>
                  </m:r>
                  <m:ctrlPr>
                    <w:rPr>
                      <w:rFonts w:ascii="Cambria Math" w:hAnsi="Cambria Math" w:eastAsia="宋体" w:cs="宋体"/>
                      <w:color w:val="000000"/>
                      <w:kern w:val="0"/>
                      <w:sz w:val="21"/>
                      <w:szCs w:val="21"/>
                    </w:rPr>
                  </m:ctrlPr>
                </m:e>
              </m:acc>
            </m:oMath>
          </w:p>
        </w:tc>
        <w:tc>
          <w:tcPr>
            <w:tcW w:w="127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31.43</w:t>
            </w:r>
          </w:p>
        </w:tc>
        <w:tc>
          <w:tcPr>
            <w:tcW w:w="141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323.08</w:t>
            </w:r>
          </w:p>
        </w:tc>
        <w:tc>
          <w:tcPr>
            <w:tcW w:w="1434"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50.29</w:t>
            </w:r>
          </w:p>
        </w:tc>
      </w:tr>
      <w:tr>
        <w:tblPrEx>
          <w:tblCellMar>
            <w:top w:w="0" w:type="dxa"/>
            <w:left w:w="108" w:type="dxa"/>
            <w:bottom w:w="0" w:type="dxa"/>
            <w:right w:w="108" w:type="dxa"/>
          </w:tblCellMar>
        </w:tblPrEx>
        <w:trPr>
          <w:trHeight w:val="285" w:hRule="atLeast"/>
        </w:trPr>
        <w:tc>
          <w:tcPr>
            <w:tcW w:w="46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5#</w:t>
            </w:r>
          </w:p>
        </w:tc>
        <w:tc>
          <w:tcPr>
            <w:tcW w:w="876"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350.19</w:t>
            </w:r>
          </w:p>
        </w:tc>
        <w:tc>
          <w:tcPr>
            <w:tcW w:w="2913"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Q、O</w:t>
            </w:r>
            <w:r>
              <w:rPr>
                <w:rFonts w:hint="eastAsia" w:ascii="宋体" w:hAnsi="宋体" w:eastAsia="宋体" w:cs="宋体"/>
                <w:color w:val="000000"/>
                <w:kern w:val="0"/>
                <w:sz w:val="12"/>
                <w:szCs w:val="12"/>
              </w:rPr>
              <w:t>2</w:t>
            </w:r>
            <w:r>
              <w:rPr>
                <w:rFonts w:hint="eastAsia" w:ascii="宋体" w:hAnsi="宋体" w:eastAsia="宋体" w:cs="宋体"/>
                <w:color w:val="000000"/>
                <w:kern w:val="0"/>
                <w:sz w:val="22"/>
              </w:rPr>
              <w:t>b、O</w:t>
            </w:r>
            <w:r>
              <w:rPr>
                <w:rFonts w:hint="eastAsia" w:ascii="宋体" w:hAnsi="宋体" w:eastAsia="宋体" w:cs="宋体"/>
                <w:color w:val="000000"/>
                <w:kern w:val="0"/>
                <w:sz w:val="12"/>
                <w:szCs w:val="12"/>
              </w:rPr>
              <w:t>2</w:t>
            </w:r>
            <w:r>
              <w:rPr>
                <w:rFonts w:hint="eastAsia" w:ascii="宋体" w:hAnsi="宋体" w:eastAsia="宋体" w:cs="宋体"/>
                <w:color w:val="000000"/>
                <w:kern w:val="0"/>
                <w:sz w:val="22"/>
              </w:rPr>
              <w:t>d、∈</w:t>
            </w:r>
            <w:r>
              <w:rPr>
                <w:rFonts w:hint="eastAsia" w:ascii="宋体" w:hAnsi="宋体" w:eastAsia="宋体" w:cs="宋体"/>
                <w:color w:val="000000"/>
                <w:kern w:val="0"/>
                <w:sz w:val="12"/>
                <w:szCs w:val="12"/>
              </w:rPr>
              <w:t>4</w:t>
            </w:r>
            <w:r>
              <w:rPr>
                <w:rFonts w:hint="eastAsia" w:ascii="宋体" w:hAnsi="宋体" w:eastAsia="宋体" w:cs="宋体"/>
                <w:color w:val="000000"/>
                <w:kern w:val="0"/>
                <w:sz w:val="22"/>
              </w:rPr>
              <w:t>O</w:t>
            </w:r>
            <w:r>
              <w:rPr>
                <w:rFonts w:hint="eastAsia" w:ascii="宋体" w:hAnsi="宋体" w:eastAsia="宋体" w:cs="宋体"/>
                <w:color w:val="000000"/>
                <w:kern w:val="0"/>
                <w:sz w:val="12"/>
                <w:szCs w:val="12"/>
              </w:rPr>
              <w:t>1</w:t>
            </w:r>
            <w:r>
              <w:rPr>
                <w:rFonts w:hint="eastAsia" w:ascii="宋体" w:hAnsi="宋体" w:eastAsia="宋体" w:cs="宋体"/>
                <w:color w:val="000000"/>
                <w:kern w:val="0"/>
                <w:sz w:val="22"/>
              </w:rPr>
              <w:t>s、∈</w:t>
            </w:r>
            <w:r>
              <w:rPr>
                <w:rFonts w:hint="eastAsia" w:ascii="宋体" w:hAnsi="宋体" w:eastAsia="宋体" w:cs="宋体"/>
                <w:color w:val="000000"/>
                <w:kern w:val="0"/>
                <w:sz w:val="12"/>
                <w:szCs w:val="12"/>
              </w:rPr>
              <w:t>4</w:t>
            </w:r>
            <w:r>
              <w:rPr>
                <w:rFonts w:hint="eastAsia" w:ascii="宋体" w:hAnsi="宋体" w:eastAsia="宋体" w:cs="宋体"/>
                <w:color w:val="000000"/>
                <w:kern w:val="0"/>
                <w:sz w:val="22"/>
              </w:rPr>
              <w:t>O</w:t>
            </w:r>
            <w:r>
              <w:rPr>
                <w:rFonts w:hint="eastAsia" w:ascii="宋体" w:hAnsi="宋体" w:eastAsia="宋体" w:cs="宋体"/>
                <w:color w:val="000000"/>
                <w:kern w:val="0"/>
                <w:sz w:val="12"/>
                <w:szCs w:val="12"/>
              </w:rPr>
              <w:t>1</w:t>
            </w:r>
            <m:oMath>
              <m:acc>
                <m:accPr>
                  <m:ctrlPr>
                    <w:rPr>
                      <w:rFonts w:ascii="Cambria Math" w:hAnsi="Cambria Math" w:eastAsia="宋体" w:cs="宋体"/>
                      <w:color w:val="000000"/>
                      <w:kern w:val="0"/>
                      <w:sz w:val="21"/>
                      <w:szCs w:val="21"/>
                    </w:rPr>
                  </m:ctrlPr>
                </m:accPr>
                <m:e>
                  <m:r>
                    <w:rPr>
                      <w:rFonts w:hint="eastAsia" w:ascii="Cambria Math" w:hAnsi="Cambria Math" w:eastAsia="宋体" w:cs="宋体"/>
                      <w:color w:val="000000"/>
                      <w:kern w:val="0"/>
                      <w:sz w:val="21"/>
                      <w:szCs w:val="21"/>
                    </w:rPr>
                    <m:t>C</m:t>
                  </m:r>
                  <m:ctrlPr>
                    <w:rPr>
                      <w:rFonts w:ascii="Cambria Math" w:hAnsi="Cambria Math" w:eastAsia="宋体" w:cs="宋体"/>
                      <w:color w:val="000000"/>
                      <w:kern w:val="0"/>
                      <w:sz w:val="21"/>
                      <w:szCs w:val="21"/>
                    </w:rPr>
                  </m:ctrlPr>
                </m:e>
              </m:acc>
            </m:oMath>
          </w:p>
        </w:tc>
        <w:tc>
          <w:tcPr>
            <w:tcW w:w="1276"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16.95</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341.15</w:t>
            </w:r>
          </w:p>
        </w:tc>
        <w:tc>
          <w:tcPr>
            <w:tcW w:w="1434"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49.19</w:t>
            </w:r>
          </w:p>
        </w:tc>
      </w:tr>
      <w:tr>
        <w:tblPrEx>
          <w:tblCellMar>
            <w:top w:w="0" w:type="dxa"/>
            <w:left w:w="108" w:type="dxa"/>
            <w:bottom w:w="0" w:type="dxa"/>
            <w:right w:w="108" w:type="dxa"/>
          </w:tblCellMar>
        </w:tblPrEx>
        <w:trPr>
          <w:trHeight w:val="285" w:hRule="atLeast"/>
        </w:trPr>
        <w:tc>
          <w:tcPr>
            <w:tcW w:w="46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876"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352.46</w:t>
            </w:r>
          </w:p>
        </w:tc>
        <w:tc>
          <w:tcPr>
            <w:tcW w:w="2913"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Q、O</w:t>
            </w:r>
            <w:r>
              <w:rPr>
                <w:rFonts w:hint="eastAsia" w:ascii="宋体" w:hAnsi="宋体" w:eastAsia="宋体" w:cs="宋体"/>
                <w:color w:val="000000"/>
                <w:kern w:val="0"/>
                <w:sz w:val="12"/>
                <w:szCs w:val="12"/>
              </w:rPr>
              <w:t>2</w:t>
            </w:r>
            <w:r>
              <w:rPr>
                <w:rFonts w:hint="eastAsia" w:ascii="宋体" w:hAnsi="宋体" w:eastAsia="宋体" w:cs="宋体"/>
                <w:color w:val="000000"/>
                <w:kern w:val="0"/>
                <w:sz w:val="22"/>
              </w:rPr>
              <w:t>b、O</w:t>
            </w:r>
            <w:r>
              <w:rPr>
                <w:rFonts w:hint="eastAsia" w:ascii="宋体" w:hAnsi="宋体" w:eastAsia="宋体" w:cs="宋体"/>
                <w:color w:val="000000"/>
                <w:kern w:val="0"/>
                <w:sz w:val="12"/>
                <w:szCs w:val="12"/>
              </w:rPr>
              <w:t>2</w:t>
            </w:r>
            <w:r>
              <w:rPr>
                <w:rFonts w:hint="eastAsia" w:ascii="宋体" w:hAnsi="宋体" w:eastAsia="宋体" w:cs="宋体"/>
                <w:color w:val="000000"/>
                <w:kern w:val="0"/>
                <w:sz w:val="22"/>
              </w:rPr>
              <w:t>d、∈</w:t>
            </w:r>
            <w:r>
              <w:rPr>
                <w:rFonts w:hint="eastAsia" w:ascii="宋体" w:hAnsi="宋体" w:eastAsia="宋体" w:cs="宋体"/>
                <w:color w:val="000000"/>
                <w:kern w:val="0"/>
                <w:sz w:val="12"/>
                <w:szCs w:val="12"/>
              </w:rPr>
              <w:t>4</w:t>
            </w:r>
            <w:r>
              <w:rPr>
                <w:rFonts w:hint="eastAsia" w:ascii="宋体" w:hAnsi="宋体" w:eastAsia="宋体" w:cs="宋体"/>
                <w:color w:val="000000"/>
                <w:kern w:val="0"/>
                <w:sz w:val="22"/>
              </w:rPr>
              <w:t>O</w:t>
            </w:r>
            <w:r>
              <w:rPr>
                <w:rFonts w:hint="eastAsia" w:ascii="宋体" w:hAnsi="宋体" w:eastAsia="宋体" w:cs="宋体"/>
                <w:color w:val="000000"/>
                <w:kern w:val="0"/>
                <w:sz w:val="12"/>
                <w:szCs w:val="12"/>
              </w:rPr>
              <w:t>1</w:t>
            </w:r>
            <w:r>
              <w:rPr>
                <w:rFonts w:hint="eastAsia" w:ascii="宋体" w:hAnsi="宋体" w:eastAsia="宋体" w:cs="宋体"/>
                <w:color w:val="000000"/>
                <w:kern w:val="0"/>
                <w:sz w:val="22"/>
              </w:rPr>
              <w:t>s、∈</w:t>
            </w:r>
            <w:r>
              <w:rPr>
                <w:rFonts w:hint="eastAsia" w:ascii="宋体" w:hAnsi="宋体" w:eastAsia="宋体" w:cs="宋体"/>
                <w:color w:val="000000"/>
                <w:kern w:val="0"/>
                <w:sz w:val="12"/>
                <w:szCs w:val="12"/>
              </w:rPr>
              <w:t>4</w:t>
            </w:r>
            <w:r>
              <w:rPr>
                <w:rFonts w:hint="eastAsia" w:ascii="宋体" w:hAnsi="宋体" w:eastAsia="宋体" w:cs="宋体"/>
                <w:color w:val="000000"/>
                <w:kern w:val="0"/>
                <w:sz w:val="22"/>
              </w:rPr>
              <w:t>O</w:t>
            </w:r>
            <w:r>
              <w:rPr>
                <w:rFonts w:hint="eastAsia" w:ascii="宋体" w:hAnsi="宋体" w:eastAsia="宋体" w:cs="宋体"/>
                <w:color w:val="000000"/>
                <w:kern w:val="0"/>
                <w:sz w:val="12"/>
                <w:szCs w:val="12"/>
              </w:rPr>
              <w:t>1</w:t>
            </w:r>
            <m:oMath>
              <m:acc>
                <m:accPr>
                  <m:ctrlPr>
                    <w:rPr>
                      <w:rFonts w:ascii="Cambria Math" w:hAnsi="Cambria Math" w:eastAsia="宋体" w:cs="宋体"/>
                      <w:color w:val="000000"/>
                      <w:kern w:val="0"/>
                      <w:sz w:val="21"/>
                      <w:szCs w:val="21"/>
                    </w:rPr>
                  </m:ctrlPr>
                </m:accPr>
                <m:e>
                  <m:r>
                    <w:rPr>
                      <w:rFonts w:hint="eastAsia" w:ascii="Cambria Math" w:hAnsi="Cambria Math" w:eastAsia="宋体" w:cs="宋体"/>
                      <w:color w:val="000000"/>
                      <w:kern w:val="0"/>
                      <w:sz w:val="21"/>
                      <w:szCs w:val="21"/>
                    </w:rPr>
                    <m:t>C</m:t>
                  </m:r>
                  <m:ctrlPr>
                    <w:rPr>
                      <w:rFonts w:ascii="Cambria Math" w:hAnsi="Cambria Math" w:eastAsia="宋体" w:cs="宋体"/>
                      <w:color w:val="000000"/>
                      <w:kern w:val="0"/>
                      <w:sz w:val="21"/>
                      <w:szCs w:val="21"/>
                    </w:rPr>
                  </m:ctrlPr>
                </m:e>
              </m:acc>
            </m:oMath>
          </w:p>
        </w:tc>
        <w:tc>
          <w:tcPr>
            <w:tcW w:w="1276"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31.02</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336.1</w:t>
            </w:r>
          </w:p>
        </w:tc>
        <w:tc>
          <w:tcPr>
            <w:tcW w:w="1434"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47.23</w:t>
            </w:r>
          </w:p>
        </w:tc>
      </w:tr>
      <w:tr>
        <w:tblPrEx>
          <w:tblCellMar>
            <w:top w:w="0" w:type="dxa"/>
            <w:left w:w="108" w:type="dxa"/>
            <w:bottom w:w="0" w:type="dxa"/>
            <w:right w:w="108" w:type="dxa"/>
          </w:tblCellMar>
        </w:tblPrEx>
        <w:trPr>
          <w:trHeight w:val="285" w:hRule="atLeast"/>
        </w:trPr>
        <w:tc>
          <w:tcPr>
            <w:tcW w:w="464"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7#</w:t>
            </w:r>
          </w:p>
        </w:tc>
        <w:tc>
          <w:tcPr>
            <w:tcW w:w="87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352.70</w:t>
            </w:r>
          </w:p>
        </w:tc>
        <w:tc>
          <w:tcPr>
            <w:tcW w:w="2913"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Q、O</w:t>
            </w:r>
            <w:r>
              <w:rPr>
                <w:rFonts w:hint="eastAsia" w:ascii="宋体" w:hAnsi="宋体" w:eastAsia="宋体" w:cs="宋体"/>
                <w:color w:val="000000"/>
                <w:kern w:val="0"/>
                <w:sz w:val="12"/>
                <w:szCs w:val="12"/>
              </w:rPr>
              <w:t>2</w:t>
            </w:r>
            <w:r>
              <w:rPr>
                <w:rFonts w:hint="eastAsia" w:ascii="宋体" w:hAnsi="宋体" w:eastAsia="宋体" w:cs="宋体"/>
                <w:color w:val="000000"/>
                <w:kern w:val="0"/>
                <w:sz w:val="22"/>
              </w:rPr>
              <w:t>b、O</w:t>
            </w:r>
            <w:r>
              <w:rPr>
                <w:rFonts w:hint="eastAsia" w:ascii="宋体" w:hAnsi="宋体" w:eastAsia="宋体" w:cs="宋体"/>
                <w:color w:val="000000"/>
                <w:kern w:val="0"/>
                <w:sz w:val="12"/>
                <w:szCs w:val="12"/>
              </w:rPr>
              <w:t>2</w:t>
            </w:r>
            <w:r>
              <w:rPr>
                <w:rFonts w:hint="eastAsia" w:ascii="宋体" w:hAnsi="宋体" w:eastAsia="宋体" w:cs="宋体"/>
                <w:color w:val="000000"/>
                <w:kern w:val="0"/>
                <w:sz w:val="22"/>
              </w:rPr>
              <w:t>d、∈</w:t>
            </w:r>
            <w:r>
              <w:rPr>
                <w:rFonts w:hint="eastAsia" w:ascii="宋体" w:hAnsi="宋体" w:eastAsia="宋体" w:cs="宋体"/>
                <w:color w:val="000000"/>
                <w:kern w:val="0"/>
                <w:sz w:val="12"/>
                <w:szCs w:val="12"/>
              </w:rPr>
              <w:t>4</w:t>
            </w:r>
            <w:r>
              <w:rPr>
                <w:rFonts w:hint="eastAsia" w:ascii="宋体" w:hAnsi="宋体" w:eastAsia="宋体" w:cs="宋体"/>
                <w:color w:val="000000"/>
                <w:kern w:val="0"/>
                <w:sz w:val="22"/>
              </w:rPr>
              <w:t>O</w:t>
            </w:r>
            <w:r>
              <w:rPr>
                <w:rFonts w:hint="eastAsia" w:ascii="宋体" w:hAnsi="宋体" w:eastAsia="宋体" w:cs="宋体"/>
                <w:color w:val="000000"/>
                <w:kern w:val="0"/>
                <w:sz w:val="12"/>
                <w:szCs w:val="12"/>
              </w:rPr>
              <w:t>1</w:t>
            </w:r>
            <w:r>
              <w:rPr>
                <w:rFonts w:hint="eastAsia" w:ascii="宋体" w:hAnsi="宋体" w:eastAsia="宋体" w:cs="宋体"/>
                <w:color w:val="000000"/>
                <w:kern w:val="0"/>
                <w:sz w:val="22"/>
              </w:rPr>
              <w:t>s、∈</w:t>
            </w:r>
            <w:r>
              <w:rPr>
                <w:rFonts w:hint="eastAsia" w:ascii="宋体" w:hAnsi="宋体" w:eastAsia="宋体" w:cs="宋体"/>
                <w:color w:val="000000"/>
                <w:kern w:val="0"/>
                <w:sz w:val="12"/>
                <w:szCs w:val="12"/>
              </w:rPr>
              <w:t>4</w:t>
            </w:r>
            <w:r>
              <w:rPr>
                <w:rFonts w:hint="eastAsia" w:ascii="宋体" w:hAnsi="宋体" w:eastAsia="宋体" w:cs="宋体"/>
                <w:color w:val="000000"/>
                <w:kern w:val="0"/>
                <w:sz w:val="22"/>
              </w:rPr>
              <w:t>O</w:t>
            </w:r>
            <w:r>
              <w:rPr>
                <w:rFonts w:hint="eastAsia" w:ascii="宋体" w:hAnsi="宋体" w:eastAsia="宋体" w:cs="宋体"/>
                <w:color w:val="000000"/>
                <w:kern w:val="0"/>
                <w:sz w:val="12"/>
                <w:szCs w:val="12"/>
              </w:rPr>
              <w:t>1</w:t>
            </w:r>
            <m:oMath>
              <m:acc>
                <m:accPr>
                  <m:ctrlPr>
                    <w:rPr>
                      <w:rFonts w:ascii="Cambria Math" w:hAnsi="Cambria Math" w:eastAsia="宋体" w:cs="宋体"/>
                      <w:color w:val="000000"/>
                      <w:kern w:val="0"/>
                      <w:sz w:val="21"/>
                      <w:szCs w:val="21"/>
                    </w:rPr>
                  </m:ctrlPr>
                </m:accPr>
                <m:e>
                  <m:r>
                    <w:rPr>
                      <w:rFonts w:hint="eastAsia" w:ascii="Cambria Math" w:hAnsi="Cambria Math" w:eastAsia="宋体" w:cs="宋体"/>
                      <w:color w:val="000000"/>
                      <w:kern w:val="0"/>
                      <w:sz w:val="21"/>
                      <w:szCs w:val="21"/>
                    </w:rPr>
                    <m:t>C</m:t>
                  </m:r>
                  <m:ctrlPr>
                    <w:rPr>
                      <w:rFonts w:ascii="Cambria Math" w:hAnsi="Cambria Math" w:eastAsia="宋体" w:cs="宋体"/>
                      <w:color w:val="000000"/>
                      <w:kern w:val="0"/>
                      <w:sz w:val="21"/>
                      <w:szCs w:val="21"/>
                    </w:rPr>
                  </m:ctrlPr>
                </m:e>
              </m:acc>
            </m:oMath>
          </w:p>
        </w:tc>
        <w:tc>
          <w:tcPr>
            <w:tcW w:w="127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48.15</w:t>
            </w:r>
          </w:p>
        </w:tc>
        <w:tc>
          <w:tcPr>
            <w:tcW w:w="141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338.05</w:t>
            </w:r>
          </w:p>
        </w:tc>
        <w:tc>
          <w:tcPr>
            <w:tcW w:w="1434"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56.88</w:t>
            </w:r>
          </w:p>
        </w:tc>
      </w:tr>
      <w:tr>
        <w:tblPrEx>
          <w:tblCellMar>
            <w:top w:w="0" w:type="dxa"/>
            <w:left w:w="108" w:type="dxa"/>
            <w:bottom w:w="0" w:type="dxa"/>
            <w:right w:w="108" w:type="dxa"/>
          </w:tblCellMar>
        </w:tblPrEx>
        <w:trPr>
          <w:trHeight w:val="285" w:hRule="atLeast"/>
        </w:trPr>
        <w:tc>
          <w:tcPr>
            <w:tcW w:w="464"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8#</w:t>
            </w:r>
          </w:p>
        </w:tc>
        <w:tc>
          <w:tcPr>
            <w:tcW w:w="87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351.04</w:t>
            </w:r>
          </w:p>
        </w:tc>
        <w:tc>
          <w:tcPr>
            <w:tcW w:w="2913"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Q、O</w:t>
            </w:r>
            <w:r>
              <w:rPr>
                <w:rFonts w:hint="eastAsia" w:ascii="宋体" w:hAnsi="宋体" w:eastAsia="宋体" w:cs="宋体"/>
                <w:color w:val="000000"/>
                <w:kern w:val="0"/>
                <w:sz w:val="12"/>
                <w:szCs w:val="12"/>
              </w:rPr>
              <w:t>2</w:t>
            </w:r>
            <w:r>
              <w:rPr>
                <w:rFonts w:hint="eastAsia" w:ascii="宋体" w:hAnsi="宋体" w:eastAsia="宋体" w:cs="宋体"/>
                <w:color w:val="000000"/>
                <w:kern w:val="0"/>
                <w:sz w:val="22"/>
              </w:rPr>
              <w:t>b、O</w:t>
            </w:r>
            <w:r>
              <w:rPr>
                <w:rFonts w:hint="eastAsia" w:ascii="宋体" w:hAnsi="宋体" w:eastAsia="宋体" w:cs="宋体"/>
                <w:color w:val="000000"/>
                <w:kern w:val="0"/>
                <w:sz w:val="12"/>
                <w:szCs w:val="12"/>
              </w:rPr>
              <w:t>2</w:t>
            </w:r>
            <w:r>
              <w:rPr>
                <w:rFonts w:hint="eastAsia" w:ascii="宋体" w:hAnsi="宋体" w:eastAsia="宋体" w:cs="宋体"/>
                <w:color w:val="000000"/>
                <w:kern w:val="0"/>
                <w:sz w:val="22"/>
              </w:rPr>
              <w:t>d、∈</w:t>
            </w:r>
            <w:r>
              <w:rPr>
                <w:rFonts w:hint="eastAsia" w:ascii="宋体" w:hAnsi="宋体" w:eastAsia="宋体" w:cs="宋体"/>
                <w:color w:val="000000"/>
                <w:kern w:val="0"/>
                <w:sz w:val="12"/>
                <w:szCs w:val="12"/>
              </w:rPr>
              <w:t>4</w:t>
            </w:r>
            <w:r>
              <w:rPr>
                <w:rFonts w:hint="eastAsia" w:ascii="宋体" w:hAnsi="宋体" w:eastAsia="宋体" w:cs="宋体"/>
                <w:color w:val="000000"/>
                <w:kern w:val="0"/>
                <w:sz w:val="22"/>
              </w:rPr>
              <w:t>O</w:t>
            </w:r>
            <w:r>
              <w:rPr>
                <w:rFonts w:hint="eastAsia" w:ascii="宋体" w:hAnsi="宋体" w:eastAsia="宋体" w:cs="宋体"/>
                <w:color w:val="000000"/>
                <w:kern w:val="0"/>
                <w:sz w:val="12"/>
                <w:szCs w:val="12"/>
              </w:rPr>
              <w:t>1</w:t>
            </w:r>
            <w:r>
              <w:rPr>
                <w:rFonts w:hint="eastAsia" w:ascii="宋体" w:hAnsi="宋体" w:eastAsia="宋体" w:cs="宋体"/>
                <w:color w:val="000000"/>
                <w:kern w:val="0"/>
                <w:sz w:val="22"/>
              </w:rPr>
              <w:t>s、∈</w:t>
            </w:r>
            <w:r>
              <w:rPr>
                <w:rFonts w:hint="eastAsia" w:ascii="宋体" w:hAnsi="宋体" w:eastAsia="宋体" w:cs="宋体"/>
                <w:color w:val="000000"/>
                <w:kern w:val="0"/>
                <w:sz w:val="12"/>
                <w:szCs w:val="12"/>
              </w:rPr>
              <w:t>4</w:t>
            </w:r>
            <w:r>
              <w:rPr>
                <w:rFonts w:hint="eastAsia" w:ascii="宋体" w:hAnsi="宋体" w:eastAsia="宋体" w:cs="宋体"/>
                <w:color w:val="000000"/>
                <w:kern w:val="0"/>
                <w:sz w:val="22"/>
              </w:rPr>
              <w:t>O</w:t>
            </w:r>
            <w:r>
              <w:rPr>
                <w:rFonts w:hint="eastAsia" w:ascii="宋体" w:hAnsi="宋体" w:eastAsia="宋体" w:cs="宋体"/>
                <w:color w:val="000000"/>
                <w:kern w:val="0"/>
                <w:sz w:val="12"/>
                <w:szCs w:val="12"/>
              </w:rPr>
              <w:t>1</w:t>
            </w:r>
            <m:oMath>
              <m:acc>
                <m:accPr>
                  <m:ctrlPr>
                    <w:rPr>
                      <w:rFonts w:ascii="Cambria Math" w:hAnsi="Cambria Math" w:eastAsia="宋体" w:cs="宋体"/>
                      <w:color w:val="000000"/>
                      <w:kern w:val="0"/>
                      <w:sz w:val="21"/>
                      <w:szCs w:val="21"/>
                    </w:rPr>
                  </m:ctrlPr>
                </m:accPr>
                <m:e>
                  <m:r>
                    <w:rPr>
                      <w:rFonts w:hint="eastAsia" w:ascii="Cambria Math" w:hAnsi="Cambria Math" w:eastAsia="宋体" w:cs="宋体"/>
                      <w:color w:val="000000"/>
                      <w:kern w:val="0"/>
                      <w:sz w:val="21"/>
                      <w:szCs w:val="21"/>
                    </w:rPr>
                    <m:t>C</m:t>
                  </m:r>
                  <m:ctrlPr>
                    <w:rPr>
                      <w:rFonts w:ascii="Cambria Math" w:hAnsi="Cambria Math" w:eastAsia="宋体" w:cs="宋体"/>
                      <w:color w:val="000000"/>
                      <w:kern w:val="0"/>
                      <w:sz w:val="21"/>
                      <w:szCs w:val="21"/>
                    </w:rPr>
                  </m:ctrlPr>
                </m:e>
              </m:acc>
            </m:oMath>
          </w:p>
        </w:tc>
        <w:tc>
          <w:tcPr>
            <w:tcW w:w="127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16.65</w:t>
            </w:r>
          </w:p>
        </w:tc>
        <w:tc>
          <w:tcPr>
            <w:tcW w:w="141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312.94</w:t>
            </w:r>
          </w:p>
        </w:tc>
        <w:tc>
          <w:tcPr>
            <w:tcW w:w="1434"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rPr>
            </w:pPr>
            <w:r>
              <w:rPr>
                <w:rFonts w:hint="eastAsia" w:ascii="等线" w:hAnsi="等线" w:eastAsia="等线" w:cs="宋体"/>
                <w:color w:val="000000"/>
                <w:kern w:val="0"/>
                <w:sz w:val="22"/>
              </w:rPr>
              <w:t>40.48</w:t>
            </w:r>
          </w:p>
        </w:tc>
      </w:tr>
      <w:tr>
        <w:tblPrEx>
          <w:tblCellMar>
            <w:top w:w="0" w:type="dxa"/>
            <w:left w:w="108" w:type="dxa"/>
            <w:bottom w:w="0" w:type="dxa"/>
            <w:right w:w="108" w:type="dxa"/>
          </w:tblCellMar>
        </w:tblPrEx>
        <w:trPr>
          <w:trHeight w:val="285" w:hRule="atLeast"/>
        </w:trPr>
        <w:tc>
          <w:tcPr>
            <w:tcW w:w="46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9#</w:t>
            </w:r>
          </w:p>
        </w:tc>
        <w:tc>
          <w:tcPr>
            <w:tcW w:w="876"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352.15</w:t>
            </w:r>
          </w:p>
        </w:tc>
        <w:tc>
          <w:tcPr>
            <w:tcW w:w="2913"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Q、O</w:t>
            </w:r>
            <w:r>
              <w:rPr>
                <w:rFonts w:hint="eastAsia" w:ascii="宋体" w:hAnsi="宋体" w:eastAsia="宋体" w:cs="宋体"/>
                <w:color w:val="000000"/>
                <w:kern w:val="0"/>
                <w:sz w:val="12"/>
                <w:szCs w:val="12"/>
              </w:rPr>
              <w:t>2</w:t>
            </w:r>
            <w:r>
              <w:rPr>
                <w:rFonts w:hint="eastAsia" w:ascii="宋体" w:hAnsi="宋体" w:eastAsia="宋体" w:cs="宋体"/>
                <w:color w:val="000000"/>
                <w:kern w:val="0"/>
                <w:sz w:val="22"/>
              </w:rPr>
              <w:t>b、O</w:t>
            </w:r>
            <w:r>
              <w:rPr>
                <w:rFonts w:hint="eastAsia" w:ascii="宋体" w:hAnsi="宋体" w:eastAsia="宋体" w:cs="宋体"/>
                <w:color w:val="000000"/>
                <w:kern w:val="0"/>
                <w:sz w:val="12"/>
                <w:szCs w:val="12"/>
              </w:rPr>
              <w:t>2</w:t>
            </w:r>
            <w:r>
              <w:rPr>
                <w:rFonts w:hint="eastAsia" w:ascii="宋体" w:hAnsi="宋体" w:eastAsia="宋体" w:cs="宋体"/>
                <w:color w:val="000000"/>
                <w:kern w:val="0"/>
                <w:sz w:val="22"/>
              </w:rPr>
              <w:t>d、∈</w:t>
            </w:r>
            <w:r>
              <w:rPr>
                <w:rFonts w:hint="eastAsia" w:ascii="宋体" w:hAnsi="宋体" w:eastAsia="宋体" w:cs="宋体"/>
                <w:color w:val="000000"/>
                <w:kern w:val="0"/>
                <w:sz w:val="12"/>
                <w:szCs w:val="12"/>
              </w:rPr>
              <w:t>4</w:t>
            </w:r>
            <w:r>
              <w:rPr>
                <w:rFonts w:hint="eastAsia" w:ascii="宋体" w:hAnsi="宋体" w:eastAsia="宋体" w:cs="宋体"/>
                <w:color w:val="000000"/>
                <w:kern w:val="0"/>
                <w:sz w:val="22"/>
              </w:rPr>
              <w:t>O</w:t>
            </w:r>
            <w:r>
              <w:rPr>
                <w:rFonts w:hint="eastAsia" w:ascii="宋体" w:hAnsi="宋体" w:eastAsia="宋体" w:cs="宋体"/>
                <w:color w:val="000000"/>
                <w:kern w:val="0"/>
                <w:sz w:val="12"/>
                <w:szCs w:val="12"/>
              </w:rPr>
              <w:t>1</w:t>
            </w:r>
            <w:r>
              <w:rPr>
                <w:rFonts w:hint="eastAsia" w:ascii="宋体" w:hAnsi="宋体" w:eastAsia="宋体" w:cs="宋体"/>
                <w:color w:val="000000"/>
                <w:kern w:val="0"/>
                <w:sz w:val="22"/>
              </w:rPr>
              <w:t>s、∈</w:t>
            </w:r>
            <w:r>
              <w:rPr>
                <w:rFonts w:hint="eastAsia" w:ascii="宋体" w:hAnsi="宋体" w:eastAsia="宋体" w:cs="宋体"/>
                <w:color w:val="000000"/>
                <w:kern w:val="0"/>
                <w:sz w:val="12"/>
                <w:szCs w:val="12"/>
              </w:rPr>
              <w:t>4</w:t>
            </w:r>
            <w:r>
              <w:rPr>
                <w:rFonts w:hint="eastAsia" w:ascii="宋体" w:hAnsi="宋体" w:eastAsia="宋体" w:cs="宋体"/>
                <w:color w:val="000000"/>
                <w:kern w:val="0"/>
                <w:sz w:val="22"/>
              </w:rPr>
              <w:t>O</w:t>
            </w:r>
            <w:r>
              <w:rPr>
                <w:rFonts w:hint="eastAsia" w:ascii="宋体" w:hAnsi="宋体" w:eastAsia="宋体" w:cs="宋体"/>
                <w:color w:val="000000"/>
                <w:kern w:val="0"/>
                <w:sz w:val="12"/>
                <w:szCs w:val="12"/>
              </w:rPr>
              <w:t>1</w:t>
            </w:r>
            <m:oMath>
              <m:acc>
                <m:accPr>
                  <m:ctrlPr>
                    <w:rPr>
                      <w:rFonts w:ascii="Cambria Math" w:hAnsi="Cambria Math" w:eastAsia="宋体" w:cs="宋体"/>
                      <w:color w:val="000000"/>
                      <w:kern w:val="0"/>
                      <w:sz w:val="21"/>
                      <w:szCs w:val="21"/>
                    </w:rPr>
                  </m:ctrlPr>
                </m:accPr>
                <m:e>
                  <m:r>
                    <w:rPr>
                      <w:rFonts w:hint="eastAsia" w:ascii="Cambria Math" w:hAnsi="Cambria Math" w:eastAsia="宋体" w:cs="宋体"/>
                      <w:color w:val="000000"/>
                      <w:kern w:val="0"/>
                      <w:sz w:val="21"/>
                      <w:szCs w:val="21"/>
                    </w:rPr>
                    <m:t>C</m:t>
                  </m:r>
                  <m:ctrlPr>
                    <w:rPr>
                      <w:rFonts w:ascii="Cambria Math" w:hAnsi="Cambria Math" w:eastAsia="宋体" w:cs="宋体"/>
                      <w:color w:val="000000"/>
                      <w:kern w:val="0"/>
                      <w:sz w:val="21"/>
                      <w:szCs w:val="21"/>
                    </w:rPr>
                  </m:ctrlPr>
                </m:e>
              </m:acc>
            </m:oMath>
          </w:p>
        </w:tc>
        <w:tc>
          <w:tcPr>
            <w:tcW w:w="1276"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21.05</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314.61</w:t>
            </w:r>
          </w:p>
        </w:tc>
        <w:tc>
          <w:tcPr>
            <w:tcW w:w="1434"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38.75</w:t>
            </w:r>
          </w:p>
        </w:tc>
      </w:tr>
    </w:tbl>
    <w:p>
      <w:pPr>
        <w:ind w:firstLine="560"/>
        <w:rPr>
          <w:rFonts w:ascii="Times New Roman" w:hAnsi="Times New Roman"/>
        </w:rPr>
      </w:pPr>
      <w:r>
        <w:rPr>
          <w:rFonts w:hint="eastAsia" w:ascii="Times New Roman" w:hAnsi="Times New Roman"/>
        </w:rPr>
        <w:t>为了便于谢家店饮用水水源保护区落地和统一管理，基于经验公式法和经验值法得到保护区半径参考值。鉴于</w:t>
      </w:r>
      <w:r>
        <w:rPr>
          <w:rFonts w:ascii="Times New Roman" w:hAnsi="Times New Roman"/>
        </w:rPr>
        <w:t>谢家店饮用水水源</w:t>
      </w:r>
      <w:r>
        <w:rPr>
          <w:rFonts w:hint="eastAsia" w:ascii="Times New Roman" w:hAnsi="Times New Roman"/>
        </w:rPr>
        <w:t>取水井</w:t>
      </w:r>
      <w:r>
        <w:rPr>
          <w:rFonts w:ascii="Times New Roman" w:hAnsi="Times New Roman"/>
        </w:rPr>
        <w:t>深度</w:t>
      </w:r>
      <w:r>
        <w:rPr>
          <w:rFonts w:hint="eastAsia" w:ascii="Times New Roman" w:hAnsi="Times New Roman"/>
        </w:rPr>
        <w:t>都在3</w:t>
      </w:r>
      <w:r>
        <w:rPr>
          <w:rFonts w:ascii="Times New Roman" w:hAnsi="Times New Roman"/>
        </w:rPr>
        <w:t>50米以</w:t>
      </w:r>
      <w:r>
        <w:rPr>
          <w:rFonts w:hint="eastAsia" w:ascii="Times New Roman" w:hAnsi="Times New Roman"/>
        </w:rPr>
        <w:t>上，开采层奥陶系顶部沉积较稳定的页岩、粘土页岩，隔水性能良好；每口井开孔钻进至进入完整含水层顶板基岩</w:t>
      </w:r>
      <w:r>
        <w:rPr>
          <w:rFonts w:ascii="Times New Roman" w:hAnsi="Times New Roman"/>
        </w:rPr>
        <w:t>3~5 m</w:t>
      </w:r>
      <w:r>
        <w:rPr>
          <w:rFonts w:hint="eastAsia" w:ascii="Times New Roman" w:hAnsi="Times New Roman"/>
        </w:rPr>
        <w:t>后，下入</w:t>
      </w:r>
      <w:r>
        <w:rPr>
          <w:rFonts w:ascii="Times New Roman" w:hAnsi="Times New Roman"/>
        </w:rPr>
        <w:t xml:space="preserve"> Ø426 mm×8 mm </w:t>
      </w:r>
      <w:r>
        <w:rPr>
          <w:rFonts w:hint="eastAsia" w:ascii="Times New Roman" w:hAnsi="Times New Roman"/>
        </w:rPr>
        <w:t>螺旋钢管护壁，并采用逆止阀进行固井止水。另外，淄河为季节性河流，丰水期取水井承压水头高于临近淄河地表径流水位，临近淄河地表径流不会入渗补给取水井。因此，谢家店饮用水源地</w:t>
      </w:r>
      <w:r>
        <w:rPr>
          <w:rFonts w:ascii="Times New Roman" w:hAnsi="Times New Roman"/>
        </w:rPr>
        <w:t>一级保护区</w:t>
      </w:r>
      <w:r>
        <w:rPr>
          <w:rFonts w:hint="eastAsia" w:ascii="Times New Roman" w:hAnsi="Times New Roman"/>
        </w:rPr>
        <w:t>实际划分范围取半径30米是合理的。</w:t>
      </w:r>
    </w:p>
    <w:p>
      <w:pPr>
        <w:ind w:firstLine="560"/>
        <w:rPr>
          <w:rFonts w:ascii="Times New Roman" w:hAnsi="Times New Roman"/>
        </w:rPr>
      </w:pPr>
      <w:r>
        <w:rPr>
          <w:rFonts w:hint="eastAsia" w:ascii="Times New Roman" w:hAnsi="Times New Roman"/>
        </w:rPr>
        <w:t>以取水单井井口为中心，30米为半径画出一级保护区范围，再结合井口周边环境及</w:t>
      </w:r>
      <w:r>
        <w:rPr>
          <w:rFonts w:ascii="Times New Roman" w:hAnsi="Times New Roman"/>
        </w:rPr>
        <w:t>饮用水水源保护区划分范围最小原则</w:t>
      </w:r>
      <w:r>
        <w:rPr>
          <w:rFonts w:hint="eastAsia" w:ascii="Times New Roman" w:hAnsi="Times New Roman"/>
        </w:rPr>
        <w:t>进行归并和调整</w:t>
      </w:r>
      <w:r>
        <w:rPr>
          <w:rFonts w:ascii="Times New Roman" w:hAnsi="Times New Roman"/>
        </w:rPr>
        <w:t>，</w:t>
      </w:r>
      <w:r>
        <w:rPr>
          <w:rFonts w:hint="eastAsia" w:ascii="Times New Roman" w:hAnsi="Times New Roman"/>
        </w:rPr>
        <w:t>最终</w:t>
      </w:r>
      <w:r>
        <w:rPr>
          <w:rFonts w:ascii="Times New Roman" w:hAnsi="Times New Roman"/>
        </w:rPr>
        <w:t>确定谢家店饮用水水源一级保护区</w:t>
      </w:r>
      <w:r>
        <w:rPr>
          <w:rFonts w:hint="eastAsia" w:ascii="Times New Roman" w:hAnsi="Times New Roman"/>
        </w:rPr>
        <w:t>实际范围。1#、2#取水井在谢家店水厂院内，间距大于一级保护区半径的 2 倍，分别对每口井进行一级保护区划分；考虑到院内设施、道路及河岸等限制，一级保护区范围做了一定的修订。3#、4#、5#、6#、7#取水井间距都大于一级保护区半径的2 倍，但考虑到管理的效能，每口井的保护区作了适当扩大，合并为一个一级保护区。8#、9#取水井间距小于一级保护区半径的2 倍，以谢家店桥和河岸为界合并单口井保护区外接多边形范围为一个一级保护区。</w:t>
      </w:r>
    </w:p>
    <w:p>
      <w:pPr>
        <w:ind w:firstLine="560"/>
        <w:rPr>
          <w:rFonts w:ascii="Times New Roman" w:hAnsi="Times New Roman"/>
        </w:rPr>
      </w:pPr>
      <w:r>
        <w:rPr>
          <w:rFonts w:hint="eastAsia" w:ascii="Times New Roman" w:hAnsi="Times New Roman"/>
        </w:rPr>
        <w:t>具体范围分为东、中、西3个井群一级保护区。东侧为1#、2#取水井一级保护区，西侧为8#、9#取水井一级保护区，中部为3#、4#、5#、6#、7#取水井一级保护区。东侧一级保护区范围为以1#、2#取水井口为中心，长度约为30米-60米的多边形区域。中部一级保护区范围包括：东至3#取水井东侧35米处，西至7#取水井西侧38米处，北至3#取水井北侧40米处，南至5#取水井南侧30米处范围内的多边形区域。西侧一级保护区范围包括：东至8#、9#取水井连线以东的河岸，西至8#、9#取水井连线以西30米处，北至谢家店桥南侧，南至9#取水井南侧40米处范围内的多边形区域。谢家店饮用水水源一级保护区总面积为</w:t>
      </w:r>
      <w:r>
        <w:rPr>
          <w:rFonts w:ascii="Times New Roman" w:hAnsi="Times New Roman"/>
        </w:rPr>
        <w:t>39609.80</w:t>
      </w:r>
      <w:r>
        <w:rPr>
          <w:rFonts w:hint="eastAsia" w:ascii="Times New Roman" w:hAnsi="Times New Roman"/>
        </w:rPr>
        <w:t>平方米，总周长</w:t>
      </w:r>
      <w:r>
        <w:rPr>
          <w:rFonts w:ascii="Times New Roman" w:hAnsi="Times New Roman"/>
        </w:rPr>
        <w:t>1509.24</w:t>
      </w:r>
      <w:r>
        <w:rPr>
          <w:rFonts w:hint="eastAsia" w:ascii="Times New Roman" w:hAnsi="Times New Roman"/>
        </w:rPr>
        <w:t>米。见下图3-1</w:t>
      </w:r>
      <w:r>
        <w:rPr>
          <w:rFonts w:ascii="Times New Roman" w:hAnsi="Times New Roman"/>
        </w:rPr>
        <w:t>。</w:t>
      </w:r>
    </w:p>
    <w:p>
      <w:pPr>
        <w:ind w:leftChars="-354" w:hanging="991" w:hangingChars="354"/>
        <w:jc w:val="left"/>
        <w:rPr>
          <w:rFonts w:ascii="Times New Roman" w:hAnsi="Times New Roman"/>
        </w:rPr>
      </w:pPr>
      <w:r>
        <w:rPr>
          <w:rFonts w:ascii="Times New Roman" w:hAnsi="Times New Roman"/>
        </w:rPr>
        <w:drawing>
          <wp:inline distT="0" distB="0" distL="0" distR="0">
            <wp:extent cx="6966585" cy="4930140"/>
            <wp:effectExtent l="0" t="0" r="5715" b="381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981459" cy="4940648"/>
                    </a:xfrm>
                    <a:prstGeom prst="rect">
                      <a:avLst/>
                    </a:prstGeom>
                  </pic:spPr>
                </pic:pic>
              </a:graphicData>
            </a:graphic>
          </wp:inline>
        </w:drawing>
      </w:r>
    </w:p>
    <w:p>
      <w:pPr>
        <w:snapToGrid w:val="0"/>
        <w:ind w:firstLine="0" w:firstLineChars="0"/>
        <w:jc w:val="center"/>
        <w:rPr>
          <w:rFonts w:ascii="Times New Roman" w:hAnsi="Times New Roman"/>
          <w:b/>
          <w:sz w:val="24"/>
        </w:rPr>
      </w:pPr>
      <w:r>
        <w:rPr>
          <w:rFonts w:ascii="Times New Roman" w:hAnsi="Times New Roman"/>
          <w:b/>
          <w:sz w:val="24"/>
        </w:rPr>
        <w:t xml:space="preserve">图 </w:t>
      </w:r>
      <w:r>
        <w:rPr>
          <w:rFonts w:hint="eastAsia" w:ascii="Times New Roman" w:hAnsi="Times New Roman"/>
          <w:b/>
          <w:sz w:val="24"/>
        </w:rPr>
        <w:t>3</w:t>
      </w:r>
      <w:r>
        <w:rPr>
          <w:rFonts w:ascii="Times New Roman" w:hAnsi="Times New Roman"/>
          <w:b/>
          <w:sz w:val="24"/>
        </w:rPr>
        <w:t>-1 谢家店饮用水水源一级保护区划分图</w:t>
      </w:r>
    </w:p>
    <w:p>
      <w:pPr>
        <w:ind w:firstLine="560"/>
        <w:rPr>
          <w:rFonts w:ascii="Times New Roman" w:hAnsi="Times New Roman"/>
        </w:rPr>
      </w:pPr>
      <w:r>
        <w:rPr>
          <w:rFonts w:ascii="Times New Roman" w:hAnsi="Times New Roman"/>
        </w:rPr>
        <w:t>此外，</w:t>
      </w:r>
      <w:r>
        <w:rPr>
          <w:rFonts w:hint="eastAsia" w:ascii="Times New Roman" w:hAnsi="Times New Roman"/>
        </w:rPr>
        <w:t>根据2018年2月山东省地矿工程勘察院编制的《山东省淄博市博山区谢家店地区供水水文地质勘查报告》可知，降水入渗是谢家店饮用水水源的主要补给来源，补给期主要在7—9月的雨季,盆泉—北博山断裂北盘和谢家店断层破碎带裸露的中奥陶系灰岩为主要的补给区与补给点。确定</w:t>
      </w:r>
      <w:r>
        <w:rPr>
          <w:rFonts w:ascii="Times New Roman" w:hAnsi="Times New Roman"/>
        </w:rPr>
        <w:t>谢家店饮用水水源地</w:t>
      </w:r>
      <w:r>
        <w:rPr>
          <w:rFonts w:hint="eastAsia" w:ascii="Times New Roman" w:hAnsi="Times New Roman"/>
        </w:rPr>
        <w:t>主要</w:t>
      </w:r>
      <w:r>
        <w:rPr>
          <w:rFonts w:ascii="Times New Roman" w:hAnsi="Times New Roman"/>
        </w:rPr>
        <w:t>补给区范围为</w:t>
      </w:r>
      <w:bookmarkStart w:id="50" w:name="_Hlk497918312"/>
      <w:r>
        <w:rPr>
          <w:rFonts w:ascii="Times New Roman" w:hAnsi="Times New Roman"/>
        </w:rPr>
        <w:t>东至</w:t>
      </w:r>
      <w:r>
        <w:rPr>
          <w:rFonts w:hint="eastAsia" w:ascii="Times New Roman" w:hAnsi="Times New Roman"/>
        </w:rPr>
        <w:t>小寨山</w:t>
      </w:r>
      <w:r>
        <w:rPr>
          <w:rFonts w:ascii="Times New Roman" w:hAnsi="Times New Roman"/>
        </w:rPr>
        <w:t>，西至</w:t>
      </w:r>
      <w:r>
        <w:rPr>
          <w:rFonts w:hint="eastAsia" w:ascii="Times New Roman" w:hAnsi="Times New Roman"/>
        </w:rPr>
        <w:t>柳峪顶</w:t>
      </w:r>
      <w:r>
        <w:rPr>
          <w:rFonts w:ascii="Times New Roman" w:hAnsi="Times New Roman"/>
        </w:rPr>
        <w:t>，南至</w:t>
      </w:r>
      <w:r>
        <w:rPr>
          <w:rFonts w:hint="eastAsia" w:ascii="Times New Roman" w:hAnsi="Times New Roman"/>
        </w:rPr>
        <w:t>汉王寨—大寨一线</w:t>
      </w:r>
      <w:r>
        <w:rPr>
          <w:rFonts w:ascii="Times New Roman" w:hAnsi="Times New Roman"/>
        </w:rPr>
        <w:t>，北至</w:t>
      </w:r>
      <w:r>
        <w:rPr>
          <w:rFonts w:hint="eastAsia" w:ascii="Times New Roman" w:hAnsi="Times New Roman"/>
        </w:rPr>
        <w:t>葫芦栅—擂鼓山一线的</w:t>
      </w:r>
      <w:r>
        <w:rPr>
          <w:rFonts w:ascii="Times New Roman" w:hAnsi="Times New Roman"/>
        </w:rPr>
        <w:t>地表分水岭</w:t>
      </w:r>
      <w:bookmarkEnd w:id="50"/>
      <w:r>
        <w:rPr>
          <w:rFonts w:hint="eastAsia" w:ascii="Times New Roman" w:hAnsi="Times New Roman"/>
        </w:rPr>
        <w:t>。</w:t>
      </w:r>
      <w:r>
        <w:rPr>
          <w:rFonts w:ascii="Times New Roman" w:hAnsi="Times New Roman"/>
        </w:rPr>
        <w:t>因此，谢家店饮用水源准保护区</w:t>
      </w:r>
      <w:r>
        <w:rPr>
          <w:rFonts w:hint="eastAsia" w:ascii="Times New Roman" w:hAnsi="Times New Roman"/>
        </w:rPr>
        <w:t>的范围为：东至1#井以东3</w:t>
      </w:r>
      <w:r>
        <w:rPr>
          <w:rFonts w:ascii="Times New Roman" w:hAnsi="Times New Roman"/>
        </w:rPr>
        <w:t>5</w:t>
      </w:r>
      <w:r>
        <w:rPr>
          <w:rFonts w:hint="eastAsia" w:ascii="Times New Roman" w:hAnsi="Times New Roman"/>
        </w:rPr>
        <w:t>0m处，</w:t>
      </w:r>
      <w:r>
        <w:rPr>
          <w:rFonts w:ascii="Times New Roman" w:hAnsi="Times New Roman"/>
        </w:rPr>
        <w:t>西至</w:t>
      </w:r>
      <w:r>
        <w:rPr>
          <w:rFonts w:hint="eastAsia" w:ascii="Times New Roman" w:hAnsi="Times New Roman"/>
        </w:rPr>
        <w:t>盆泉村西大桥，南至汉王寨，北至北博山客运站北342m处，</w:t>
      </w:r>
      <w:r>
        <w:rPr>
          <w:rFonts w:ascii="Times New Roman" w:hAnsi="Times New Roman"/>
        </w:rPr>
        <w:t>面积为13.076平方</w:t>
      </w:r>
      <w:r>
        <w:rPr>
          <w:rFonts w:hint="eastAsia" w:ascii="Times New Roman" w:hAnsi="Times New Roman"/>
        </w:rPr>
        <w:t>千</w:t>
      </w:r>
      <w:r>
        <w:rPr>
          <w:rFonts w:ascii="Times New Roman" w:hAnsi="Times New Roman"/>
        </w:rPr>
        <w:t>米</w:t>
      </w:r>
      <w:r>
        <w:rPr>
          <w:rFonts w:hint="eastAsia" w:ascii="Times New Roman" w:hAnsi="Times New Roman"/>
        </w:rPr>
        <w:t>，周长</w:t>
      </w:r>
      <w:r>
        <w:rPr>
          <w:rFonts w:ascii="Times New Roman" w:hAnsi="Times New Roman"/>
        </w:rPr>
        <w:t>17.64</w:t>
      </w:r>
      <w:r>
        <w:rPr>
          <w:rFonts w:hint="eastAsia" w:ascii="Times New Roman" w:hAnsi="Times New Roman"/>
        </w:rPr>
        <w:t>4千米</w:t>
      </w:r>
      <w:r>
        <w:rPr>
          <w:rFonts w:ascii="Times New Roman" w:hAnsi="Times New Roman"/>
        </w:rPr>
        <w:t>。</w:t>
      </w:r>
      <w:r>
        <w:rPr>
          <w:rFonts w:hint="eastAsia" w:ascii="Times New Roman" w:hAnsi="Times New Roman"/>
        </w:rPr>
        <w:t>谢家店饮用水源准保护区具体划分</w:t>
      </w:r>
      <w:r>
        <w:rPr>
          <w:rFonts w:ascii="Times New Roman" w:hAnsi="Times New Roman"/>
        </w:rPr>
        <w:t>见下图</w:t>
      </w:r>
      <w:r>
        <w:rPr>
          <w:rFonts w:hint="eastAsia" w:ascii="Times New Roman" w:hAnsi="Times New Roman"/>
        </w:rPr>
        <w:t>3-2</w:t>
      </w:r>
      <w:r>
        <w:rPr>
          <w:rFonts w:ascii="Times New Roman" w:hAnsi="Times New Roman"/>
        </w:rPr>
        <w:t>。</w:t>
      </w:r>
    </w:p>
    <w:p>
      <w:pPr>
        <w:ind w:leftChars="-455" w:hanging="1274" w:hangingChars="455"/>
        <w:rPr>
          <w:rFonts w:ascii="Times New Roman" w:hAnsi="Times New Roman"/>
        </w:rPr>
      </w:pPr>
      <w:r>
        <w:rPr>
          <w:rFonts w:ascii="Times New Roman" w:hAnsi="Times New Roman"/>
        </w:rPr>
        <w:drawing>
          <wp:inline distT="0" distB="0" distL="0" distR="0">
            <wp:extent cx="7096760" cy="5022215"/>
            <wp:effectExtent l="0" t="0" r="8890" b="698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107158" cy="5029602"/>
                    </a:xfrm>
                    <a:prstGeom prst="rect">
                      <a:avLst/>
                    </a:prstGeom>
                  </pic:spPr>
                </pic:pic>
              </a:graphicData>
            </a:graphic>
          </wp:inline>
        </w:drawing>
      </w:r>
    </w:p>
    <w:p>
      <w:pPr>
        <w:snapToGrid w:val="0"/>
        <w:ind w:firstLine="0" w:firstLineChars="0"/>
        <w:jc w:val="center"/>
        <w:rPr>
          <w:rFonts w:ascii="Times New Roman" w:hAnsi="Times New Roman"/>
          <w:b/>
          <w:sz w:val="24"/>
        </w:rPr>
      </w:pPr>
      <w:r>
        <w:rPr>
          <w:rFonts w:ascii="Times New Roman" w:hAnsi="Times New Roman"/>
          <w:b/>
          <w:sz w:val="24"/>
        </w:rPr>
        <w:t>图</w:t>
      </w:r>
      <w:r>
        <w:rPr>
          <w:rFonts w:hint="eastAsia" w:ascii="Times New Roman" w:hAnsi="Times New Roman"/>
          <w:b/>
          <w:sz w:val="24"/>
        </w:rPr>
        <w:t>3</w:t>
      </w:r>
      <w:r>
        <w:rPr>
          <w:rFonts w:ascii="Times New Roman" w:hAnsi="Times New Roman"/>
          <w:b/>
          <w:sz w:val="24"/>
        </w:rPr>
        <w:t>-2 谢家店饮用水水源准保护区划分图</w:t>
      </w:r>
    </w:p>
    <w:p>
      <w:pPr>
        <w:pStyle w:val="27"/>
      </w:pPr>
      <w:bookmarkStart w:id="51" w:name="_Toc35526469"/>
      <w:r>
        <w:rPr>
          <w:rFonts w:hint="eastAsia"/>
        </w:rPr>
        <w:t>保护区</w:t>
      </w:r>
      <w:r>
        <w:t>划分结果及分析</w:t>
      </w:r>
      <w:bookmarkEnd w:id="51"/>
    </w:p>
    <w:p>
      <w:pPr>
        <w:pStyle w:val="25"/>
      </w:pPr>
      <w:bookmarkStart w:id="52" w:name="_Toc35526470"/>
      <w:r>
        <w:t>一级保护区</w:t>
      </w:r>
      <w:bookmarkEnd w:id="52"/>
    </w:p>
    <w:p>
      <w:pPr>
        <w:ind w:firstLine="560"/>
        <w:rPr>
          <w:rFonts w:ascii="Times New Roman" w:hAnsi="Times New Roman"/>
        </w:rPr>
      </w:pPr>
      <w:bookmarkStart w:id="53" w:name="_Hlk497918326"/>
      <w:r>
        <w:rPr>
          <w:rFonts w:ascii="Times New Roman" w:hAnsi="Times New Roman"/>
        </w:rPr>
        <w:t>谢家店饮用水水源</w:t>
      </w:r>
      <w:bookmarkEnd w:id="53"/>
      <w:bookmarkStart w:id="54" w:name="_Hlk526852629"/>
      <w:r>
        <w:rPr>
          <w:rFonts w:ascii="Times New Roman" w:hAnsi="Times New Roman"/>
        </w:rPr>
        <w:t>一级保护区范围</w:t>
      </w:r>
      <w:r>
        <w:rPr>
          <w:rFonts w:hint="eastAsia" w:ascii="Times New Roman" w:hAnsi="Times New Roman"/>
        </w:rPr>
        <w:t>：</w:t>
      </w:r>
      <w:bookmarkEnd w:id="54"/>
      <w:r>
        <w:rPr>
          <w:rFonts w:hint="eastAsia" w:ascii="Times New Roman" w:hAnsi="Times New Roman"/>
        </w:rPr>
        <w:t>分为东、中、西3个井群一级保护区。东侧为1#、2#取水井一级保护区，西侧为8#、9#取水井一级保护区，中部为3#、4#、5#、6#、7#取水井一级保护区。东侧一级保护区范围为以1#、2#取水井口为中心，长度约为30米-60米的多边形区域。中部一级保护区范围包括：东至3#取水井东侧35米处，西至7#取水井西侧38米处，北至3#取水井北侧40米处，南至5#取水井南侧30米处范围内的多边形区域。西侧一级保护区范围包括：东至8#、9#取水井连线以东的河岸，西至8#、9#取水井连线以西30米处，北至谢家店桥南侧，南至9#取水井南侧40米处范围内的多边形区域。谢家店饮用水水源一级保护区总面积为39609.80平方米，总周长1509.24米。具体保护区范围见图3-1，</w:t>
      </w:r>
      <w:r>
        <w:t>主要拐点坐标见表</w:t>
      </w:r>
      <w:r>
        <w:rPr>
          <w:spacing w:val="-82"/>
        </w:rPr>
        <w:t xml:space="preserve"> </w:t>
      </w:r>
      <w:r>
        <w:rPr>
          <w:rFonts w:ascii="Times New Roman" w:eastAsia="Times New Roman"/>
        </w:rPr>
        <w:t>3</w:t>
      </w:r>
      <w:r>
        <w:rPr>
          <w:rFonts w:ascii="Times New Roman" w:hAnsi="Times New Roman" w:eastAsiaTheme="minorEastAsia"/>
        </w:rPr>
        <w:t>-3</w:t>
      </w:r>
      <w:r>
        <w:t>。</w:t>
      </w:r>
    </w:p>
    <w:p>
      <w:pPr>
        <w:pStyle w:val="25"/>
      </w:pPr>
      <w:bookmarkStart w:id="55" w:name="_Toc35526471"/>
      <w:r>
        <w:t>准保护区</w:t>
      </w:r>
      <w:bookmarkEnd w:id="55"/>
    </w:p>
    <w:p>
      <w:pPr>
        <w:ind w:firstLine="560"/>
        <w:rPr>
          <w:rFonts w:ascii="Times New Roman" w:hAnsi="Times New Roman"/>
        </w:rPr>
      </w:pPr>
      <w:r>
        <w:rPr>
          <w:rFonts w:ascii="Times New Roman" w:hAnsi="Times New Roman"/>
        </w:rPr>
        <w:t>谢家店饮用水水源准保护区范围：</w:t>
      </w:r>
      <w:bookmarkStart w:id="56" w:name="_Hlk497987351"/>
      <w:bookmarkStart w:id="57" w:name="_Hlk527298005"/>
      <w:r>
        <w:rPr>
          <w:rFonts w:hint="eastAsia" w:ascii="Times New Roman" w:hAnsi="Times New Roman"/>
        </w:rPr>
        <w:t>东至1#井以东350m，西至盆泉村西大桥，南至汉王寨，北至北博山客运站北342m处，面积为13.076平方千米，周长17.644千米，具体保护区范围见图3-2，</w:t>
      </w:r>
      <w:r>
        <w:t>主要拐点坐标见表</w:t>
      </w:r>
      <w:r>
        <w:rPr>
          <w:spacing w:val="-82"/>
        </w:rPr>
        <w:t xml:space="preserve"> </w:t>
      </w:r>
      <w:r>
        <w:rPr>
          <w:rFonts w:ascii="Times New Roman" w:eastAsia="Times New Roman"/>
        </w:rPr>
        <w:t>3</w:t>
      </w:r>
      <w:r>
        <w:rPr>
          <w:rFonts w:ascii="Times New Roman" w:hAnsi="Times New Roman" w:eastAsiaTheme="minorEastAsia"/>
        </w:rPr>
        <w:t>-3</w:t>
      </w:r>
      <w:r>
        <w:t>。</w:t>
      </w:r>
    </w:p>
    <w:bookmarkEnd w:id="56"/>
    <w:bookmarkEnd w:id="57"/>
    <w:p>
      <w:pPr>
        <w:snapToGrid w:val="0"/>
        <w:ind w:firstLine="0" w:firstLineChars="0"/>
        <w:jc w:val="center"/>
        <w:rPr>
          <w:rFonts w:ascii="Times New Roman" w:hAnsi="Times New Roman"/>
          <w:b/>
          <w:sz w:val="24"/>
        </w:rPr>
      </w:pPr>
      <w:bookmarkStart w:id="58" w:name="_Hlk526852889"/>
      <w:r>
        <w:rPr>
          <w:rFonts w:ascii="Times New Roman" w:hAnsi="Times New Roman"/>
          <w:b/>
          <w:sz w:val="24"/>
        </w:rPr>
        <w:t>表</w:t>
      </w:r>
      <w:r>
        <w:rPr>
          <w:rFonts w:hint="eastAsia" w:ascii="Times New Roman" w:hAnsi="Times New Roman"/>
          <w:b/>
          <w:sz w:val="24"/>
        </w:rPr>
        <w:t>3-</w:t>
      </w:r>
      <w:r>
        <w:rPr>
          <w:rFonts w:ascii="Times New Roman" w:hAnsi="Times New Roman"/>
          <w:b/>
          <w:sz w:val="24"/>
        </w:rPr>
        <w:t>3 谢家店饮用水水源保护区拐点坐标</w:t>
      </w:r>
    </w:p>
    <w:tbl>
      <w:tblPr>
        <w:tblStyle w:val="15"/>
        <w:tblW w:w="8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0"/>
        <w:gridCol w:w="1691"/>
        <w:gridCol w:w="1589"/>
        <w:gridCol w:w="810"/>
        <w:gridCol w:w="1691"/>
        <w:gridCol w:w="15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4090" w:type="dxa"/>
            <w:gridSpan w:val="3"/>
            <w:shd w:val="clear" w:color="auto" w:fill="auto"/>
            <w:noWrap/>
            <w:vAlign w:val="center"/>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一级保护区</w:t>
            </w:r>
          </w:p>
        </w:tc>
        <w:tc>
          <w:tcPr>
            <w:tcW w:w="4090" w:type="dxa"/>
            <w:gridSpan w:val="3"/>
            <w:shd w:val="clear" w:color="auto" w:fill="auto"/>
            <w:noWrap/>
            <w:vAlign w:val="center"/>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准保护区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10" w:type="dxa"/>
            <w:shd w:val="clear" w:color="auto" w:fill="auto"/>
            <w:noWrap/>
            <w:vAlign w:val="center"/>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界标点</w:t>
            </w:r>
          </w:p>
        </w:tc>
        <w:tc>
          <w:tcPr>
            <w:tcW w:w="1691" w:type="dxa"/>
            <w:shd w:val="clear" w:color="auto" w:fill="auto"/>
            <w:noWrap/>
            <w:vAlign w:val="center"/>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经度</w:t>
            </w:r>
          </w:p>
        </w:tc>
        <w:tc>
          <w:tcPr>
            <w:tcW w:w="1589" w:type="dxa"/>
            <w:shd w:val="clear" w:color="auto" w:fill="auto"/>
            <w:noWrap/>
            <w:vAlign w:val="center"/>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纬度</w:t>
            </w:r>
          </w:p>
        </w:tc>
        <w:tc>
          <w:tcPr>
            <w:tcW w:w="810" w:type="dxa"/>
            <w:shd w:val="clear" w:color="auto" w:fill="auto"/>
            <w:noWrap/>
            <w:vAlign w:val="center"/>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界标点</w:t>
            </w:r>
          </w:p>
        </w:tc>
        <w:tc>
          <w:tcPr>
            <w:tcW w:w="1691" w:type="dxa"/>
            <w:shd w:val="clear" w:color="auto" w:fill="auto"/>
            <w:noWrap/>
            <w:vAlign w:val="center"/>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经度</w:t>
            </w:r>
          </w:p>
        </w:tc>
        <w:tc>
          <w:tcPr>
            <w:tcW w:w="1589" w:type="dxa"/>
            <w:shd w:val="clear" w:color="auto" w:fill="auto"/>
            <w:noWrap/>
            <w:vAlign w:val="center"/>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117°57′52.76″</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36°22′39.52″</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117°58′54.01″</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36°23′8.04″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A2</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117°57′51.37″</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36°22′38.81″</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B2</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117°58′58.88″</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36°23′6.41″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A3</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117°57′48.67″</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36°22′41.93″</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B3</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117°59′2.93″</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36°22′58.83″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A4</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117°57′50.23″</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36°22′42.39″</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B4</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117°58′52.25″</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36°22′31.54″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A5</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117°58′42.6″</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36°23′4.91″</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B5</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117°58′54.77″</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36°22′17.28″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A6</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117°58′42.95″</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36°23′5.39″</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B6</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117°58′49.23″</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36°22′7.23″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A7</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117°58′44.41″</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36°23′6.35″</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B7</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117°58′22.04″</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36°21′44.35″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A8</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117°58′45.41″</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36°23′5.8″</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B8</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117°58′3.04″</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36°21′51.42″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A9</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117°58′44.33″</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36°23′4.19″</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B9</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117°57′52.21″</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36°21′56.16″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A10</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117°58′50.48″</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36°23′4.53″</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B10</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117°57′44.09″</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36°22′15.75″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A11</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117°58′49.3″</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36°23′2.97″</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B11</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117°57′8.48″</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A12</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117°58′47.44″</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36°23′3.71″</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B12</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117°56′27″</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36°22′15.18″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A13</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117°58′49.67″</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36°23′5.11″</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B13</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117°55′31.54″</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36°21′59.34″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A14</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117°58′23.5″</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36°22′59.97″</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B14</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117°55′7.2″</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36°21′59.37″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A15</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117°58′21.61″</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36°22′52.63″</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B15</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117°54′59.29″</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36°22′1.38″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A16</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117°58′20.27″</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36°22′51.39″</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B16</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117°54′40.71″</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36°22′20.89″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A17</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117°58′17.86″</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36°22′52.2″</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B17</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117°55′3.2″</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36°22′41.62″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A18</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117°58′18.58″</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36°22′54.4″</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B18</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117°55′40.94″</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36°22′50.49″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A19</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117°58′16.26″</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36°22′55.09″</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B19</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117°55′52″</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36°23′19.58″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A20</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117°58′18.75″</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36°23′0.12″</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B20</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117°56′8.16″</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36°23′26.17″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A21</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117°58′20.59″</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36°22′59.51″</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B21</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117°56′41.47″</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36°23′19.19″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A22</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117°58′21.1″</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36°23′0.68″</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B22</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117°57′7.07″</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36°23′27.93″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A23</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B23</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117°57′16.38″</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36°23′26.89″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A24</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B24</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117°57′35.27″</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A25</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B25</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117°57′51.81″</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36°23′23.78″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A26</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B26</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117°58′0.74″</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36°23′22.59″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A27</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B27</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117°58′12.24″</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36°23′16.79″</w:t>
            </w:r>
          </w:p>
        </w:tc>
      </w:tr>
      <w:bookmarkEnd w:id="58"/>
    </w:tbl>
    <w:p>
      <w:pPr>
        <w:pStyle w:val="27"/>
      </w:pPr>
      <w:bookmarkStart w:id="59" w:name="_Toc35526472"/>
      <w:r>
        <w:t>保护区定界方案</w:t>
      </w:r>
      <w:bookmarkEnd w:id="59"/>
    </w:p>
    <w:p>
      <w:pPr>
        <w:pStyle w:val="25"/>
      </w:pPr>
      <w:bookmarkStart w:id="60" w:name="_Toc35526473"/>
      <w:r>
        <w:rPr>
          <w:rFonts w:hint="eastAsia"/>
        </w:rPr>
        <w:t>建立水源保护区</w:t>
      </w:r>
      <w:bookmarkEnd w:id="60"/>
    </w:p>
    <w:p>
      <w:pPr>
        <w:ind w:firstLine="560"/>
        <w:rPr>
          <w:rFonts w:ascii="Times New Roman" w:hAnsi="Times New Roman"/>
        </w:rPr>
      </w:pPr>
      <w:r>
        <w:rPr>
          <w:rFonts w:hint="eastAsia" w:ascii="Times New Roman" w:hAnsi="Times New Roman"/>
        </w:rPr>
        <w:t>根据《中华人民共和国水法》、《中华人民共和国水污染防治法》《饮用水水源保护区污染防治管理规定》和《集中式饮用水水源环境保护指南（试行）》等相关规定，谢家店饮用水水源保护区的划定，由淄博市博山区人民政府提出划定方案及相关图件，按程序逐级报淄博市人民政府、山东省人民政府批准。</w:t>
      </w:r>
    </w:p>
    <w:p>
      <w:pPr>
        <w:ind w:firstLine="560"/>
        <w:rPr>
          <w:rFonts w:ascii="Times New Roman" w:hAnsi="Times New Roman"/>
        </w:rPr>
      </w:pPr>
      <w:r>
        <w:rPr>
          <w:rFonts w:hint="eastAsia" w:ascii="Times New Roman" w:hAnsi="Times New Roman"/>
        </w:rPr>
        <w:t>经省人民政府批准后，由淄博市博山区人民政府向社会公布水源保护区地理界线，在水源保护区设置标志牌、警示牌、界碑和隔离网等，并定期巡查实时掌握破损和丢失情况。饮用水水源地保护标志应参照 HI/T433-2008《饮用水水源保护区标志技术要求》的规定执行。</w:t>
      </w:r>
    </w:p>
    <w:p>
      <w:pPr>
        <w:pStyle w:val="25"/>
      </w:pPr>
      <w:bookmarkStart w:id="61" w:name="_Toc35526474"/>
      <w:r>
        <w:t>饮用水水源保护区标志设置</w:t>
      </w:r>
      <w:bookmarkEnd w:id="61"/>
    </w:p>
    <w:p>
      <w:pPr>
        <w:ind w:firstLine="560"/>
        <w:rPr>
          <w:rFonts w:ascii="Times New Roman" w:hAnsi="Times New Roman"/>
        </w:rPr>
      </w:pPr>
      <w:r>
        <w:rPr>
          <w:rFonts w:hint="eastAsia" w:ascii="Times New Roman" w:hAnsi="Times New Roman"/>
        </w:rPr>
        <w:t xml:space="preserve">饮用水水源保护区图形标志及其具体尺寸比例见下图 </w:t>
      </w:r>
      <w:r>
        <w:rPr>
          <w:rFonts w:ascii="Times New Roman" w:hAnsi="Times New Roman"/>
        </w:rPr>
        <w:t>3-3</w:t>
      </w:r>
      <w:r>
        <w:rPr>
          <w:rFonts w:hint="eastAsia" w:ascii="Times New Roman" w:hAnsi="Times New Roman"/>
        </w:rPr>
        <w:t>，饮用水水源保护区图形标的尺寸可根据实际情况按比例缩放。</w:t>
      </w:r>
    </w:p>
    <w:p>
      <w:pPr>
        <w:ind w:firstLine="560"/>
        <w:rPr>
          <w:rFonts w:ascii="Times New Roman" w:hAnsi="Times New Roman"/>
        </w:rPr>
      </w:pPr>
      <w:r>
        <w:rPr>
          <w:rFonts w:hint="eastAsia" w:ascii="Times New Roman" w:hAnsi="Times New Roman"/>
        </w:rPr>
        <w:t>饮用水水源保护区标志包括饮用水水源保护区界标、饮用水水源保护区交通警示牌和饮用水水源保护区宣传牌。</w:t>
      </w:r>
    </w:p>
    <w:p>
      <w:pPr>
        <w:ind w:firstLine="560"/>
        <w:rPr>
          <w:rFonts w:ascii="Times New Roman" w:hAnsi="Times New Roman"/>
        </w:rPr>
      </w:pPr>
      <w:r>
        <w:rPr>
          <w:rFonts w:ascii="Times New Roman" w:hAnsi="Times New Roman"/>
        </w:rPr>
        <w:drawing>
          <wp:inline distT="0" distB="0" distL="0" distR="0">
            <wp:extent cx="5724525" cy="2719070"/>
            <wp:effectExtent l="0" t="0" r="9525" b="50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724525" cy="2719070"/>
                    </a:xfrm>
                    <a:prstGeom prst="rect">
                      <a:avLst/>
                    </a:prstGeom>
                    <a:noFill/>
                  </pic:spPr>
                </pic:pic>
              </a:graphicData>
            </a:graphic>
          </wp:inline>
        </w:drawing>
      </w:r>
    </w:p>
    <w:p>
      <w:pPr>
        <w:ind w:firstLine="0" w:firstLineChars="0"/>
        <w:jc w:val="center"/>
        <w:rPr>
          <w:rFonts w:ascii="Times New Roman" w:hAnsi="Times New Roman"/>
        </w:rPr>
      </w:pPr>
      <w:r>
        <w:rPr>
          <w:rFonts w:hint="eastAsia" w:ascii="Times New Roman" w:hAnsi="Times New Roman"/>
        </w:rPr>
        <w:t>图</w:t>
      </w:r>
      <w:r>
        <w:rPr>
          <w:rFonts w:ascii="Times New Roman" w:hAnsi="Times New Roman"/>
        </w:rPr>
        <w:t>3-3</w:t>
      </w:r>
      <w:r>
        <w:rPr>
          <w:rFonts w:hint="eastAsia" w:ascii="Times New Roman" w:hAnsi="Times New Roman"/>
        </w:rPr>
        <w:t xml:space="preserve"> 饮用水水源保护区图形标及尺寸比例</w:t>
      </w:r>
    </w:p>
    <w:p>
      <w:pPr>
        <w:pStyle w:val="25"/>
      </w:pPr>
      <w:bookmarkStart w:id="62" w:name="_Toc35526475"/>
      <w:r>
        <w:rPr>
          <w:rFonts w:hint="eastAsia"/>
        </w:rPr>
        <w:t>饮用水水源保护区界标</w:t>
      </w:r>
      <w:bookmarkEnd w:id="62"/>
    </w:p>
    <w:p>
      <w:pPr>
        <w:ind w:firstLine="560"/>
        <w:rPr>
          <w:rFonts w:ascii="Times New Roman" w:hAnsi="Times New Roman"/>
        </w:rPr>
      </w:pPr>
      <w:r>
        <w:rPr>
          <w:rFonts w:hint="eastAsia" w:ascii="Times New Roman" w:hAnsi="Times New Roman"/>
        </w:rPr>
        <w:t>饮用水水源保护区界标是在饮用水水源保护区的地理边界设立的标志。标识饮用水水源保护区的范围，并警示人们需谨慎行为。</w:t>
      </w:r>
    </w:p>
    <w:p>
      <w:pPr>
        <w:ind w:firstLine="560"/>
        <w:rPr>
          <w:rFonts w:ascii="Times New Roman" w:hAnsi="Times New Roman"/>
        </w:rPr>
      </w:pPr>
      <w:r>
        <w:rPr>
          <w:rFonts w:hint="eastAsia" w:ascii="Times New Roman" w:hAnsi="Times New Roman"/>
        </w:rPr>
        <w:t>（1）界标内容</w:t>
      </w:r>
    </w:p>
    <w:p>
      <w:pPr>
        <w:ind w:firstLine="560"/>
        <w:rPr>
          <w:rFonts w:ascii="Times New Roman" w:hAnsi="Times New Roman"/>
        </w:rPr>
      </w:pPr>
      <w:r>
        <w:rPr>
          <w:rFonts w:hint="eastAsia" w:ascii="Times New Roman" w:hAnsi="Times New Roman"/>
        </w:rPr>
        <w:t>界标正面：上方为饮用水水源保护区图形标，中下方书写饮用水水源保护区名称，如：饮用水水源一级保护区。下方为“监督管理电话：0</w:t>
      </w:r>
      <w:r>
        <w:rPr>
          <w:rFonts w:ascii="Times New Roman" w:hAnsi="Times New Roman"/>
        </w:rPr>
        <w:t>533</w:t>
      </w:r>
      <w:r>
        <w:rPr>
          <w:rFonts w:hint="eastAsia" w:ascii="Times New Roman" w:hAnsi="Times New Roman"/>
        </w:rPr>
        <w:t>-XXXXXXX”等。监督管理方面的信息，监督管理电话一般为当地环境保护行政主管部门联系电话。</w:t>
      </w:r>
    </w:p>
    <w:p>
      <w:pPr>
        <w:ind w:firstLine="560"/>
        <w:rPr>
          <w:rFonts w:ascii="Times New Roman" w:hAnsi="Times New Roman"/>
        </w:rPr>
      </w:pPr>
      <w:r>
        <w:rPr>
          <w:rFonts w:hint="eastAsia" w:ascii="Times New Roman" w:hAnsi="Times New Roman"/>
        </w:rPr>
        <w:t xml:space="preserve">界标背面：上方用清晰、易懂的图形或文字说明根据 HJ/T338-2007  划定的饮用水水源保护区范围，以标明保护区准确地理坐标和范围参数等为宜。中下方书写饮用水水源保护区具体的管理要求，可引用《中华人民共和国水污染防治法》以及其它有关法律法规中关于饮用水水源保护区的条款和内容。最下方靠右处书写“XXX 政府 XXXX 年设立”字样。饮用水水源保护区界标正面及背面内容的示意图如图 </w:t>
      </w:r>
      <w:r>
        <w:rPr>
          <w:rFonts w:ascii="Times New Roman" w:hAnsi="Times New Roman"/>
        </w:rPr>
        <w:t>3-4</w:t>
      </w:r>
      <w:r>
        <w:rPr>
          <w:rFonts w:hint="eastAsia" w:ascii="Times New Roman" w:hAnsi="Times New Roman"/>
        </w:rPr>
        <w:t>。</w:t>
      </w:r>
    </w:p>
    <w:p>
      <w:pPr>
        <w:ind w:firstLine="0" w:firstLineChars="0"/>
        <w:rPr>
          <w:rFonts w:ascii="Times New Roman" w:hAnsi="Times New Roman"/>
        </w:rPr>
      </w:pPr>
      <w:r>
        <w:rPr>
          <w:rFonts w:ascii="Times New Roman" w:hAnsi="Times New Roman"/>
        </w:rPr>
        <w:drawing>
          <wp:inline distT="0" distB="0" distL="0" distR="0">
            <wp:extent cx="6010910" cy="3566160"/>
            <wp:effectExtent l="0" t="0" r="889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6010910" cy="3566160"/>
                    </a:xfrm>
                    <a:prstGeom prst="rect">
                      <a:avLst/>
                    </a:prstGeom>
                    <a:noFill/>
                  </pic:spPr>
                </pic:pic>
              </a:graphicData>
            </a:graphic>
          </wp:inline>
        </w:drawing>
      </w:r>
    </w:p>
    <w:p>
      <w:pPr>
        <w:ind w:firstLine="0" w:firstLineChars="0"/>
        <w:jc w:val="center"/>
        <w:rPr>
          <w:rFonts w:ascii="Times New Roman" w:hAnsi="Times New Roman"/>
        </w:rPr>
      </w:pPr>
      <w:r>
        <w:rPr>
          <w:rFonts w:hint="eastAsia" w:ascii="Times New Roman" w:hAnsi="Times New Roman"/>
        </w:rPr>
        <w:t xml:space="preserve">图 </w:t>
      </w:r>
      <w:r>
        <w:rPr>
          <w:rFonts w:ascii="Times New Roman" w:hAnsi="Times New Roman"/>
        </w:rPr>
        <w:t xml:space="preserve">3-4 </w:t>
      </w:r>
      <w:r>
        <w:rPr>
          <w:rFonts w:hint="eastAsia" w:ascii="Times New Roman" w:hAnsi="Times New Roman"/>
        </w:rPr>
        <w:t>饮用水水源保护区界牌内容示意图</w:t>
      </w:r>
    </w:p>
    <w:p>
      <w:pPr>
        <w:ind w:firstLine="0" w:firstLineChars="0"/>
        <w:rPr>
          <w:rFonts w:ascii="Times New Roman" w:hAnsi="Times New Roman"/>
        </w:rPr>
      </w:pPr>
      <w:r>
        <w:rPr>
          <w:rFonts w:hint="eastAsia" w:ascii="Times New Roman" w:hAnsi="Times New Roman"/>
        </w:rPr>
        <w:t>（2）界牌位置与数量</w:t>
      </w:r>
    </w:p>
    <w:p>
      <w:pPr>
        <w:ind w:firstLine="560"/>
        <w:rPr>
          <w:rFonts w:ascii="Times New Roman" w:hAnsi="Times New Roman"/>
        </w:rPr>
      </w:pPr>
      <w:r>
        <w:rPr>
          <w:rFonts w:hint="eastAsia" w:ascii="Times New Roman" w:hAnsi="Times New Roman"/>
        </w:rPr>
        <w:t>饮用水水源保护区界标的设立位置应以根据 HJ/T338-2007最终确定的各级保护区线进行设置，应充分考虑保护区地形、地标、地物的特点。饮用水水源保护区界标一般设立于保护区陆域界线的顶点处。饮用水水源保护区陆域范围为弧形或接近弧形时（如某些湖库型饮用水水源保护区）,宜在陆域两个弧端点及弧顶处设置界标。</w:t>
      </w:r>
    </w:p>
    <w:p>
      <w:pPr>
        <w:ind w:firstLine="560"/>
        <w:rPr>
          <w:rFonts w:ascii="Times New Roman" w:hAnsi="Times New Roman"/>
        </w:rPr>
      </w:pPr>
      <w:r>
        <w:rPr>
          <w:rFonts w:hint="eastAsia" w:ascii="Times New Roman" w:hAnsi="Times New Roman"/>
        </w:rPr>
        <w:t>在划定的陆域范围内，可根据环境管理需要在人群易见、活动处（如交叉路口，绿地休闲区等）设立界标。</w:t>
      </w:r>
    </w:p>
    <w:p>
      <w:pPr>
        <w:ind w:firstLine="560"/>
        <w:rPr>
          <w:rFonts w:ascii="Times New Roman" w:hAnsi="Times New Roman"/>
        </w:rPr>
      </w:pPr>
      <w:r>
        <w:rPr>
          <w:rFonts w:hint="eastAsia" w:ascii="Times New Roman" w:hAnsi="Times New Roman"/>
        </w:rPr>
        <w:t>饮用水水源保护区界标的设立应综合考虑饮用水水源一级保护区、准保护区的界标设立数量和分布而进行设置。</w:t>
      </w:r>
    </w:p>
    <w:p>
      <w:pPr>
        <w:ind w:firstLine="560"/>
        <w:rPr>
          <w:rFonts w:ascii="Times New Roman" w:hAnsi="Times New Roman"/>
        </w:rPr>
      </w:pPr>
      <w:r>
        <w:rPr>
          <w:rFonts w:hint="eastAsia" w:ascii="Times New Roman" w:hAnsi="Times New Roman"/>
        </w:rPr>
        <w:t>由以上分析，谢家店饮用水水源保护区界标设置位置和数量分别见表</w:t>
      </w:r>
      <w:r>
        <w:rPr>
          <w:rFonts w:ascii="Times New Roman" w:hAnsi="Times New Roman"/>
        </w:rPr>
        <w:t>3-4</w:t>
      </w:r>
      <w:r>
        <w:rPr>
          <w:rFonts w:hint="eastAsia" w:ascii="Times New Roman" w:hAnsi="Times New Roman"/>
        </w:rPr>
        <w:t>和图</w:t>
      </w:r>
      <w:r>
        <w:rPr>
          <w:rFonts w:ascii="Times New Roman" w:hAnsi="Times New Roman"/>
        </w:rPr>
        <w:t>3-5</w:t>
      </w:r>
      <w:r>
        <w:rPr>
          <w:rFonts w:hint="eastAsia" w:ascii="Times New Roman" w:hAnsi="Times New Roman"/>
        </w:rPr>
        <w:t>。</w:t>
      </w:r>
    </w:p>
    <w:p>
      <w:pPr>
        <w:ind w:firstLine="0" w:firstLineChars="0"/>
        <w:jc w:val="center"/>
        <w:rPr>
          <w:rFonts w:ascii="Times New Roman" w:hAnsi="Times New Roman"/>
        </w:rPr>
      </w:pPr>
      <w:r>
        <w:t>表</w:t>
      </w:r>
      <w:r>
        <w:rPr>
          <w:rFonts w:ascii="Times New Roman" w:hAnsi="Times New Roman"/>
        </w:rPr>
        <w:t>3-4</w:t>
      </w:r>
      <w:r>
        <w:rPr>
          <w:rFonts w:ascii="Times New Roman" w:eastAsia="Times New Roman"/>
        </w:rPr>
        <w:t xml:space="preserve"> </w:t>
      </w:r>
      <w:r>
        <w:t>饮用水水源保护区界标设置情况表</w:t>
      </w:r>
    </w:p>
    <w:tbl>
      <w:tblPr>
        <w:tblStyle w:val="38"/>
        <w:tblW w:w="812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99"/>
        <w:gridCol w:w="1276"/>
        <w:gridCol w:w="2552"/>
        <w:gridCol w:w="26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tcPr>
          <w:p>
            <w:pPr>
              <w:autoSpaceDE w:val="0"/>
              <w:autoSpaceDN w:val="0"/>
              <w:spacing w:line="270" w:lineRule="exact"/>
              <w:ind w:firstLineChars="0"/>
              <w:jc w:val="left"/>
              <w:rPr>
                <w:rFonts w:ascii="宋体" w:hAnsi="Times New Roman" w:eastAsia="宋体"/>
                <w:b/>
                <w:kern w:val="0"/>
                <w:sz w:val="22"/>
                <w:lang w:eastAsia="en-US"/>
              </w:rPr>
            </w:pPr>
            <w:r>
              <w:rPr>
                <w:rFonts w:hint="eastAsia" w:ascii="宋体" w:hAnsi="Times New Roman" w:eastAsia="宋体"/>
                <w:b/>
                <w:kern w:val="0"/>
                <w:sz w:val="22"/>
                <w:lang w:eastAsia="en-US"/>
              </w:rPr>
              <w:t>保护区级别</w:t>
            </w:r>
          </w:p>
        </w:tc>
        <w:tc>
          <w:tcPr>
            <w:tcW w:w="1276" w:type="dxa"/>
          </w:tcPr>
          <w:p>
            <w:pPr>
              <w:autoSpaceDE w:val="0"/>
              <w:autoSpaceDN w:val="0"/>
              <w:spacing w:line="270" w:lineRule="exact"/>
              <w:ind w:right="301" w:firstLineChars="0"/>
              <w:rPr>
                <w:rFonts w:ascii="宋体" w:hAnsi="Times New Roman" w:eastAsia="宋体"/>
                <w:b/>
                <w:kern w:val="0"/>
                <w:sz w:val="22"/>
                <w:lang w:eastAsia="en-US"/>
              </w:rPr>
            </w:pPr>
            <w:r>
              <w:rPr>
                <w:rFonts w:hint="eastAsia" w:ascii="宋体" w:hAnsi="Times New Roman" w:eastAsia="宋体"/>
                <w:b/>
                <w:kern w:val="0"/>
                <w:sz w:val="22"/>
                <w:lang w:eastAsia="en-US"/>
              </w:rPr>
              <w:t>界标点</w:t>
            </w:r>
          </w:p>
        </w:tc>
        <w:tc>
          <w:tcPr>
            <w:tcW w:w="2552" w:type="dxa"/>
          </w:tcPr>
          <w:p>
            <w:pPr>
              <w:autoSpaceDE w:val="0"/>
              <w:autoSpaceDN w:val="0"/>
              <w:spacing w:line="270" w:lineRule="exact"/>
              <w:ind w:left="619" w:right="620" w:firstLine="0" w:firstLineChars="0"/>
              <w:jc w:val="center"/>
              <w:rPr>
                <w:rFonts w:ascii="宋体" w:hAnsi="Times New Roman" w:eastAsia="宋体"/>
                <w:b/>
                <w:kern w:val="0"/>
                <w:sz w:val="22"/>
                <w:lang w:eastAsia="en-US"/>
              </w:rPr>
            </w:pPr>
            <w:r>
              <w:rPr>
                <w:rFonts w:hint="eastAsia" w:ascii="宋体" w:hAnsi="Times New Roman" w:eastAsia="宋体"/>
                <w:b/>
                <w:kern w:val="0"/>
                <w:sz w:val="22"/>
                <w:lang w:eastAsia="en-US"/>
              </w:rPr>
              <w:t>经度</w:t>
            </w:r>
          </w:p>
        </w:tc>
        <w:tc>
          <w:tcPr>
            <w:tcW w:w="2693" w:type="dxa"/>
          </w:tcPr>
          <w:p>
            <w:pPr>
              <w:autoSpaceDE w:val="0"/>
              <w:autoSpaceDN w:val="0"/>
              <w:spacing w:line="270" w:lineRule="exact"/>
              <w:ind w:left="561" w:right="561" w:firstLine="0" w:firstLineChars="0"/>
              <w:jc w:val="center"/>
              <w:rPr>
                <w:rFonts w:ascii="宋体" w:hAnsi="Times New Roman" w:eastAsia="宋体"/>
                <w:b/>
                <w:kern w:val="0"/>
                <w:sz w:val="22"/>
                <w:lang w:eastAsia="en-US"/>
              </w:rPr>
            </w:pPr>
            <w:r>
              <w:rPr>
                <w:rFonts w:hint="eastAsia" w:ascii="宋体" w:hAnsi="Times New Roman" w:eastAsia="宋体"/>
                <w:b/>
                <w:kern w:val="0"/>
                <w:sz w:val="22"/>
                <w:lang w:eastAsia="en-US"/>
              </w:rPr>
              <w:t>纬度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6" w:hRule="atLeast"/>
          <w:jc w:val="center"/>
        </w:trPr>
        <w:tc>
          <w:tcPr>
            <w:tcW w:w="1599" w:type="dxa"/>
            <w:vMerge w:val="restart"/>
            <w:vAlign w:val="center"/>
          </w:tcPr>
          <w:p>
            <w:pPr>
              <w:autoSpaceDE w:val="0"/>
              <w:autoSpaceDN w:val="0"/>
              <w:spacing w:before="1" w:line="240" w:lineRule="auto"/>
              <w:ind w:firstLine="0" w:firstLineChars="0"/>
              <w:jc w:val="center"/>
              <w:rPr>
                <w:rFonts w:ascii="宋体" w:hAnsi="Times New Roman" w:eastAsia="宋体"/>
                <w:kern w:val="0"/>
                <w:sz w:val="22"/>
                <w:lang w:eastAsia="en-US"/>
              </w:rPr>
            </w:pPr>
            <w:r>
              <w:rPr>
                <w:rFonts w:hint="eastAsia" w:ascii="宋体" w:hAnsi="Times New Roman" w:eastAsia="宋体"/>
                <w:kern w:val="0"/>
                <w:sz w:val="22"/>
                <w:lang w:eastAsia="en-US"/>
              </w:rPr>
              <w:t>一级保护区</w:t>
            </w:r>
          </w:p>
        </w:tc>
        <w:tc>
          <w:tcPr>
            <w:tcW w:w="1276" w:type="dxa"/>
            <w:vAlign w:val="center"/>
          </w:tcPr>
          <w:p>
            <w:pPr>
              <w:autoSpaceDE w:val="0"/>
              <w:autoSpaceDN w:val="0"/>
              <w:spacing w:before="31"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J11</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117°58′49.67″</w:t>
            </w:r>
          </w:p>
        </w:tc>
        <w:tc>
          <w:tcPr>
            <w:tcW w:w="2693" w:type="dxa"/>
            <w:vAlign w:val="center"/>
          </w:tcPr>
          <w:p>
            <w:pPr>
              <w:widowControl/>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36°23′5.11″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6" w:hRule="atLeast"/>
          <w:jc w:val="center"/>
        </w:trPr>
        <w:tc>
          <w:tcPr>
            <w:tcW w:w="1599" w:type="dxa"/>
            <w:vMerge w:val="continue"/>
            <w:vAlign w:val="center"/>
          </w:tcPr>
          <w:p>
            <w:pPr>
              <w:autoSpaceDE w:val="0"/>
              <w:autoSpaceDN w:val="0"/>
              <w:spacing w:line="240" w:lineRule="auto"/>
              <w:ind w:firstLine="0" w:firstLineChars="0"/>
              <w:jc w:val="center"/>
              <w:rPr>
                <w:rFonts w:ascii="宋体" w:hAnsi="宋体" w:eastAsia="宋体" w:cs="宋体"/>
                <w:kern w:val="0"/>
                <w:sz w:val="22"/>
                <w:lang w:eastAsia="en-US"/>
              </w:rPr>
            </w:pPr>
          </w:p>
        </w:tc>
        <w:tc>
          <w:tcPr>
            <w:tcW w:w="1276" w:type="dxa"/>
            <w:vAlign w:val="center"/>
          </w:tcPr>
          <w:p>
            <w:pPr>
              <w:autoSpaceDE w:val="0"/>
              <w:autoSpaceDN w:val="0"/>
              <w:spacing w:before="32"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J12</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117°58′45.4″</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36°23′5.79″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6" w:hRule="atLeast"/>
          <w:jc w:val="center"/>
        </w:trPr>
        <w:tc>
          <w:tcPr>
            <w:tcW w:w="1599" w:type="dxa"/>
            <w:vMerge w:val="continue"/>
            <w:vAlign w:val="center"/>
          </w:tcPr>
          <w:p>
            <w:pPr>
              <w:autoSpaceDE w:val="0"/>
              <w:autoSpaceDN w:val="0"/>
              <w:spacing w:line="240" w:lineRule="auto"/>
              <w:ind w:firstLine="0" w:firstLineChars="0"/>
              <w:jc w:val="center"/>
              <w:rPr>
                <w:rFonts w:ascii="宋体" w:hAnsi="宋体" w:eastAsia="宋体" w:cs="宋体"/>
                <w:kern w:val="0"/>
                <w:sz w:val="22"/>
                <w:lang w:eastAsia="en-US"/>
              </w:rPr>
            </w:pPr>
          </w:p>
        </w:tc>
        <w:tc>
          <w:tcPr>
            <w:tcW w:w="1276" w:type="dxa"/>
            <w:vAlign w:val="center"/>
          </w:tcPr>
          <w:p>
            <w:pPr>
              <w:autoSpaceDE w:val="0"/>
              <w:autoSpaceDN w:val="0"/>
              <w:spacing w:before="31"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J13</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117°58′23.5″</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36°22′59.97″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6" w:hRule="atLeast"/>
          <w:jc w:val="center"/>
        </w:trPr>
        <w:tc>
          <w:tcPr>
            <w:tcW w:w="1599" w:type="dxa"/>
            <w:vMerge w:val="continue"/>
            <w:vAlign w:val="center"/>
          </w:tcPr>
          <w:p>
            <w:pPr>
              <w:autoSpaceDE w:val="0"/>
              <w:autoSpaceDN w:val="0"/>
              <w:spacing w:line="240" w:lineRule="auto"/>
              <w:ind w:firstLine="0" w:firstLineChars="0"/>
              <w:jc w:val="center"/>
              <w:rPr>
                <w:rFonts w:ascii="宋体" w:hAnsi="宋体" w:eastAsia="宋体" w:cs="宋体"/>
                <w:kern w:val="0"/>
                <w:sz w:val="22"/>
                <w:lang w:eastAsia="en-US"/>
              </w:rPr>
            </w:pPr>
          </w:p>
        </w:tc>
        <w:tc>
          <w:tcPr>
            <w:tcW w:w="1276" w:type="dxa"/>
            <w:vAlign w:val="center"/>
          </w:tcPr>
          <w:p>
            <w:pPr>
              <w:autoSpaceDE w:val="0"/>
              <w:autoSpaceDN w:val="0"/>
              <w:spacing w:before="32"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J14</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117°58′21.61″</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36°22′52.63″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6" w:hRule="atLeast"/>
          <w:jc w:val="center"/>
        </w:trPr>
        <w:tc>
          <w:tcPr>
            <w:tcW w:w="1599" w:type="dxa"/>
            <w:vMerge w:val="continue"/>
            <w:vAlign w:val="center"/>
          </w:tcPr>
          <w:p>
            <w:pPr>
              <w:autoSpaceDE w:val="0"/>
              <w:autoSpaceDN w:val="0"/>
              <w:spacing w:line="240" w:lineRule="auto"/>
              <w:ind w:firstLine="0" w:firstLineChars="0"/>
              <w:jc w:val="center"/>
              <w:rPr>
                <w:rFonts w:ascii="宋体" w:hAnsi="宋体" w:eastAsia="宋体" w:cs="宋体"/>
                <w:kern w:val="0"/>
                <w:sz w:val="22"/>
                <w:lang w:eastAsia="en-US"/>
              </w:rPr>
            </w:pPr>
          </w:p>
        </w:tc>
        <w:tc>
          <w:tcPr>
            <w:tcW w:w="1276" w:type="dxa"/>
            <w:vAlign w:val="center"/>
          </w:tcPr>
          <w:p>
            <w:pPr>
              <w:autoSpaceDE w:val="0"/>
              <w:autoSpaceDN w:val="0"/>
              <w:spacing w:before="31"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J15</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117°58′17.88″</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36°22′52.2″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6" w:hRule="atLeast"/>
          <w:jc w:val="center"/>
        </w:trPr>
        <w:tc>
          <w:tcPr>
            <w:tcW w:w="1599" w:type="dxa"/>
            <w:vMerge w:val="continue"/>
            <w:vAlign w:val="center"/>
          </w:tcPr>
          <w:p>
            <w:pPr>
              <w:autoSpaceDE w:val="0"/>
              <w:autoSpaceDN w:val="0"/>
              <w:spacing w:line="240" w:lineRule="auto"/>
              <w:ind w:firstLine="0" w:firstLineChars="0"/>
              <w:jc w:val="center"/>
              <w:rPr>
                <w:rFonts w:ascii="宋体" w:hAnsi="宋体" w:eastAsia="宋体" w:cs="宋体"/>
                <w:kern w:val="0"/>
                <w:sz w:val="22"/>
                <w:lang w:eastAsia="en-US"/>
              </w:rPr>
            </w:pPr>
          </w:p>
        </w:tc>
        <w:tc>
          <w:tcPr>
            <w:tcW w:w="1276" w:type="dxa"/>
            <w:vAlign w:val="center"/>
          </w:tcPr>
          <w:p>
            <w:pPr>
              <w:autoSpaceDE w:val="0"/>
              <w:autoSpaceDN w:val="0"/>
              <w:spacing w:before="32"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J16</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117°58′18.75″</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36°23′0.12″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6" w:hRule="atLeast"/>
          <w:jc w:val="center"/>
        </w:trPr>
        <w:tc>
          <w:tcPr>
            <w:tcW w:w="1599" w:type="dxa"/>
            <w:vMerge w:val="continue"/>
            <w:vAlign w:val="center"/>
          </w:tcPr>
          <w:p>
            <w:pPr>
              <w:autoSpaceDE w:val="0"/>
              <w:autoSpaceDN w:val="0"/>
              <w:spacing w:line="240" w:lineRule="auto"/>
              <w:ind w:firstLine="0" w:firstLineChars="0"/>
              <w:jc w:val="center"/>
              <w:rPr>
                <w:rFonts w:ascii="宋体" w:hAnsi="宋体" w:eastAsia="宋体" w:cs="宋体"/>
                <w:kern w:val="0"/>
                <w:sz w:val="22"/>
                <w:lang w:eastAsia="en-US"/>
              </w:rPr>
            </w:pPr>
          </w:p>
        </w:tc>
        <w:tc>
          <w:tcPr>
            <w:tcW w:w="1276" w:type="dxa"/>
            <w:vAlign w:val="center"/>
          </w:tcPr>
          <w:p>
            <w:pPr>
              <w:autoSpaceDE w:val="0"/>
              <w:autoSpaceDN w:val="0"/>
              <w:spacing w:before="31"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J17</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117°58′16.26″</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36°22′55.09″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6" w:hRule="atLeast"/>
          <w:jc w:val="center"/>
        </w:trPr>
        <w:tc>
          <w:tcPr>
            <w:tcW w:w="1599" w:type="dxa"/>
            <w:vMerge w:val="continue"/>
            <w:vAlign w:val="center"/>
          </w:tcPr>
          <w:p>
            <w:pPr>
              <w:autoSpaceDE w:val="0"/>
              <w:autoSpaceDN w:val="0"/>
              <w:spacing w:line="240" w:lineRule="auto"/>
              <w:ind w:firstLine="0" w:firstLineChars="0"/>
              <w:jc w:val="center"/>
              <w:rPr>
                <w:rFonts w:ascii="宋体" w:hAnsi="宋体" w:eastAsia="宋体" w:cs="宋体"/>
                <w:kern w:val="0"/>
                <w:sz w:val="22"/>
                <w:lang w:eastAsia="en-US"/>
              </w:rPr>
            </w:pPr>
          </w:p>
        </w:tc>
        <w:tc>
          <w:tcPr>
            <w:tcW w:w="1276" w:type="dxa"/>
            <w:vAlign w:val="center"/>
          </w:tcPr>
          <w:p>
            <w:pPr>
              <w:autoSpaceDE w:val="0"/>
              <w:autoSpaceDN w:val="0"/>
              <w:spacing w:before="31"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J18</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117°57′48.69″</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36°22′41.91″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6" w:hRule="atLeast"/>
          <w:jc w:val="center"/>
        </w:trPr>
        <w:tc>
          <w:tcPr>
            <w:tcW w:w="1599" w:type="dxa"/>
            <w:vMerge w:val="restart"/>
            <w:vAlign w:val="center"/>
          </w:tcPr>
          <w:p>
            <w:pPr>
              <w:autoSpaceDE w:val="0"/>
              <w:autoSpaceDN w:val="0"/>
              <w:spacing w:line="240" w:lineRule="auto"/>
              <w:ind w:firstLine="0" w:firstLineChars="0"/>
              <w:jc w:val="center"/>
              <w:rPr>
                <w:rFonts w:ascii="宋体" w:hAnsi="Times New Roman" w:eastAsia="宋体"/>
                <w:kern w:val="0"/>
                <w:sz w:val="22"/>
                <w:lang w:eastAsia="en-US"/>
              </w:rPr>
            </w:pPr>
            <w:r>
              <w:rPr>
                <w:rFonts w:hint="eastAsia" w:ascii="宋体" w:hAnsi="Times New Roman" w:eastAsia="宋体"/>
                <w:kern w:val="0"/>
                <w:sz w:val="22"/>
                <w:lang w:eastAsia="zh-CN"/>
              </w:rPr>
              <w:t>准</w:t>
            </w:r>
            <w:r>
              <w:rPr>
                <w:rFonts w:hint="eastAsia" w:ascii="宋体" w:hAnsi="Times New Roman" w:eastAsia="宋体"/>
                <w:kern w:val="0"/>
                <w:sz w:val="22"/>
                <w:lang w:eastAsia="en-US"/>
              </w:rPr>
              <w:t>保护区</w:t>
            </w:r>
          </w:p>
        </w:tc>
        <w:tc>
          <w:tcPr>
            <w:tcW w:w="1276" w:type="dxa"/>
            <w:vAlign w:val="center"/>
          </w:tcPr>
          <w:p>
            <w:pPr>
              <w:autoSpaceDE w:val="0"/>
              <w:autoSpaceDN w:val="0"/>
              <w:spacing w:before="32"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JZ1</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117°58′54.01″</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36°23′8.04″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6" w:hRule="atLeast"/>
          <w:jc w:val="center"/>
        </w:trPr>
        <w:tc>
          <w:tcPr>
            <w:tcW w:w="1599" w:type="dxa"/>
            <w:vMerge w:val="continue"/>
          </w:tcPr>
          <w:p>
            <w:pPr>
              <w:autoSpaceDE w:val="0"/>
              <w:autoSpaceDN w:val="0"/>
              <w:spacing w:line="240" w:lineRule="auto"/>
              <w:ind w:firstLine="0" w:firstLineChars="0"/>
              <w:jc w:val="left"/>
              <w:rPr>
                <w:rFonts w:ascii="宋体" w:hAnsi="宋体" w:eastAsia="宋体" w:cs="宋体"/>
                <w:kern w:val="0"/>
                <w:sz w:val="22"/>
                <w:lang w:eastAsia="en-US"/>
              </w:rPr>
            </w:pPr>
          </w:p>
        </w:tc>
        <w:tc>
          <w:tcPr>
            <w:tcW w:w="1276" w:type="dxa"/>
            <w:vAlign w:val="center"/>
          </w:tcPr>
          <w:p>
            <w:pPr>
              <w:autoSpaceDE w:val="0"/>
              <w:autoSpaceDN w:val="0"/>
              <w:spacing w:before="31"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JZ2</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117°58′49.23″</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36°22′7.23″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6" w:hRule="atLeast"/>
          <w:jc w:val="center"/>
        </w:trPr>
        <w:tc>
          <w:tcPr>
            <w:tcW w:w="1599" w:type="dxa"/>
            <w:vMerge w:val="continue"/>
          </w:tcPr>
          <w:p>
            <w:pPr>
              <w:autoSpaceDE w:val="0"/>
              <w:autoSpaceDN w:val="0"/>
              <w:spacing w:line="240" w:lineRule="auto"/>
              <w:ind w:firstLine="0" w:firstLineChars="0"/>
              <w:jc w:val="left"/>
              <w:rPr>
                <w:rFonts w:ascii="宋体" w:hAnsi="宋体" w:eastAsia="宋体" w:cs="宋体"/>
                <w:kern w:val="0"/>
                <w:sz w:val="22"/>
                <w:lang w:eastAsia="en-US"/>
              </w:rPr>
            </w:pPr>
          </w:p>
        </w:tc>
        <w:tc>
          <w:tcPr>
            <w:tcW w:w="1276" w:type="dxa"/>
            <w:vAlign w:val="center"/>
          </w:tcPr>
          <w:p>
            <w:pPr>
              <w:autoSpaceDE w:val="0"/>
              <w:autoSpaceDN w:val="0"/>
              <w:spacing w:before="32"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JZ3</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117°58′3.04″</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36°21′51.42″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6" w:hRule="atLeast"/>
          <w:jc w:val="center"/>
        </w:trPr>
        <w:tc>
          <w:tcPr>
            <w:tcW w:w="1599" w:type="dxa"/>
            <w:vMerge w:val="continue"/>
          </w:tcPr>
          <w:p>
            <w:pPr>
              <w:autoSpaceDE w:val="0"/>
              <w:autoSpaceDN w:val="0"/>
              <w:spacing w:line="240" w:lineRule="auto"/>
              <w:ind w:firstLine="0" w:firstLineChars="0"/>
              <w:jc w:val="left"/>
              <w:rPr>
                <w:rFonts w:ascii="宋体" w:hAnsi="宋体" w:eastAsia="宋体" w:cs="宋体"/>
                <w:kern w:val="0"/>
                <w:sz w:val="22"/>
                <w:lang w:eastAsia="en-US"/>
              </w:rPr>
            </w:pPr>
          </w:p>
        </w:tc>
        <w:tc>
          <w:tcPr>
            <w:tcW w:w="1276" w:type="dxa"/>
            <w:vAlign w:val="center"/>
          </w:tcPr>
          <w:p>
            <w:pPr>
              <w:autoSpaceDE w:val="0"/>
              <w:autoSpaceDN w:val="0"/>
              <w:spacing w:before="31"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JZ4</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117°57′44.09″</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36°22′15.75″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6" w:hRule="atLeast"/>
          <w:jc w:val="center"/>
        </w:trPr>
        <w:tc>
          <w:tcPr>
            <w:tcW w:w="1599" w:type="dxa"/>
            <w:vMerge w:val="continue"/>
          </w:tcPr>
          <w:p>
            <w:pPr>
              <w:autoSpaceDE w:val="0"/>
              <w:autoSpaceDN w:val="0"/>
              <w:spacing w:line="240" w:lineRule="auto"/>
              <w:ind w:firstLine="0" w:firstLineChars="0"/>
              <w:jc w:val="left"/>
              <w:rPr>
                <w:rFonts w:ascii="宋体" w:hAnsi="宋体" w:eastAsia="宋体" w:cs="宋体"/>
                <w:kern w:val="0"/>
                <w:sz w:val="22"/>
                <w:lang w:eastAsia="en-US"/>
              </w:rPr>
            </w:pPr>
          </w:p>
        </w:tc>
        <w:tc>
          <w:tcPr>
            <w:tcW w:w="1276" w:type="dxa"/>
            <w:vAlign w:val="center"/>
          </w:tcPr>
          <w:p>
            <w:pPr>
              <w:autoSpaceDE w:val="0"/>
              <w:autoSpaceDN w:val="0"/>
              <w:spacing w:before="32"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JZ5</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117°57′8.48″</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36°22′0.88″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6" w:hRule="atLeast"/>
          <w:jc w:val="center"/>
        </w:trPr>
        <w:tc>
          <w:tcPr>
            <w:tcW w:w="1599" w:type="dxa"/>
            <w:vMerge w:val="continue"/>
          </w:tcPr>
          <w:p>
            <w:pPr>
              <w:autoSpaceDE w:val="0"/>
              <w:autoSpaceDN w:val="0"/>
              <w:spacing w:line="240" w:lineRule="auto"/>
              <w:ind w:firstLine="0" w:firstLineChars="0"/>
              <w:jc w:val="left"/>
              <w:rPr>
                <w:rFonts w:ascii="宋体" w:hAnsi="宋体" w:eastAsia="宋体" w:cs="宋体"/>
                <w:kern w:val="0"/>
                <w:sz w:val="22"/>
                <w:lang w:eastAsia="en-US"/>
              </w:rPr>
            </w:pPr>
          </w:p>
        </w:tc>
        <w:tc>
          <w:tcPr>
            <w:tcW w:w="1276" w:type="dxa"/>
            <w:vAlign w:val="center"/>
          </w:tcPr>
          <w:p>
            <w:pPr>
              <w:autoSpaceDE w:val="0"/>
              <w:autoSpaceDN w:val="0"/>
              <w:spacing w:before="31"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JZ6</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117°55′7.2″</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36°21′59.37″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6" w:hRule="atLeast"/>
          <w:jc w:val="center"/>
        </w:trPr>
        <w:tc>
          <w:tcPr>
            <w:tcW w:w="1599" w:type="dxa"/>
            <w:vMerge w:val="continue"/>
          </w:tcPr>
          <w:p>
            <w:pPr>
              <w:autoSpaceDE w:val="0"/>
              <w:autoSpaceDN w:val="0"/>
              <w:spacing w:line="240" w:lineRule="auto"/>
              <w:ind w:firstLine="0" w:firstLineChars="0"/>
              <w:jc w:val="left"/>
              <w:rPr>
                <w:rFonts w:ascii="宋体" w:hAnsi="宋体" w:eastAsia="宋体" w:cs="宋体"/>
                <w:kern w:val="0"/>
                <w:sz w:val="22"/>
                <w:lang w:eastAsia="en-US"/>
              </w:rPr>
            </w:pPr>
          </w:p>
        </w:tc>
        <w:tc>
          <w:tcPr>
            <w:tcW w:w="1276" w:type="dxa"/>
            <w:vAlign w:val="center"/>
          </w:tcPr>
          <w:p>
            <w:pPr>
              <w:autoSpaceDE w:val="0"/>
              <w:autoSpaceDN w:val="0"/>
              <w:spacing w:before="32"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JZ7</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117°54′40.71″</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36°22′20.89″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6" w:hRule="atLeast"/>
          <w:jc w:val="center"/>
        </w:trPr>
        <w:tc>
          <w:tcPr>
            <w:tcW w:w="1599" w:type="dxa"/>
            <w:vMerge w:val="continue"/>
          </w:tcPr>
          <w:p>
            <w:pPr>
              <w:autoSpaceDE w:val="0"/>
              <w:autoSpaceDN w:val="0"/>
              <w:spacing w:line="240" w:lineRule="auto"/>
              <w:ind w:firstLine="0" w:firstLineChars="0"/>
              <w:jc w:val="left"/>
              <w:rPr>
                <w:rFonts w:ascii="宋体" w:hAnsi="宋体" w:eastAsia="宋体" w:cs="宋体"/>
                <w:kern w:val="0"/>
                <w:sz w:val="22"/>
                <w:lang w:eastAsia="en-US"/>
              </w:rPr>
            </w:pPr>
          </w:p>
        </w:tc>
        <w:tc>
          <w:tcPr>
            <w:tcW w:w="1276" w:type="dxa"/>
            <w:vAlign w:val="center"/>
          </w:tcPr>
          <w:p>
            <w:pPr>
              <w:autoSpaceDE w:val="0"/>
              <w:autoSpaceDN w:val="0"/>
              <w:spacing w:before="31"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JZ8</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117°55′40.94″</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36°22′50.49″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6" w:hRule="atLeast"/>
          <w:jc w:val="center"/>
        </w:trPr>
        <w:tc>
          <w:tcPr>
            <w:tcW w:w="1599" w:type="dxa"/>
            <w:vMerge w:val="continue"/>
          </w:tcPr>
          <w:p>
            <w:pPr>
              <w:autoSpaceDE w:val="0"/>
              <w:autoSpaceDN w:val="0"/>
              <w:spacing w:line="240" w:lineRule="auto"/>
              <w:ind w:firstLine="0" w:firstLineChars="0"/>
              <w:jc w:val="left"/>
              <w:rPr>
                <w:rFonts w:ascii="宋体" w:hAnsi="宋体" w:eastAsia="宋体" w:cs="宋体"/>
                <w:kern w:val="0"/>
                <w:sz w:val="22"/>
                <w:lang w:eastAsia="en-US"/>
              </w:rPr>
            </w:pPr>
          </w:p>
        </w:tc>
        <w:tc>
          <w:tcPr>
            <w:tcW w:w="1276" w:type="dxa"/>
            <w:vAlign w:val="center"/>
          </w:tcPr>
          <w:p>
            <w:pPr>
              <w:autoSpaceDE w:val="0"/>
              <w:autoSpaceDN w:val="0"/>
              <w:spacing w:before="32"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JZ9</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117°56′8.16″</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36°23′26.17″</w:t>
            </w:r>
          </w:p>
        </w:tc>
      </w:tr>
    </w:tbl>
    <w:p>
      <w:pPr>
        <w:adjustRightInd w:val="0"/>
        <w:ind w:left="-1417" w:leftChars="-506" w:firstLine="0" w:firstLineChars="0"/>
        <w:rPr>
          <w:rFonts w:ascii="Times New Roman" w:hAnsi="Times New Roman"/>
        </w:rPr>
      </w:pPr>
      <w:r>
        <w:rPr>
          <w:rFonts w:ascii="Times New Roman" w:hAnsi="Times New Roman"/>
        </w:rPr>
        <w:drawing>
          <wp:inline distT="0" distB="0" distL="0" distR="0">
            <wp:extent cx="7226300" cy="511365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240734" cy="5124131"/>
                    </a:xfrm>
                    <a:prstGeom prst="rect">
                      <a:avLst/>
                    </a:prstGeom>
                  </pic:spPr>
                </pic:pic>
              </a:graphicData>
            </a:graphic>
          </wp:inline>
        </w:drawing>
      </w:r>
    </w:p>
    <w:p>
      <w:pPr>
        <w:adjustRightInd w:val="0"/>
        <w:ind w:firstLine="0" w:firstLineChars="0"/>
        <w:jc w:val="center"/>
        <w:rPr>
          <w:rFonts w:ascii="Times New Roman" w:hAnsi="Times New Roman"/>
        </w:rPr>
      </w:pPr>
      <w:r>
        <w:rPr>
          <w:rFonts w:hint="eastAsia" w:ascii="Times New Roman" w:hAnsi="Times New Roman"/>
        </w:rPr>
        <w:t>图</w:t>
      </w:r>
      <w:r>
        <w:rPr>
          <w:rFonts w:ascii="Times New Roman" w:hAnsi="Times New Roman"/>
        </w:rPr>
        <w:t xml:space="preserve">3-5 </w:t>
      </w:r>
      <w:r>
        <w:rPr>
          <w:rFonts w:hint="eastAsia" w:ascii="Times New Roman" w:hAnsi="Times New Roman"/>
        </w:rPr>
        <w:t>谢家店饮用水水源保护区界标设置图</w:t>
      </w:r>
    </w:p>
    <w:p>
      <w:pPr>
        <w:pStyle w:val="25"/>
      </w:pPr>
      <w:bookmarkStart w:id="63" w:name="_Toc35526476"/>
      <w:r>
        <w:t>饮用水水源保护区交通警示牌</w:t>
      </w:r>
      <w:bookmarkEnd w:id="63"/>
    </w:p>
    <w:p>
      <w:pPr>
        <w:ind w:firstLine="560"/>
        <w:rPr>
          <w:rFonts w:ascii="Times New Roman" w:hAnsi="Times New Roman"/>
        </w:rPr>
      </w:pPr>
      <w:r>
        <w:rPr>
          <w:rFonts w:ascii="Times New Roman" w:hAnsi="Times New Roman"/>
        </w:rPr>
        <w:t>饮用水水源保护区交通警示牌是警示车辆、船舶或行人进入饮用水水源保护区道路或航道，需谨慎驾驶或谨慎行为的标志。饮用水水源保护区交通警示牌又分为：饮用水水源保护区道路警示牌和饮用水水源保护区航道警示牌。</w:t>
      </w:r>
      <w:r>
        <w:rPr>
          <w:rFonts w:hint="eastAsia" w:ascii="Times New Roman" w:hAnsi="Times New Roman"/>
        </w:rPr>
        <w:t>谢家店水源地保护区</w:t>
      </w:r>
      <w:r>
        <w:rPr>
          <w:rFonts w:ascii="Times New Roman" w:hAnsi="Times New Roman"/>
        </w:rPr>
        <w:t>内不涉及航道，因此，仅需设置饮用水水源保护区道路警示牌。</w:t>
      </w:r>
    </w:p>
    <w:p>
      <w:pPr>
        <w:ind w:firstLine="560"/>
        <w:rPr>
          <w:rFonts w:ascii="Times New Roman" w:hAnsi="Times New Roman"/>
        </w:rPr>
      </w:pPr>
      <w:r>
        <w:rPr>
          <w:rFonts w:ascii="Times New Roman" w:hAnsi="Times New Roman"/>
        </w:rPr>
        <w:t>（1）警示牌内容</w:t>
      </w:r>
    </w:p>
    <w:p>
      <w:pPr>
        <w:ind w:firstLine="560"/>
        <w:rPr>
          <w:rFonts w:ascii="Times New Roman" w:hAnsi="Times New Roman"/>
        </w:rPr>
      </w:pPr>
      <w:r>
        <w:rPr>
          <w:rFonts w:ascii="Times New Roman" w:hAnsi="Times New Roman"/>
        </w:rPr>
        <w:t>道路警示牌采用《道路交通标志和标线》（GB5768)中告示牌的形式。左边为饮用水水源保护区图形标，右边书写“您己进入 XX 饮用水水源X 级保护区全长 XX 公里”或“您已进入 XX 饮用水水源 X 级保护区从 XX 至 XX”，提示过往车辆及行人谨慎驾驶或行为。在一般道路采用蓝色底色，在高速公路采用绿色底色。在道路警示牌的下方可配合使用道路交通标志中的禁令标志或其他安全标志。</w:t>
      </w:r>
    </w:p>
    <w:p>
      <w:pPr>
        <w:ind w:firstLine="560"/>
        <w:rPr>
          <w:rFonts w:ascii="Times New Roman" w:hAnsi="Times New Roman"/>
        </w:rPr>
      </w:pPr>
      <w:r>
        <w:rPr>
          <w:rFonts w:ascii="Times New Roman" w:hAnsi="Times New Roman"/>
        </w:rPr>
        <w:t xml:space="preserve">饮用水水源保护区道路警示牌示意图如图 </w:t>
      </w:r>
      <w:r>
        <w:rPr>
          <w:rFonts w:hint="eastAsia" w:ascii="Times New Roman" w:hAnsi="Times New Roman"/>
        </w:rPr>
        <w:t>3-6</w:t>
      </w:r>
      <w:r>
        <w:rPr>
          <w:rFonts w:ascii="Times New Roman" w:hAnsi="Times New Roman"/>
        </w:rPr>
        <w:t xml:space="preserve">、图 </w:t>
      </w:r>
      <w:r>
        <w:rPr>
          <w:rFonts w:hint="eastAsia" w:ascii="Times New Roman" w:hAnsi="Times New Roman"/>
        </w:rPr>
        <w:t>3-7</w:t>
      </w:r>
      <w:r>
        <w:rPr>
          <w:rFonts w:ascii="Times New Roman" w:hAnsi="Times New Roman"/>
        </w:rPr>
        <w:t xml:space="preserve"> 所示。</w:t>
      </w:r>
    </w:p>
    <w:p>
      <w:pPr>
        <w:ind w:firstLine="560"/>
        <w:jc w:val="center"/>
        <w:rPr>
          <w:rFonts w:ascii="Times New Roman" w:hAnsi="Times New Roman"/>
        </w:rPr>
      </w:pPr>
      <w:r>
        <w:rPr>
          <w:rFonts w:ascii="Times New Roman" w:hAnsi="Times New Roman"/>
        </w:rPr>
        <w:drawing>
          <wp:anchor distT="0" distB="0" distL="0" distR="0" simplePos="0" relativeHeight="251656192" behindDoc="0" locked="0" layoutInCell="1" allowOverlap="1">
            <wp:simplePos x="0" y="0"/>
            <wp:positionH relativeFrom="page">
              <wp:posOffset>756920</wp:posOffset>
            </wp:positionH>
            <wp:positionV relativeFrom="paragraph">
              <wp:posOffset>128270</wp:posOffset>
            </wp:positionV>
            <wp:extent cx="6024880" cy="1345565"/>
            <wp:effectExtent l="0" t="0" r="0" b="0"/>
            <wp:wrapTopAndBottom/>
            <wp:docPr id="29"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72.png"/>
                    <pic:cNvPicPr>
                      <a:picLocks noChangeAspect="1"/>
                    </pic:cNvPicPr>
                  </pic:nvPicPr>
                  <pic:blipFill>
                    <a:blip r:embed="rId29" cstate="print"/>
                    <a:stretch>
                      <a:fillRect/>
                    </a:stretch>
                  </pic:blipFill>
                  <pic:spPr>
                    <a:xfrm>
                      <a:off x="0" y="0"/>
                      <a:ext cx="6024571" cy="1345882"/>
                    </a:xfrm>
                    <a:prstGeom prst="rect">
                      <a:avLst/>
                    </a:prstGeom>
                  </pic:spPr>
                </pic:pic>
              </a:graphicData>
            </a:graphic>
          </wp:anchor>
        </w:drawing>
      </w:r>
      <w:r>
        <w:rPr>
          <w:rFonts w:ascii="Times New Roman" w:hAnsi="Times New Roman"/>
        </w:rPr>
        <w:t>图3-</w:t>
      </w:r>
      <w:r>
        <w:rPr>
          <w:rFonts w:hint="eastAsia" w:ascii="Times New Roman" w:hAnsi="Times New Roman"/>
        </w:rPr>
        <w:t>6</w:t>
      </w:r>
      <w:r>
        <w:rPr>
          <w:rFonts w:ascii="Times New Roman" w:hAnsi="Times New Roman"/>
        </w:rPr>
        <w:t xml:space="preserve"> 饮用水水源保护区道路警示牌示意图（一般道路）</w:t>
      </w:r>
    </w:p>
    <w:p>
      <w:pPr>
        <w:ind w:firstLine="560"/>
        <w:rPr>
          <w:rFonts w:ascii="Times New Roman" w:hAnsi="Times New Roman"/>
        </w:rPr>
      </w:pPr>
      <w:r>
        <w:rPr>
          <w:rFonts w:ascii="Times New Roman" w:hAnsi="Times New Roman"/>
        </w:rPr>
        <w:drawing>
          <wp:anchor distT="0" distB="0" distL="0" distR="0" simplePos="0" relativeHeight="251658240" behindDoc="0" locked="0" layoutInCell="1" allowOverlap="1">
            <wp:simplePos x="0" y="0"/>
            <wp:positionH relativeFrom="page">
              <wp:posOffset>866775</wp:posOffset>
            </wp:positionH>
            <wp:positionV relativeFrom="paragraph">
              <wp:posOffset>189865</wp:posOffset>
            </wp:positionV>
            <wp:extent cx="5976620" cy="1233170"/>
            <wp:effectExtent l="0" t="0" r="0" b="0"/>
            <wp:wrapTopAndBottom/>
            <wp:docPr id="31"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73.png"/>
                    <pic:cNvPicPr>
                      <a:picLocks noChangeAspect="1"/>
                    </pic:cNvPicPr>
                  </pic:nvPicPr>
                  <pic:blipFill>
                    <a:blip r:embed="rId30" cstate="print"/>
                    <a:stretch>
                      <a:fillRect/>
                    </a:stretch>
                  </pic:blipFill>
                  <pic:spPr>
                    <a:xfrm>
                      <a:off x="0" y="0"/>
                      <a:ext cx="5976747" cy="1233297"/>
                    </a:xfrm>
                    <a:prstGeom prst="rect">
                      <a:avLst/>
                    </a:prstGeom>
                  </pic:spPr>
                </pic:pic>
              </a:graphicData>
            </a:graphic>
          </wp:anchor>
        </w:drawing>
      </w:r>
    </w:p>
    <w:p>
      <w:pPr>
        <w:ind w:firstLine="560"/>
        <w:jc w:val="center"/>
        <w:rPr>
          <w:rFonts w:ascii="Times New Roman" w:hAnsi="Times New Roman"/>
        </w:rPr>
      </w:pPr>
      <w:r>
        <w:rPr>
          <w:rFonts w:ascii="Times New Roman" w:hAnsi="Times New Roman"/>
        </w:rPr>
        <w:t>图3-</w:t>
      </w:r>
      <w:r>
        <w:rPr>
          <w:rFonts w:hint="eastAsia" w:ascii="Times New Roman" w:hAnsi="Times New Roman"/>
        </w:rPr>
        <w:t>7</w:t>
      </w:r>
      <w:r>
        <w:rPr>
          <w:rFonts w:ascii="Times New Roman" w:hAnsi="Times New Roman"/>
        </w:rPr>
        <w:t xml:space="preserve"> 饮用水水源保护区道路警示牌示意图（高速公路）</w:t>
      </w:r>
    </w:p>
    <w:p>
      <w:pPr>
        <w:ind w:firstLine="560"/>
        <w:rPr>
          <w:rFonts w:ascii="Times New Roman" w:hAnsi="Times New Roman"/>
        </w:rPr>
      </w:pPr>
      <w:r>
        <w:rPr>
          <w:rFonts w:ascii="Times New Roman" w:hAnsi="Times New Roman"/>
        </w:rPr>
        <w:t>（2）设置位置与数量</w:t>
      </w:r>
    </w:p>
    <w:p>
      <w:pPr>
        <w:ind w:firstLine="560"/>
        <w:rPr>
          <w:rFonts w:ascii="Times New Roman" w:hAnsi="Times New Roman"/>
        </w:rPr>
      </w:pPr>
      <w:r>
        <w:rPr>
          <w:rFonts w:ascii="Times New Roman" w:hAnsi="Times New Roman"/>
        </w:rPr>
        <w:t>饮用水水源保护区交通警示牌设在保护区的道路的进入点及驶出点。饮用水水源保护区道路警示牌设置于一级保护区范围内的主干道、高速公路等道路旁。道路警示牌的具体设立位置应符合GB5768 的相关要求。</w:t>
      </w:r>
    </w:p>
    <w:p>
      <w:pPr>
        <w:ind w:firstLine="560"/>
        <w:rPr>
          <w:rFonts w:ascii="Times New Roman" w:hAnsi="Times New Roman"/>
        </w:rPr>
      </w:pPr>
      <w:r>
        <w:rPr>
          <w:rFonts w:hint="eastAsia" w:ascii="Times New Roman" w:hAnsi="Times New Roman"/>
        </w:rPr>
        <w:t>谢家店</w:t>
      </w:r>
      <w:r>
        <w:rPr>
          <w:rFonts w:ascii="Times New Roman" w:hAnsi="Times New Roman"/>
        </w:rPr>
        <w:t xml:space="preserve">饮用水水源保护区交通警示牌设置位置和数量分别见表 </w:t>
      </w:r>
      <w:r>
        <w:rPr>
          <w:rFonts w:hint="eastAsia" w:ascii="Times New Roman" w:hAnsi="Times New Roman"/>
        </w:rPr>
        <w:t>3-5</w:t>
      </w:r>
      <w:r>
        <w:rPr>
          <w:rFonts w:ascii="Times New Roman" w:hAnsi="Times New Roman"/>
        </w:rPr>
        <w:t xml:space="preserve"> 和图</w:t>
      </w:r>
      <w:r>
        <w:rPr>
          <w:rFonts w:hint="eastAsia" w:ascii="Times New Roman" w:hAnsi="Times New Roman"/>
        </w:rPr>
        <w:t>3-8</w:t>
      </w:r>
      <w:r>
        <w:rPr>
          <w:rFonts w:ascii="Times New Roman" w:hAnsi="Times New Roman"/>
        </w:rPr>
        <w:t>。</w:t>
      </w:r>
    </w:p>
    <w:p>
      <w:pPr>
        <w:ind w:firstLine="0" w:firstLineChars="0"/>
        <w:jc w:val="center"/>
        <w:rPr>
          <w:rFonts w:ascii="Times New Roman" w:hAnsi="Times New Roman"/>
        </w:rPr>
      </w:pPr>
      <w:r>
        <w:rPr>
          <w:rFonts w:ascii="Times New Roman" w:hAnsi="Times New Roman"/>
        </w:rPr>
        <w:t>表</w:t>
      </w:r>
      <w:r>
        <w:rPr>
          <w:rFonts w:hint="eastAsia" w:ascii="Times New Roman" w:hAnsi="Times New Roman"/>
        </w:rPr>
        <w:t>3-5</w:t>
      </w:r>
      <w:r>
        <w:rPr>
          <w:rFonts w:ascii="Times New Roman" w:hAnsi="Times New Roman"/>
        </w:rPr>
        <w:t xml:space="preserve"> </w:t>
      </w:r>
      <w:r>
        <w:rPr>
          <w:rFonts w:hint="eastAsia" w:ascii="Times New Roman" w:hAnsi="Times New Roman"/>
        </w:rPr>
        <w:t>饮用水水源保护区交通警示牌设置情况表</w:t>
      </w:r>
    </w:p>
    <w:tbl>
      <w:tblPr>
        <w:tblStyle w:val="38"/>
        <w:tblW w:w="812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99"/>
        <w:gridCol w:w="1276"/>
        <w:gridCol w:w="2552"/>
        <w:gridCol w:w="26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tcPr>
          <w:p>
            <w:pPr>
              <w:autoSpaceDE w:val="0"/>
              <w:autoSpaceDN w:val="0"/>
              <w:spacing w:line="270" w:lineRule="exact"/>
              <w:ind w:firstLineChars="0"/>
              <w:jc w:val="left"/>
              <w:rPr>
                <w:rFonts w:ascii="宋体" w:hAnsi="Times New Roman" w:eastAsia="宋体"/>
                <w:b/>
                <w:kern w:val="0"/>
                <w:sz w:val="22"/>
                <w:lang w:eastAsia="en-US"/>
              </w:rPr>
            </w:pPr>
            <w:r>
              <w:rPr>
                <w:rFonts w:hint="eastAsia" w:ascii="宋体" w:hAnsi="Times New Roman" w:eastAsia="宋体"/>
                <w:b/>
                <w:kern w:val="0"/>
                <w:sz w:val="22"/>
                <w:lang w:eastAsia="en-US"/>
              </w:rPr>
              <w:t>保护区级别</w:t>
            </w:r>
          </w:p>
        </w:tc>
        <w:tc>
          <w:tcPr>
            <w:tcW w:w="1276" w:type="dxa"/>
          </w:tcPr>
          <w:p>
            <w:pPr>
              <w:autoSpaceDE w:val="0"/>
              <w:autoSpaceDN w:val="0"/>
              <w:spacing w:line="270" w:lineRule="exact"/>
              <w:ind w:right="301" w:firstLineChars="0"/>
              <w:rPr>
                <w:rFonts w:ascii="宋体" w:hAnsi="Times New Roman" w:eastAsia="宋体"/>
                <w:b/>
                <w:kern w:val="0"/>
                <w:sz w:val="22"/>
                <w:lang w:eastAsia="en-US"/>
              </w:rPr>
            </w:pPr>
            <w:r>
              <w:rPr>
                <w:rFonts w:hint="eastAsia" w:ascii="宋体" w:hAnsi="Times New Roman" w:eastAsia="宋体"/>
                <w:b/>
                <w:kern w:val="0"/>
                <w:sz w:val="22"/>
                <w:lang w:eastAsia="en-US"/>
              </w:rPr>
              <w:t>界标点</w:t>
            </w:r>
          </w:p>
        </w:tc>
        <w:tc>
          <w:tcPr>
            <w:tcW w:w="2552" w:type="dxa"/>
          </w:tcPr>
          <w:p>
            <w:pPr>
              <w:autoSpaceDE w:val="0"/>
              <w:autoSpaceDN w:val="0"/>
              <w:spacing w:line="270" w:lineRule="exact"/>
              <w:ind w:left="619" w:right="620" w:firstLine="0" w:firstLineChars="0"/>
              <w:jc w:val="center"/>
              <w:rPr>
                <w:rFonts w:ascii="宋体" w:hAnsi="Times New Roman" w:eastAsia="宋体"/>
                <w:b/>
                <w:kern w:val="0"/>
                <w:sz w:val="22"/>
                <w:lang w:eastAsia="en-US"/>
              </w:rPr>
            </w:pPr>
            <w:r>
              <w:rPr>
                <w:rFonts w:hint="eastAsia" w:ascii="宋体" w:hAnsi="Times New Roman" w:eastAsia="宋体"/>
                <w:b/>
                <w:kern w:val="0"/>
                <w:sz w:val="22"/>
                <w:lang w:eastAsia="en-US"/>
              </w:rPr>
              <w:t>经度</w:t>
            </w:r>
          </w:p>
        </w:tc>
        <w:tc>
          <w:tcPr>
            <w:tcW w:w="2693" w:type="dxa"/>
          </w:tcPr>
          <w:p>
            <w:pPr>
              <w:autoSpaceDE w:val="0"/>
              <w:autoSpaceDN w:val="0"/>
              <w:spacing w:line="270" w:lineRule="exact"/>
              <w:ind w:left="561" w:right="561" w:firstLine="0" w:firstLineChars="0"/>
              <w:jc w:val="center"/>
              <w:rPr>
                <w:rFonts w:ascii="宋体" w:hAnsi="Times New Roman" w:eastAsia="宋体"/>
                <w:b/>
                <w:kern w:val="0"/>
                <w:sz w:val="22"/>
                <w:lang w:eastAsia="en-US"/>
              </w:rPr>
            </w:pPr>
            <w:r>
              <w:rPr>
                <w:rFonts w:hint="eastAsia" w:ascii="宋体" w:hAnsi="Times New Roman" w:eastAsia="宋体"/>
                <w:b/>
                <w:kern w:val="0"/>
                <w:sz w:val="22"/>
                <w:lang w:eastAsia="en-US"/>
              </w:rPr>
              <w:t>纬度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vMerge w:val="restart"/>
            <w:vAlign w:val="center"/>
          </w:tcPr>
          <w:p>
            <w:pPr>
              <w:autoSpaceDE w:val="0"/>
              <w:autoSpaceDN w:val="0"/>
              <w:spacing w:line="240" w:lineRule="auto"/>
              <w:ind w:firstLine="0" w:firstLineChars="0"/>
              <w:jc w:val="center"/>
              <w:rPr>
                <w:rFonts w:ascii="Times New Roman" w:hAnsi="Times New Roman" w:eastAsia="宋体"/>
                <w:kern w:val="0"/>
                <w:sz w:val="21"/>
                <w:szCs w:val="21"/>
                <w:lang w:eastAsia="en-US"/>
              </w:rPr>
            </w:pPr>
            <w:r>
              <w:rPr>
                <w:rFonts w:ascii="Times New Roman" w:hAnsi="Times New Roman" w:eastAsia="宋体"/>
                <w:kern w:val="0"/>
                <w:sz w:val="21"/>
                <w:szCs w:val="21"/>
                <w:lang w:eastAsia="zh-CN"/>
              </w:rPr>
              <w:t>准</w:t>
            </w:r>
            <w:r>
              <w:rPr>
                <w:rFonts w:ascii="Times New Roman" w:hAnsi="Times New Roman" w:eastAsia="宋体"/>
                <w:kern w:val="0"/>
                <w:sz w:val="21"/>
                <w:szCs w:val="21"/>
                <w:lang w:eastAsia="en-US"/>
              </w:rPr>
              <w:t>保护区</w:t>
            </w:r>
          </w:p>
        </w:tc>
        <w:tc>
          <w:tcPr>
            <w:tcW w:w="1276" w:type="dxa"/>
          </w:tcPr>
          <w:p>
            <w:pPr>
              <w:autoSpaceDE w:val="0"/>
              <w:autoSpaceDN w:val="0"/>
              <w:spacing w:before="32" w:line="240" w:lineRule="auto"/>
              <w:ind w:left="302" w:right="30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JT1</w:t>
            </w:r>
          </w:p>
        </w:tc>
        <w:tc>
          <w:tcPr>
            <w:tcW w:w="2552" w:type="dxa"/>
          </w:tcPr>
          <w:p>
            <w:pPr>
              <w:autoSpaceDE w:val="0"/>
              <w:autoSpaceDN w:val="0"/>
              <w:spacing w:before="32" w:line="240" w:lineRule="auto"/>
              <w:ind w:left="623" w:right="620"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117°58′54.01″</w:t>
            </w:r>
          </w:p>
        </w:tc>
        <w:tc>
          <w:tcPr>
            <w:tcW w:w="2693" w:type="dxa"/>
          </w:tcPr>
          <w:p>
            <w:pPr>
              <w:autoSpaceDE w:val="0"/>
              <w:autoSpaceDN w:val="0"/>
              <w:spacing w:before="32" w:line="240" w:lineRule="auto"/>
              <w:ind w:left="562" w:right="56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36°23′8.04″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1599" w:type="dxa"/>
            <w:vMerge w:val="continue"/>
          </w:tcPr>
          <w:p>
            <w:pPr>
              <w:autoSpaceDE w:val="0"/>
              <w:autoSpaceDN w:val="0"/>
              <w:spacing w:line="240" w:lineRule="auto"/>
              <w:ind w:firstLine="0" w:firstLineChars="0"/>
              <w:jc w:val="left"/>
              <w:rPr>
                <w:rFonts w:ascii="Times New Roman" w:hAnsi="Times New Roman" w:eastAsia="宋体"/>
                <w:kern w:val="0"/>
                <w:sz w:val="21"/>
                <w:szCs w:val="21"/>
                <w:lang w:eastAsia="en-US"/>
              </w:rPr>
            </w:pPr>
          </w:p>
        </w:tc>
        <w:tc>
          <w:tcPr>
            <w:tcW w:w="1276" w:type="dxa"/>
          </w:tcPr>
          <w:p>
            <w:pPr>
              <w:autoSpaceDE w:val="0"/>
              <w:autoSpaceDN w:val="0"/>
              <w:spacing w:before="31" w:line="240" w:lineRule="auto"/>
              <w:ind w:left="302" w:right="30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JT2</w:t>
            </w:r>
          </w:p>
        </w:tc>
        <w:tc>
          <w:tcPr>
            <w:tcW w:w="2552" w:type="dxa"/>
          </w:tcPr>
          <w:p>
            <w:pPr>
              <w:autoSpaceDE w:val="0"/>
              <w:autoSpaceDN w:val="0"/>
              <w:spacing w:before="31" w:line="240" w:lineRule="auto"/>
              <w:ind w:left="623" w:right="620"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117°58′49.23″</w:t>
            </w:r>
          </w:p>
        </w:tc>
        <w:tc>
          <w:tcPr>
            <w:tcW w:w="2693" w:type="dxa"/>
          </w:tcPr>
          <w:p>
            <w:pPr>
              <w:autoSpaceDE w:val="0"/>
              <w:autoSpaceDN w:val="0"/>
              <w:spacing w:before="31" w:line="240" w:lineRule="auto"/>
              <w:ind w:left="562" w:right="56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36°22′7.23″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vMerge w:val="continue"/>
          </w:tcPr>
          <w:p>
            <w:pPr>
              <w:autoSpaceDE w:val="0"/>
              <w:autoSpaceDN w:val="0"/>
              <w:spacing w:line="240" w:lineRule="auto"/>
              <w:ind w:firstLine="0" w:firstLineChars="0"/>
              <w:jc w:val="left"/>
              <w:rPr>
                <w:rFonts w:ascii="Times New Roman" w:hAnsi="Times New Roman" w:eastAsia="宋体"/>
                <w:kern w:val="0"/>
                <w:sz w:val="21"/>
                <w:szCs w:val="21"/>
                <w:lang w:eastAsia="en-US"/>
              </w:rPr>
            </w:pPr>
          </w:p>
        </w:tc>
        <w:tc>
          <w:tcPr>
            <w:tcW w:w="1276" w:type="dxa"/>
          </w:tcPr>
          <w:p>
            <w:pPr>
              <w:autoSpaceDE w:val="0"/>
              <w:autoSpaceDN w:val="0"/>
              <w:spacing w:before="32" w:line="240" w:lineRule="auto"/>
              <w:ind w:left="302" w:right="30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JT3</w:t>
            </w:r>
          </w:p>
        </w:tc>
        <w:tc>
          <w:tcPr>
            <w:tcW w:w="2552" w:type="dxa"/>
          </w:tcPr>
          <w:p>
            <w:pPr>
              <w:autoSpaceDE w:val="0"/>
              <w:autoSpaceDN w:val="0"/>
              <w:spacing w:before="32" w:line="240" w:lineRule="auto"/>
              <w:ind w:left="623" w:right="620"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117°58′3.04″</w:t>
            </w:r>
          </w:p>
        </w:tc>
        <w:tc>
          <w:tcPr>
            <w:tcW w:w="2693" w:type="dxa"/>
          </w:tcPr>
          <w:p>
            <w:pPr>
              <w:autoSpaceDE w:val="0"/>
              <w:autoSpaceDN w:val="0"/>
              <w:spacing w:before="32" w:line="240" w:lineRule="auto"/>
              <w:ind w:left="562" w:right="56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36°21′51.42″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1599" w:type="dxa"/>
            <w:vMerge w:val="continue"/>
          </w:tcPr>
          <w:p>
            <w:pPr>
              <w:autoSpaceDE w:val="0"/>
              <w:autoSpaceDN w:val="0"/>
              <w:spacing w:line="240" w:lineRule="auto"/>
              <w:ind w:firstLine="0" w:firstLineChars="0"/>
              <w:jc w:val="left"/>
              <w:rPr>
                <w:rFonts w:ascii="Times New Roman" w:hAnsi="Times New Roman" w:eastAsia="宋体"/>
                <w:kern w:val="0"/>
                <w:sz w:val="21"/>
                <w:szCs w:val="21"/>
                <w:lang w:eastAsia="en-US"/>
              </w:rPr>
            </w:pPr>
          </w:p>
        </w:tc>
        <w:tc>
          <w:tcPr>
            <w:tcW w:w="1276" w:type="dxa"/>
          </w:tcPr>
          <w:p>
            <w:pPr>
              <w:autoSpaceDE w:val="0"/>
              <w:autoSpaceDN w:val="0"/>
              <w:spacing w:before="31" w:line="240" w:lineRule="auto"/>
              <w:ind w:left="302" w:right="30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JT4</w:t>
            </w:r>
          </w:p>
        </w:tc>
        <w:tc>
          <w:tcPr>
            <w:tcW w:w="2552" w:type="dxa"/>
          </w:tcPr>
          <w:p>
            <w:pPr>
              <w:autoSpaceDE w:val="0"/>
              <w:autoSpaceDN w:val="0"/>
              <w:spacing w:before="31" w:line="240" w:lineRule="auto"/>
              <w:ind w:left="623" w:right="620"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117°54′40.71″</w:t>
            </w:r>
          </w:p>
        </w:tc>
        <w:tc>
          <w:tcPr>
            <w:tcW w:w="2693" w:type="dxa"/>
          </w:tcPr>
          <w:p>
            <w:pPr>
              <w:autoSpaceDE w:val="0"/>
              <w:autoSpaceDN w:val="0"/>
              <w:spacing w:before="31" w:line="240" w:lineRule="auto"/>
              <w:ind w:left="562" w:right="56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36°22′20.89″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vMerge w:val="continue"/>
          </w:tcPr>
          <w:p>
            <w:pPr>
              <w:autoSpaceDE w:val="0"/>
              <w:autoSpaceDN w:val="0"/>
              <w:spacing w:line="240" w:lineRule="auto"/>
              <w:ind w:firstLine="0" w:firstLineChars="0"/>
              <w:jc w:val="left"/>
              <w:rPr>
                <w:rFonts w:ascii="Times New Roman" w:hAnsi="Times New Roman" w:eastAsia="宋体"/>
                <w:kern w:val="0"/>
                <w:sz w:val="21"/>
                <w:szCs w:val="21"/>
                <w:lang w:eastAsia="en-US"/>
              </w:rPr>
            </w:pPr>
          </w:p>
        </w:tc>
        <w:tc>
          <w:tcPr>
            <w:tcW w:w="1276" w:type="dxa"/>
          </w:tcPr>
          <w:p>
            <w:pPr>
              <w:autoSpaceDE w:val="0"/>
              <w:autoSpaceDN w:val="0"/>
              <w:spacing w:before="32" w:line="240" w:lineRule="auto"/>
              <w:ind w:left="302" w:right="30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JT5</w:t>
            </w:r>
          </w:p>
        </w:tc>
        <w:tc>
          <w:tcPr>
            <w:tcW w:w="2552" w:type="dxa"/>
          </w:tcPr>
          <w:p>
            <w:pPr>
              <w:autoSpaceDE w:val="0"/>
              <w:autoSpaceDN w:val="0"/>
              <w:spacing w:before="32" w:line="240" w:lineRule="auto"/>
              <w:ind w:left="623" w:right="620"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117°57′16.38″</w:t>
            </w:r>
          </w:p>
        </w:tc>
        <w:tc>
          <w:tcPr>
            <w:tcW w:w="2693" w:type="dxa"/>
          </w:tcPr>
          <w:p>
            <w:pPr>
              <w:autoSpaceDE w:val="0"/>
              <w:autoSpaceDN w:val="0"/>
              <w:spacing w:before="32" w:line="240" w:lineRule="auto"/>
              <w:ind w:left="562" w:right="56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36°23′26.89″</w:t>
            </w:r>
          </w:p>
        </w:tc>
      </w:tr>
    </w:tbl>
    <w:p>
      <w:pPr>
        <w:ind w:left="-1560" w:leftChars="-557" w:firstLine="0" w:firstLineChars="0"/>
        <w:rPr>
          <w:rFonts w:ascii="Times New Roman" w:hAnsi="Times New Roman"/>
          <w:sz w:val="21"/>
          <w:szCs w:val="21"/>
        </w:rPr>
      </w:pPr>
      <w:r>
        <w:rPr>
          <w:rFonts w:ascii="Times New Roman" w:hAnsi="Times New Roman"/>
          <w:sz w:val="21"/>
          <w:szCs w:val="21"/>
        </w:rPr>
        <w:drawing>
          <wp:inline distT="0" distB="0" distL="0" distR="0">
            <wp:extent cx="7337425" cy="5192395"/>
            <wp:effectExtent l="0" t="0" r="0" b="825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354047" cy="5204320"/>
                    </a:xfrm>
                    <a:prstGeom prst="rect">
                      <a:avLst/>
                    </a:prstGeom>
                  </pic:spPr>
                </pic:pic>
              </a:graphicData>
            </a:graphic>
          </wp:inline>
        </w:drawing>
      </w:r>
    </w:p>
    <w:p>
      <w:pPr>
        <w:ind w:firstLine="560"/>
        <w:jc w:val="center"/>
        <w:rPr>
          <w:rFonts w:ascii="Times New Roman" w:hAnsi="Times New Roman"/>
        </w:rPr>
      </w:pPr>
      <w:r>
        <w:rPr>
          <w:rFonts w:ascii="Times New Roman" w:hAnsi="Times New Roman"/>
        </w:rPr>
        <w:t>图</w:t>
      </w:r>
      <w:r>
        <w:rPr>
          <w:rFonts w:hint="eastAsia" w:ascii="Times New Roman" w:hAnsi="Times New Roman"/>
        </w:rPr>
        <w:t>3-8</w:t>
      </w:r>
      <w:r>
        <w:rPr>
          <w:rFonts w:ascii="Times New Roman" w:hAnsi="Times New Roman"/>
        </w:rPr>
        <w:t xml:space="preserve"> </w:t>
      </w:r>
      <w:r>
        <w:rPr>
          <w:rFonts w:hint="eastAsia" w:ascii="Times New Roman" w:hAnsi="Times New Roman"/>
        </w:rPr>
        <w:t>谢家店饮用水水源保护区交通警示牌设置分布图</w:t>
      </w:r>
    </w:p>
    <w:p>
      <w:pPr>
        <w:pStyle w:val="25"/>
      </w:pPr>
      <w:bookmarkStart w:id="64" w:name="_Toc35526477"/>
      <w:r>
        <w:rPr>
          <w:rFonts w:hint="eastAsia"/>
        </w:rPr>
        <w:t>饮用水水源保护区宣传牌</w:t>
      </w:r>
      <w:bookmarkEnd w:id="64"/>
    </w:p>
    <w:p>
      <w:pPr>
        <w:ind w:firstLine="560"/>
        <w:rPr>
          <w:rFonts w:ascii="Times New Roman" w:hAnsi="Times New Roman"/>
        </w:rPr>
      </w:pPr>
      <w:r>
        <w:rPr>
          <w:rFonts w:hint="eastAsia" w:ascii="Times New Roman" w:hAnsi="Times New Roman"/>
        </w:rPr>
        <w:t>饮用水水源保护区宣传牌是根据实际需要，为保护当地饮用水水源而对过往人群进行宣传教育所设立的标志。</w:t>
      </w:r>
    </w:p>
    <w:p>
      <w:pPr>
        <w:ind w:firstLine="560"/>
        <w:rPr>
          <w:rFonts w:ascii="Times New Roman" w:hAnsi="Times New Roman"/>
        </w:rPr>
      </w:pPr>
      <w:r>
        <w:rPr>
          <w:rFonts w:hint="eastAsia" w:ascii="Times New Roman" w:hAnsi="Times New Roman"/>
        </w:rPr>
        <w:t>（1）宣传牌内容</w:t>
      </w:r>
    </w:p>
    <w:p>
      <w:pPr>
        <w:ind w:firstLine="560"/>
        <w:rPr>
          <w:rFonts w:ascii="Times New Roman" w:hAnsi="Times New Roman"/>
        </w:rPr>
      </w:pPr>
      <w:r>
        <w:rPr>
          <w:rFonts w:hint="eastAsia" w:ascii="Times New Roman" w:hAnsi="Times New Roman"/>
        </w:rPr>
        <w:t>博山区人民政府可根据实际需求设计宣传牌上的图形和文字，如介绍当地饮用水水源保护区的地形地貌、划分情况、保护现状、管理要求等。</w:t>
      </w:r>
    </w:p>
    <w:p>
      <w:pPr>
        <w:ind w:firstLine="560"/>
        <w:rPr>
          <w:rFonts w:ascii="Times New Roman" w:hAnsi="Times New Roman"/>
        </w:rPr>
      </w:pPr>
      <w:r>
        <w:rPr>
          <w:rFonts w:hint="eastAsia" w:ascii="Times New Roman" w:hAnsi="Times New Roman"/>
        </w:rPr>
        <w:t>饮用水水源保护区宣传牌宜在明显位置采用饮用水水源保护区图形标。</w:t>
      </w:r>
    </w:p>
    <w:p>
      <w:pPr>
        <w:ind w:firstLine="560"/>
        <w:rPr>
          <w:rFonts w:ascii="Times New Roman" w:hAnsi="Times New Roman"/>
        </w:rPr>
      </w:pPr>
      <w:r>
        <w:rPr>
          <w:rFonts w:hint="eastAsia" w:ascii="Times New Roman" w:hAnsi="Times New Roman"/>
        </w:rPr>
        <w:t>（2）设置要求</w:t>
      </w:r>
    </w:p>
    <w:p>
      <w:pPr>
        <w:ind w:firstLine="560"/>
        <w:rPr>
          <w:rFonts w:ascii="Times New Roman" w:hAnsi="Times New Roman"/>
        </w:rPr>
      </w:pPr>
      <w:r>
        <w:rPr>
          <w:rFonts w:hint="eastAsia" w:ascii="Times New Roman" w:hAnsi="Times New Roman"/>
        </w:rPr>
        <w:t>饮用水水源保护区宣传牌的设立位置可根据实际需要在适当的位置设立饮用水源保护区宣传牌，但应符合 GB/T15566 和GB5768 的相关要求。</w:t>
      </w:r>
    </w:p>
    <w:p>
      <w:pPr>
        <w:ind w:firstLine="560"/>
        <w:rPr>
          <w:rFonts w:ascii="Times New Roman" w:hAnsi="Times New Roman"/>
        </w:rPr>
      </w:pPr>
      <w:r>
        <w:rPr>
          <w:rFonts w:hint="eastAsia" w:ascii="Times New Roman" w:hAnsi="Times New Roman"/>
        </w:rPr>
        <w:t xml:space="preserve">谢家店饮用水水源保护区宣传牌设置位置和数量分别见表 </w:t>
      </w:r>
      <w:r>
        <w:rPr>
          <w:rFonts w:ascii="Times New Roman" w:hAnsi="Times New Roman"/>
        </w:rPr>
        <w:t>3-6</w:t>
      </w:r>
      <w:r>
        <w:rPr>
          <w:rFonts w:hint="eastAsia" w:ascii="Times New Roman" w:hAnsi="Times New Roman"/>
        </w:rPr>
        <w:t xml:space="preserve">  和图3-9。</w:t>
      </w:r>
    </w:p>
    <w:p>
      <w:pPr>
        <w:ind w:firstLine="0" w:firstLineChars="0"/>
        <w:jc w:val="center"/>
        <w:rPr>
          <w:rFonts w:ascii="Times New Roman" w:hAnsi="Times New Roman"/>
        </w:rPr>
      </w:pPr>
      <w:r>
        <w:rPr>
          <w:rFonts w:ascii="Times New Roman" w:hAnsi="Times New Roman"/>
        </w:rPr>
        <w:t>表</w:t>
      </w:r>
      <w:r>
        <w:rPr>
          <w:rFonts w:hint="eastAsia" w:ascii="Times New Roman" w:hAnsi="Times New Roman"/>
        </w:rPr>
        <w:t>3-</w:t>
      </w:r>
      <w:r>
        <w:rPr>
          <w:rFonts w:ascii="Times New Roman" w:hAnsi="Times New Roman"/>
        </w:rPr>
        <w:t xml:space="preserve">6 </w:t>
      </w:r>
      <w:r>
        <w:rPr>
          <w:rFonts w:hint="eastAsia" w:ascii="Times New Roman" w:hAnsi="Times New Roman"/>
        </w:rPr>
        <w:t>饮用水水源保护区宣传牌设置情况表</w:t>
      </w:r>
    </w:p>
    <w:tbl>
      <w:tblPr>
        <w:tblStyle w:val="38"/>
        <w:tblW w:w="812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99"/>
        <w:gridCol w:w="1276"/>
        <w:gridCol w:w="2552"/>
        <w:gridCol w:w="26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tcPr>
          <w:p>
            <w:pPr>
              <w:autoSpaceDE w:val="0"/>
              <w:autoSpaceDN w:val="0"/>
              <w:spacing w:line="270" w:lineRule="exact"/>
              <w:ind w:firstLineChars="0"/>
              <w:jc w:val="left"/>
              <w:rPr>
                <w:rFonts w:ascii="宋体" w:hAnsi="Times New Roman" w:eastAsia="宋体"/>
                <w:b/>
                <w:kern w:val="0"/>
                <w:sz w:val="22"/>
                <w:lang w:eastAsia="en-US"/>
              </w:rPr>
            </w:pPr>
            <w:r>
              <w:rPr>
                <w:rFonts w:hint="eastAsia" w:ascii="宋体" w:hAnsi="Times New Roman" w:eastAsia="宋体"/>
                <w:b/>
                <w:kern w:val="0"/>
                <w:sz w:val="22"/>
                <w:lang w:eastAsia="en-US"/>
              </w:rPr>
              <w:t>保护区级别</w:t>
            </w:r>
          </w:p>
        </w:tc>
        <w:tc>
          <w:tcPr>
            <w:tcW w:w="1276" w:type="dxa"/>
          </w:tcPr>
          <w:p>
            <w:pPr>
              <w:autoSpaceDE w:val="0"/>
              <w:autoSpaceDN w:val="0"/>
              <w:spacing w:line="270" w:lineRule="exact"/>
              <w:ind w:right="301" w:firstLineChars="0"/>
              <w:rPr>
                <w:rFonts w:ascii="宋体" w:hAnsi="Times New Roman" w:eastAsia="宋体"/>
                <w:b/>
                <w:kern w:val="0"/>
                <w:sz w:val="22"/>
                <w:lang w:eastAsia="en-US"/>
              </w:rPr>
            </w:pPr>
            <w:r>
              <w:rPr>
                <w:rFonts w:hint="eastAsia" w:ascii="宋体" w:hAnsi="Times New Roman" w:eastAsia="宋体"/>
                <w:b/>
                <w:kern w:val="0"/>
                <w:sz w:val="22"/>
                <w:lang w:eastAsia="en-US"/>
              </w:rPr>
              <w:t>界标点</w:t>
            </w:r>
          </w:p>
        </w:tc>
        <w:tc>
          <w:tcPr>
            <w:tcW w:w="2552" w:type="dxa"/>
          </w:tcPr>
          <w:p>
            <w:pPr>
              <w:autoSpaceDE w:val="0"/>
              <w:autoSpaceDN w:val="0"/>
              <w:spacing w:line="270" w:lineRule="exact"/>
              <w:ind w:left="619" w:right="620" w:firstLine="0" w:firstLineChars="0"/>
              <w:jc w:val="center"/>
              <w:rPr>
                <w:rFonts w:ascii="宋体" w:hAnsi="Times New Roman" w:eastAsia="宋体"/>
                <w:b/>
                <w:kern w:val="0"/>
                <w:sz w:val="22"/>
                <w:lang w:eastAsia="en-US"/>
              </w:rPr>
            </w:pPr>
            <w:r>
              <w:rPr>
                <w:rFonts w:hint="eastAsia" w:ascii="宋体" w:hAnsi="Times New Roman" w:eastAsia="宋体"/>
                <w:b/>
                <w:kern w:val="0"/>
                <w:sz w:val="22"/>
                <w:lang w:eastAsia="en-US"/>
              </w:rPr>
              <w:t>经度</w:t>
            </w:r>
          </w:p>
        </w:tc>
        <w:tc>
          <w:tcPr>
            <w:tcW w:w="2693" w:type="dxa"/>
          </w:tcPr>
          <w:p>
            <w:pPr>
              <w:autoSpaceDE w:val="0"/>
              <w:autoSpaceDN w:val="0"/>
              <w:spacing w:line="270" w:lineRule="exact"/>
              <w:ind w:left="561" w:right="561" w:firstLine="0" w:firstLineChars="0"/>
              <w:jc w:val="center"/>
              <w:rPr>
                <w:rFonts w:ascii="宋体" w:hAnsi="Times New Roman" w:eastAsia="宋体"/>
                <w:b/>
                <w:kern w:val="0"/>
                <w:sz w:val="22"/>
                <w:lang w:eastAsia="en-US"/>
              </w:rPr>
            </w:pPr>
            <w:r>
              <w:rPr>
                <w:rFonts w:hint="eastAsia" w:ascii="宋体" w:hAnsi="Times New Roman" w:eastAsia="宋体"/>
                <w:b/>
                <w:kern w:val="0"/>
                <w:sz w:val="22"/>
                <w:lang w:eastAsia="en-US"/>
              </w:rPr>
              <w:t>纬度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tcBorders>
              <w:bottom w:val="single" w:color="auto" w:sz="4" w:space="0"/>
            </w:tcBorders>
            <w:vAlign w:val="center"/>
          </w:tcPr>
          <w:p>
            <w:pPr>
              <w:autoSpaceDE w:val="0"/>
              <w:autoSpaceDN w:val="0"/>
              <w:spacing w:line="240" w:lineRule="auto"/>
              <w:ind w:firstLine="0" w:firstLineChars="0"/>
              <w:jc w:val="center"/>
              <w:rPr>
                <w:rFonts w:ascii="Times New Roman" w:hAnsi="Times New Roman" w:eastAsia="宋体"/>
                <w:kern w:val="0"/>
                <w:sz w:val="21"/>
                <w:szCs w:val="21"/>
                <w:lang w:eastAsia="zh-CN"/>
              </w:rPr>
            </w:pPr>
            <w:r>
              <w:rPr>
                <w:rFonts w:hint="eastAsia" w:ascii="Times New Roman" w:hAnsi="Times New Roman" w:eastAsia="宋体"/>
                <w:kern w:val="0"/>
                <w:sz w:val="21"/>
                <w:szCs w:val="21"/>
                <w:lang w:eastAsia="zh-CN"/>
              </w:rPr>
              <w:t>一级保护区</w:t>
            </w:r>
          </w:p>
        </w:tc>
        <w:tc>
          <w:tcPr>
            <w:tcW w:w="1276" w:type="dxa"/>
          </w:tcPr>
          <w:p>
            <w:pPr>
              <w:autoSpaceDE w:val="0"/>
              <w:autoSpaceDN w:val="0"/>
              <w:spacing w:line="240" w:lineRule="auto"/>
              <w:ind w:firstLine="0" w:firstLineChars="0"/>
              <w:jc w:val="center"/>
              <w:rPr>
                <w:rFonts w:ascii="Times New Roman" w:hAnsi="Times New Roman" w:eastAsia="宋体"/>
                <w:kern w:val="0"/>
                <w:sz w:val="21"/>
                <w:szCs w:val="21"/>
                <w:lang w:eastAsia="en-US"/>
              </w:rPr>
            </w:pPr>
            <w:r>
              <w:rPr>
                <w:rFonts w:ascii="Times New Roman" w:hAnsi="Times New Roman" w:eastAsia="宋体"/>
                <w:kern w:val="0"/>
                <w:sz w:val="21"/>
                <w:szCs w:val="21"/>
                <w:lang w:eastAsia="en-US"/>
              </w:rPr>
              <w:t>X11</w:t>
            </w:r>
          </w:p>
        </w:tc>
        <w:tc>
          <w:tcPr>
            <w:tcW w:w="2552" w:type="dxa"/>
          </w:tcPr>
          <w:p>
            <w:pPr>
              <w:autoSpaceDE w:val="0"/>
              <w:autoSpaceDN w:val="0"/>
              <w:spacing w:before="32" w:line="240" w:lineRule="auto"/>
              <w:ind w:left="623" w:right="620"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117°58′54.01″</w:t>
            </w:r>
          </w:p>
        </w:tc>
        <w:tc>
          <w:tcPr>
            <w:tcW w:w="2693" w:type="dxa"/>
          </w:tcPr>
          <w:p>
            <w:pPr>
              <w:autoSpaceDE w:val="0"/>
              <w:autoSpaceDN w:val="0"/>
              <w:spacing w:before="32" w:line="240" w:lineRule="auto"/>
              <w:ind w:left="562" w:right="56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36°23′8.04″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1599" w:type="dxa"/>
            <w:vMerge w:val="restart"/>
            <w:tcBorders>
              <w:top w:val="single" w:color="auto" w:sz="4" w:space="0"/>
            </w:tcBorders>
            <w:vAlign w:val="center"/>
          </w:tcPr>
          <w:p>
            <w:pPr>
              <w:autoSpaceDE w:val="0"/>
              <w:autoSpaceDN w:val="0"/>
              <w:spacing w:line="240" w:lineRule="auto"/>
              <w:ind w:firstLine="0" w:firstLineChars="0"/>
              <w:jc w:val="center"/>
              <w:rPr>
                <w:rFonts w:ascii="Times New Roman" w:hAnsi="Times New Roman" w:eastAsia="宋体"/>
                <w:kern w:val="0"/>
                <w:sz w:val="21"/>
                <w:szCs w:val="21"/>
                <w:lang w:eastAsia="en-US"/>
              </w:rPr>
            </w:pPr>
            <w:r>
              <w:rPr>
                <w:rFonts w:ascii="Times New Roman" w:hAnsi="Times New Roman" w:eastAsia="宋体"/>
                <w:kern w:val="0"/>
                <w:sz w:val="21"/>
                <w:szCs w:val="21"/>
                <w:lang w:eastAsia="zh-CN"/>
              </w:rPr>
              <w:t>准</w:t>
            </w:r>
            <w:r>
              <w:rPr>
                <w:rFonts w:ascii="Times New Roman" w:hAnsi="Times New Roman" w:eastAsia="宋体"/>
                <w:kern w:val="0"/>
                <w:sz w:val="21"/>
                <w:szCs w:val="21"/>
                <w:lang w:eastAsia="en-US"/>
              </w:rPr>
              <w:t>保护区</w:t>
            </w:r>
          </w:p>
        </w:tc>
        <w:tc>
          <w:tcPr>
            <w:tcW w:w="1276" w:type="dxa"/>
          </w:tcPr>
          <w:p>
            <w:pPr>
              <w:autoSpaceDE w:val="0"/>
              <w:autoSpaceDN w:val="0"/>
              <w:spacing w:line="240" w:lineRule="auto"/>
              <w:ind w:firstLine="0" w:firstLineChars="0"/>
              <w:jc w:val="center"/>
              <w:rPr>
                <w:rFonts w:ascii="Times New Roman" w:hAnsi="Times New Roman" w:eastAsia="宋体"/>
                <w:kern w:val="0"/>
                <w:sz w:val="21"/>
                <w:szCs w:val="21"/>
                <w:lang w:eastAsia="en-US"/>
              </w:rPr>
            </w:pPr>
            <w:r>
              <w:rPr>
                <w:rFonts w:ascii="Times New Roman" w:hAnsi="Times New Roman" w:eastAsia="宋体"/>
                <w:kern w:val="0"/>
                <w:sz w:val="21"/>
                <w:szCs w:val="21"/>
                <w:lang w:eastAsia="en-US"/>
              </w:rPr>
              <w:t>XZ1</w:t>
            </w:r>
          </w:p>
        </w:tc>
        <w:tc>
          <w:tcPr>
            <w:tcW w:w="2552" w:type="dxa"/>
          </w:tcPr>
          <w:p>
            <w:pPr>
              <w:autoSpaceDE w:val="0"/>
              <w:autoSpaceDN w:val="0"/>
              <w:spacing w:before="31" w:line="240" w:lineRule="auto"/>
              <w:ind w:left="623" w:right="620"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117°58′49.23″</w:t>
            </w:r>
          </w:p>
        </w:tc>
        <w:tc>
          <w:tcPr>
            <w:tcW w:w="2693" w:type="dxa"/>
          </w:tcPr>
          <w:p>
            <w:pPr>
              <w:autoSpaceDE w:val="0"/>
              <w:autoSpaceDN w:val="0"/>
              <w:spacing w:before="31" w:line="240" w:lineRule="auto"/>
              <w:ind w:left="562" w:right="56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36°22′7.23″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vMerge w:val="continue"/>
          </w:tcPr>
          <w:p>
            <w:pPr>
              <w:autoSpaceDE w:val="0"/>
              <w:autoSpaceDN w:val="0"/>
              <w:spacing w:line="240" w:lineRule="auto"/>
              <w:ind w:firstLine="0" w:firstLineChars="0"/>
              <w:jc w:val="left"/>
              <w:rPr>
                <w:rFonts w:ascii="Times New Roman" w:hAnsi="Times New Roman" w:eastAsia="宋体"/>
                <w:kern w:val="0"/>
                <w:sz w:val="21"/>
                <w:szCs w:val="21"/>
                <w:lang w:eastAsia="en-US"/>
              </w:rPr>
            </w:pPr>
          </w:p>
        </w:tc>
        <w:tc>
          <w:tcPr>
            <w:tcW w:w="1276" w:type="dxa"/>
          </w:tcPr>
          <w:p>
            <w:pPr>
              <w:autoSpaceDE w:val="0"/>
              <w:autoSpaceDN w:val="0"/>
              <w:spacing w:line="240" w:lineRule="auto"/>
              <w:ind w:firstLine="0" w:firstLineChars="0"/>
              <w:jc w:val="center"/>
              <w:rPr>
                <w:rFonts w:ascii="Times New Roman" w:hAnsi="Times New Roman" w:eastAsia="宋体"/>
                <w:kern w:val="0"/>
                <w:sz w:val="21"/>
                <w:szCs w:val="21"/>
                <w:lang w:eastAsia="en-US"/>
              </w:rPr>
            </w:pPr>
            <w:r>
              <w:rPr>
                <w:rFonts w:ascii="Times New Roman" w:hAnsi="Times New Roman" w:eastAsia="宋体"/>
                <w:kern w:val="0"/>
                <w:sz w:val="21"/>
                <w:szCs w:val="21"/>
                <w:lang w:eastAsia="en-US"/>
              </w:rPr>
              <w:t>XZ2</w:t>
            </w:r>
          </w:p>
        </w:tc>
        <w:tc>
          <w:tcPr>
            <w:tcW w:w="2552" w:type="dxa"/>
          </w:tcPr>
          <w:p>
            <w:pPr>
              <w:autoSpaceDE w:val="0"/>
              <w:autoSpaceDN w:val="0"/>
              <w:spacing w:before="32" w:line="240" w:lineRule="auto"/>
              <w:ind w:left="623" w:right="620"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117°58′3.04″</w:t>
            </w:r>
          </w:p>
        </w:tc>
        <w:tc>
          <w:tcPr>
            <w:tcW w:w="2693" w:type="dxa"/>
          </w:tcPr>
          <w:p>
            <w:pPr>
              <w:autoSpaceDE w:val="0"/>
              <w:autoSpaceDN w:val="0"/>
              <w:spacing w:before="32" w:line="240" w:lineRule="auto"/>
              <w:ind w:left="562" w:right="56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36°21′51.42″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1599" w:type="dxa"/>
            <w:vMerge w:val="continue"/>
          </w:tcPr>
          <w:p>
            <w:pPr>
              <w:autoSpaceDE w:val="0"/>
              <w:autoSpaceDN w:val="0"/>
              <w:spacing w:line="240" w:lineRule="auto"/>
              <w:ind w:firstLine="0" w:firstLineChars="0"/>
              <w:jc w:val="left"/>
              <w:rPr>
                <w:rFonts w:ascii="Times New Roman" w:hAnsi="Times New Roman" w:eastAsia="宋体"/>
                <w:kern w:val="0"/>
                <w:sz w:val="21"/>
                <w:szCs w:val="21"/>
                <w:lang w:eastAsia="en-US"/>
              </w:rPr>
            </w:pPr>
          </w:p>
        </w:tc>
        <w:tc>
          <w:tcPr>
            <w:tcW w:w="1276" w:type="dxa"/>
          </w:tcPr>
          <w:p>
            <w:pPr>
              <w:autoSpaceDE w:val="0"/>
              <w:autoSpaceDN w:val="0"/>
              <w:spacing w:line="240" w:lineRule="auto"/>
              <w:ind w:firstLine="0" w:firstLineChars="0"/>
              <w:jc w:val="center"/>
              <w:rPr>
                <w:rFonts w:ascii="Times New Roman" w:hAnsi="Times New Roman" w:eastAsia="宋体"/>
                <w:kern w:val="0"/>
                <w:sz w:val="21"/>
                <w:szCs w:val="21"/>
                <w:lang w:eastAsia="en-US"/>
              </w:rPr>
            </w:pPr>
            <w:r>
              <w:rPr>
                <w:rFonts w:ascii="Times New Roman" w:hAnsi="Times New Roman" w:eastAsia="宋体"/>
                <w:kern w:val="0"/>
                <w:sz w:val="21"/>
                <w:szCs w:val="21"/>
                <w:lang w:eastAsia="en-US"/>
              </w:rPr>
              <w:t>XZ3</w:t>
            </w:r>
          </w:p>
        </w:tc>
        <w:tc>
          <w:tcPr>
            <w:tcW w:w="2552" w:type="dxa"/>
          </w:tcPr>
          <w:p>
            <w:pPr>
              <w:autoSpaceDE w:val="0"/>
              <w:autoSpaceDN w:val="0"/>
              <w:spacing w:before="31" w:line="240" w:lineRule="auto"/>
              <w:ind w:left="623" w:right="620"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117°54′40.71″</w:t>
            </w:r>
          </w:p>
        </w:tc>
        <w:tc>
          <w:tcPr>
            <w:tcW w:w="2693" w:type="dxa"/>
          </w:tcPr>
          <w:p>
            <w:pPr>
              <w:autoSpaceDE w:val="0"/>
              <w:autoSpaceDN w:val="0"/>
              <w:spacing w:before="31" w:line="240" w:lineRule="auto"/>
              <w:ind w:left="562" w:right="56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36°22′20.89″</w:t>
            </w:r>
          </w:p>
        </w:tc>
      </w:tr>
    </w:tbl>
    <w:p>
      <w:pPr>
        <w:ind w:left="-1417" w:leftChars="-506" w:firstLine="0" w:firstLineChars="0"/>
        <w:rPr>
          <w:rFonts w:ascii="Times New Roman" w:hAnsi="Times New Roman"/>
        </w:rPr>
      </w:pPr>
      <w:r>
        <w:rPr>
          <w:rFonts w:ascii="Times New Roman" w:hAnsi="Times New Roman"/>
        </w:rPr>
        <w:drawing>
          <wp:inline distT="0" distB="0" distL="0" distR="0">
            <wp:extent cx="7154545" cy="5062855"/>
            <wp:effectExtent l="0" t="0" r="8255"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166125" cy="5071332"/>
                    </a:xfrm>
                    <a:prstGeom prst="rect">
                      <a:avLst/>
                    </a:prstGeom>
                  </pic:spPr>
                </pic:pic>
              </a:graphicData>
            </a:graphic>
          </wp:inline>
        </w:drawing>
      </w:r>
    </w:p>
    <w:p>
      <w:pPr>
        <w:ind w:firstLine="560"/>
        <w:jc w:val="center"/>
        <w:rPr>
          <w:rFonts w:ascii="Times New Roman" w:hAnsi="Times New Roman"/>
        </w:rPr>
      </w:pPr>
      <w:r>
        <w:rPr>
          <w:rFonts w:hint="eastAsia" w:ascii="Times New Roman" w:hAnsi="Times New Roman"/>
        </w:rPr>
        <w:t>图3-9</w:t>
      </w:r>
      <w:r>
        <w:rPr>
          <w:rFonts w:ascii="Times New Roman" w:hAnsi="Times New Roman"/>
        </w:rPr>
        <w:t xml:space="preserve"> </w:t>
      </w:r>
      <w:r>
        <w:rPr>
          <w:rFonts w:hint="eastAsia" w:ascii="Times New Roman" w:hAnsi="Times New Roman"/>
        </w:rPr>
        <w:t>谢家店饮用水水源保护区宣传牌设置分布图</w:t>
      </w:r>
    </w:p>
    <w:p>
      <w:pPr>
        <w:pStyle w:val="25"/>
      </w:pPr>
      <w:bookmarkStart w:id="65" w:name="_Toc35526478"/>
      <w:r>
        <w:rPr>
          <w:rFonts w:hint="eastAsia"/>
        </w:rPr>
        <w:t>饮用水水源保护区标志的构造</w:t>
      </w:r>
      <w:bookmarkEnd w:id="65"/>
    </w:p>
    <w:p>
      <w:pPr>
        <w:ind w:firstLine="560"/>
        <w:rPr>
          <w:rFonts w:ascii="Times New Roman" w:hAnsi="Times New Roman"/>
        </w:rPr>
      </w:pPr>
      <w:r>
        <w:rPr>
          <w:rFonts w:hint="eastAsia" w:ascii="Times New Roman" w:hAnsi="Times New Roman"/>
        </w:rPr>
        <w:t>（1）颜色</w:t>
      </w:r>
    </w:p>
    <w:p>
      <w:pPr>
        <w:ind w:firstLine="560"/>
        <w:rPr>
          <w:rFonts w:ascii="Times New Roman" w:hAnsi="Times New Roman"/>
        </w:rPr>
      </w:pPr>
      <w:r>
        <w:rPr>
          <w:rFonts w:hint="eastAsia" w:ascii="Times New Roman" w:hAnsi="Times New Roman"/>
        </w:rPr>
        <w:t>饮用水水源保护区图形标的基本色为蓝色，“两滴水”为绿色，“饮用水杯”为白色，文字为蓝色。饮用水水源保护区道路警示牌的颜色一般道路为蓝底、白边，图案背景和文字为白色；高速公路为绿底、白边，图案背景和文字为白色。饮用水水源保护区宣传牌颜色由博山区人民政府政府根据实际情况确定。</w:t>
      </w:r>
    </w:p>
    <w:p>
      <w:pPr>
        <w:ind w:firstLine="560"/>
        <w:rPr>
          <w:rFonts w:ascii="Times New Roman" w:hAnsi="Times New Roman"/>
        </w:rPr>
      </w:pPr>
      <w:r>
        <w:rPr>
          <w:rFonts w:hint="eastAsia" w:ascii="Times New Roman" w:hAnsi="Times New Roman"/>
        </w:rPr>
        <w:t>（2）尺寸</w:t>
      </w:r>
    </w:p>
    <w:p>
      <w:pPr>
        <w:ind w:firstLine="560"/>
        <w:rPr>
          <w:rFonts w:ascii="Times New Roman" w:hAnsi="Times New Roman"/>
        </w:rPr>
      </w:pPr>
      <w:r>
        <w:rPr>
          <w:rFonts w:hint="eastAsia" w:ascii="Times New Roman" w:hAnsi="Times New Roman"/>
        </w:rPr>
        <w:t>饮用水水源保护区标志的尺寸见《饮用水水源保护区标志技术要求》（HJ/T433—2008）附录 B。饮用水水源保护区标志的尺寸可根据实际情况按比例缩放。</w:t>
      </w:r>
    </w:p>
    <w:p>
      <w:pPr>
        <w:ind w:firstLine="560"/>
        <w:rPr>
          <w:rFonts w:ascii="Times New Roman" w:hAnsi="Times New Roman"/>
        </w:rPr>
      </w:pPr>
      <w:r>
        <w:rPr>
          <w:rFonts w:hint="eastAsia" w:ascii="Times New Roman" w:hAnsi="Times New Roman"/>
        </w:rPr>
        <w:t>（3）支持方式</w:t>
      </w:r>
    </w:p>
    <w:p>
      <w:pPr>
        <w:ind w:firstLine="560"/>
        <w:rPr>
          <w:rFonts w:ascii="Times New Roman" w:hAnsi="Times New Roman"/>
        </w:rPr>
      </w:pPr>
      <w:r>
        <w:rPr>
          <w:rFonts w:hint="eastAsia" w:ascii="Times New Roman" w:hAnsi="Times New Roman"/>
        </w:rPr>
        <w:t>饮用水水源保护区界标宜采用双柱式的支持方式，尺寸可参考《道路交通标志及标线》（GB5768-2009）。</w:t>
      </w:r>
    </w:p>
    <w:p>
      <w:pPr>
        <w:ind w:firstLine="560"/>
        <w:rPr>
          <w:rFonts w:ascii="Times New Roman" w:hAnsi="Times New Roman"/>
        </w:rPr>
      </w:pPr>
      <w:r>
        <w:rPr>
          <w:rFonts w:hint="eastAsia" w:ascii="Times New Roman" w:hAnsi="Times New Roman"/>
        </w:rPr>
        <w:t>饮用水水源保护区交通警示牌的支持方式形式可多样，但必须符合《道路交通标志及标线》（GB5768-2009）的规定。</w:t>
      </w:r>
    </w:p>
    <w:p>
      <w:pPr>
        <w:ind w:firstLine="560"/>
        <w:rPr>
          <w:rFonts w:ascii="Times New Roman" w:hAnsi="Times New Roman"/>
        </w:rPr>
      </w:pPr>
      <w:r>
        <w:rPr>
          <w:rFonts w:hint="eastAsia" w:ascii="Times New Roman" w:hAnsi="Times New Roman"/>
        </w:rPr>
        <w:t>饮用水水源保护区宣传牌的支持方式由地方主管部门根据实际情况确定。标志柱的结构设计可参考《道路交通标志及标线》（GB5768-2009）中交通标志柱的结构设计进行。</w:t>
      </w:r>
    </w:p>
    <w:p>
      <w:pPr>
        <w:ind w:firstLine="560"/>
        <w:rPr>
          <w:rFonts w:ascii="Times New Roman" w:hAnsi="Times New Roman"/>
        </w:rPr>
      </w:pPr>
      <w:r>
        <w:rPr>
          <w:rFonts w:hint="eastAsia" w:ascii="Times New Roman" w:hAnsi="Times New Roman"/>
        </w:rPr>
        <w:t>（4）材质</w:t>
      </w:r>
    </w:p>
    <w:p>
      <w:pPr>
        <w:ind w:firstLine="560"/>
        <w:rPr>
          <w:rFonts w:ascii="Times New Roman" w:hAnsi="Times New Roman"/>
        </w:rPr>
      </w:pPr>
      <w:r>
        <w:rPr>
          <w:rFonts w:hint="eastAsia" w:ascii="Times New Roman" w:hAnsi="Times New Roman"/>
        </w:rPr>
        <w:t>饮用水水源保护区标志应遵循耐久、经济的原则，宜采用铝合金板、合成树脂类板材等材质。饮用水水源保护区界标如有必要，也可采用大理石等材质。</w:t>
      </w:r>
    </w:p>
    <w:p>
      <w:pPr>
        <w:ind w:firstLine="560"/>
        <w:rPr>
          <w:rFonts w:ascii="Times New Roman" w:hAnsi="Times New Roman"/>
        </w:rPr>
      </w:pPr>
      <w:r>
        <w:rPr>
          <w:rFonts w:hint="eastAsia" w:ascii="Times New Roman" w:hAnsi="Times New Roman"/>
        </w:rPr>
        <w:t>标志表面宜采用反光材料。道路警示牌的反光性能按照《道路交通标志及标线》（GB5768-2009）执行。</w:t>
      </w:r>
    </w:p>
    <w:p>
      <w:pPr>
        <w:ind w:firstLine="560"/>
        <w:rPr>
          <w:rFonts w:ascii="Times New Roman" w:hAnsi="Times New Roman"/>
        </w:rPr>
      </w:pPr>
      <w:r>
        <w:rPr>
          <w:rFonts w:hint="eastAsia" w:ascii="Times New Roman" w:hAnsi="Times New Roman"/>
        </w:rPr>
        <w:t>3.</w:t>
      </w:r>
      <w:r>
        <w:rPr>
          <w:rFonts w:ascii="Times New Roman" w:hAnsi="Times New Roman"/>
        </w:rPr>
        <w:t>3.6</w:t>
      </w:r>
      <w:r>
        <w:rPr>
          <w:rFonts w:hint="eastAsia" w:ascii="Times New Roman" w:hAnsi="Times New Roman"/>
        </w:rPr>
        <w:tab/>
      </w:r>
      <w:r>
        <w:rPr>
          <w:rFonts w:hint="eastAsia" w:ascii="Times New Roman" w:hAnsi="Times New Roman"/>
        </w:rPr>
        <w:t>饮用水水源保护区标志的制作</w:t>
      </w:r>
    </w:p>
    <w:p>
      <w:pPr>
        <w:ind w:firstLine="560"/>
        <w:rPr>
          <w:rFonts w:ascii="Times New Roman" w:hAnsi="Times New Roman"/>
        </w:rPr>
      </w:pPr>
      <w:r>
        <w:rPr>
          <w:rFonts w:hint="eastAsia" w:ascii="Times New Roman" w:hAnsi="Times New Roman"/>
        </w:rPr>
        <w:t>饮用水水源保护区标志由博山区人民政府设立，国家环境保护行政主管部门统一监制。标志的加工要求、外观质量及其测试方法可参照《公路交通标志板》（JT/T279-2004）的有关规定执行。</w:t>
      </w:r>
    </w:p>
    <w:p>
      <w:pPr>
        <w:ind w:firstLine="560"/>
        <w:rPr>
          <w:rFonts w:ascii="Times New Roman" w:hAnsi="Times New Roman"/>
        </w:rPr>
      </w:pPr>
      <w:r>
        <w:rPr>
          <w:rFonts w:ascii="Times New Roman" w:hAnsi="Times New Roman"/>
        </w:rPr>
        <w:t>3.3.7</w:t>
      </w:r>
      <w:r>
        <w:rPr>
          <w:rFonts w:hint="eastAsia" w:ascii="Times New Roman" w:hAnsi="Times New Roman"/>
        </w:rPr>
        <w:t xml:space="preserve"> 饮用水水源保护区隔离网设置</w:t>
      </w:r>
    </w:p>
    <w:p>
      <w:pPr>
        <w:ind w:firstLine="560"/>
        <w:rPr>
          <w:rFonts w:ascii="Times New Roman" w:hAnsi="Times New Roman"/>
        </w:rPr>
      </w:pPr>
      <w:r>
        <w:rPr>
          <w:rFonts w:hint="eastAsia" w:ascii="Times New Roman" w:hAnsi="Times New Roman"/>
        </w:rPr>
        <w:t>隔离设施通常包括隔离网、隔离墙和绿化隔离带，推荐釆用隔离网。鉴于隔离墙对生态环境的不利影响，不推荐釆用。绿化隔离带的设置，必须具备一定的宽度和高度，才能起到阻隔人群的作用，亦不推荐使用。</w:t>
      </w:r>
    </w:p>
    <w:p>
      <w:pPr>
        <w:ind w:firstLine="560"/>
        <w:rPr>
          <w:rFonts w:ascii="Times New Roman" w:hAnsi="Times New Roman"/>
        </w:rPr>
      </w:pPr>
      <w:r>
        <w:rPr>
          <w:rFonts w:hint="eastAsia" w:ascii="Times New Roman" w:hAnsi="Times New Roman"/>
        </w:rPr>
        <w:t>（1）设立位置</w:t>
      </w:r>
    </w:p>
    <w:p>
      <w:pPr>
        <w:ind w:firstLine="560"/>
        <w:rPr>
          <w:rFonts w:ascii="Times New Roman" w:hAnsi="Times New Roman"/>
        </w:rPr>
      </w:pPr>
      <w:r>
        <w:rPr>
          <w:rFonts w:hint="eastAsia" w:ascii="Times New Roman" w:hAnsi="Times New Roman"/>
        </w:rPr>
        <w:t>依据水源地的自然地理位置、环境特征和环境管理需要，在人群活动较为频繁的一级保护区陆域外围边界设置隔离网。本次隔离网主要沿饮用水水源地一级保护区陆域外围设置。</w:t>
      </w:r>
    </w:p>
    <w:p>
      <w:pPr>
        <w:ind w:firstLine="560"/>
        <w:rPr>
          <w:rFonts w:ascii="Times New Roman" w:hAnsi="Times New Roman"/>
        </w:rPr>
      </w:pPr>
      <w:r>
        <w:rPr>
          <w:rFonts w:hint="eastAsia" w:ascii="Times New Roman" w:hAnsi="Times New Roman"/>
        </w:rPr>
        <w:t>（2）材质、尺寸</w:t>
      </w:r>
    </w:p>
    <w:p>
      <w:pPr>
        <w:ind w:firstLine="560"/>
        <w:rPr>
          <w:rFonts w:ascii="Times New Roman" w:hAnsi="Times New Roman"/>
        </w:rPr>
      </w:pPr>
      <w:r>
        <w:rPr>
          <w:rFonts w:hint="eastAsia" w:ascii="Times New Roman" w:hAnsi="Times New Roman"/>
        </w:rPr>
        <w:t>饮用水水源保护区隔离网应遵守耐久、经济的原则，参照高速公路隔离网宜釆用浸塑电焊网，规格高度 1.7m，顶部 0.2m 向内倾斜。</w:t>
      </w:r>
    </w:p>
    <w:p>
      <w:pPr>
        <w:ind w:firstLine="560"/>
        <w:rPr>
          <w:rFonts w:ascii="Times New Roman" w:hAnsi="Times New Roman"/>
        </w:rPr>
      </w:pPr>
      <w:r>
        <w:rPr>
          <w:rFonts w:hint="eastAsia" w:ascii="Times New Roman" w:hAnsi="Times New Roman"/>
        </w:rPr>
        <w:t>（3）颜色</w:t>
      </w:r>
    </w:p>
    <w:p>
      <w:pPr>
        <w:ind w:firstLine="560"/>
        <w:rPr>
          <w:rFonts w:ascii="Times New Roman" w:hAnsi="Times New Roman"/>
        </w:rPr>
      </w:pPr>
      <w:r>
        <w:rPr>
          <w:rFonts w:hint="eastAsia" w:ascii="Times New Roman" w:hAnsi="Times New Roman"/>
        </w:rPr>
        <w:t>饮用水水源保护区隔离网的颜色采用绿色。</w:t>
      </w:r>
    </w:p>
    <w:p>
      <w:pPr>
        <w:pStyle w:val="27"/>
      </w:pPr>
      <w:bookmarkStart w:id="66" w:name="_Toc35526479"/>
      <w:r>
        <w:t>保护区定界技术说明</w:t>
      </w:r>
      <w:bookmarkEnd w:id="66"/>
    </w:p>
    <w:p>
      <w:pPr>
        <w:ind w:firstLine="560"/>
        <w:rPr>
          <w:rFonts w:ascii="Times New Roman" w:hAnsi="Times New Roman"/>
        </w:rPr>
      </w:pPr>
      <w:r>
        <w:rPr>
          <w:rFonts w:hint="eastAsia" w:ascii="Times New Roman" w:hAnsi="Times New Roman"/>
        </w:rPr>
        <w:t>谢家店水源地保护区划分主要采用经验公式法及经验值法两种方法相结合进行定界，以确保其定界范围更为准确可信。</w:t>
      </w:r>
      <w:r>
        <w:rPr>
          <w:rFonts w:ascii="Times New Roman" w:hAnsi="Times New Roman"/>
        </w:rPr>
        <w:t>结合饮用水水源保护区划分结果、现场调研结果，分析保护区内工业污染源、加油站、畜禽养殖和村庄分布情况</w:t>
      </w:r>
      <w:r>
        <w:rPr>
          <w:rFonts w:hint="eastAsia" w:ascii="Times New Roman" w:hAnsi="Times New Roman"/>
        </w:rPr>
        <w:t>，以规避保护区内可能存在的风险</w:t>
      </w:r>
      <w:r>
        <w:rPr>
          <w:rFonts w:ascii="Times New Roman" w:hAnsi="Times New Roman"/>
        </w:rPr>
        <w:t>。</w:t>
      </w:r>
    </w:p>
    <w:p>
      <w:pPr>
        <w:ind w:firstLine="560"/>
        <w:rPr>
          <w:rFonts w:ascii="Times New Roman" w:hAnsi="Times New Roman"/>
        </w:rPr>
      </w:pPr>
      <w:r>
        <w:rPr>
          <w:rFonts w:ascii="Times New Roman" w:hAnsi="Times New Roman"/>
        </w:rPr>
        <w:t>（1）一级保护区</w:t>
      </w:r>
    </w:p>
    <w:p>
      <w:pPr>
        <w:ind w:firstLine="560"/>
        <w:rPr>
          <w:rFonts w:ascii="Times New Roman" w:hAnsi="Times New Roman"/>
        </w:rPr>
      </w:pPr>
      <w:r>
        <w:rPr>
          <w:rFonts w:ascii="Times New Roman" w:hAnsi="Times New Roman"/>
        </w:rPr>
        <w:t>谢家店饮用水水源一级保护区内以</w:t>
      </w:r>
      <w:r>
        <w:rPr>
          <w:rFonts w:hint="eastAsia" w:ascii="Times New Roman" w:hAnsi="Times New Roman"/>
        </w:rPr>
        <w:t>河道与农田</w:t>
      </w:r>
      <w:r>
        <w:rPr>
          <w:rFonts w:ascii="Times New Roman" w:hAnsi="Times New Roman"/>
        </w:rPr>
        <w:t>为主，其中未发现工业企业污染源。</w:t>
      </w:r>
    </w:p>
    <w:p>
      <w:pPr>
        <w:ind w:firstLine="560"/>
        <w:rPr>
          <w:rFonts w:ascii="Times New Roman" w:hAnsi="Times New Roman"/>
        </w:rPr>
      </w:pPr>
      <w:r>
        <w:rPr>
          <w:rFonts w:ascii="Times New Roman" w:hAnsi="Times New Roman"/>
        </w:rPr>
        <w:t>（2）准保护区</w:t>
      </w:r>
    </w:p>
    <w:p>
      <w:pPr>
        <w:ind w:firstLine="560"/>
        <w:rPr>
          <w:rFonts w:ascii="Times New Roman" w:hAnsi="Times New Roman"/>
        </w:rPr>
      </w:pPr>
      <w:r>
        <w:rPr>
          <w:rFonts w:ascii="Times New Roman" w:hAnsi="Times New Roman"/>
        </w:rPr>
        <w:t>谢家店饮用水水源准保护区内</w:t>
      </w:r>
      <w:r>
        <w:rPr>
          <w:rFonts w:hint="eastAsia" w:ascii="Times New Roman" w:hAnsi="Times New Roman"/>
        </w:rPr>
        <w:t>涉及博山区的盆泉村、北博山村、谢家店村和王家庄等4</w:t>
      </w:r>
      <w:r>
        <w:rPr>
          <w:rFonts w:ascii="Times New Roman" w:hAnsi="Times New Roman"/>
        </w:rPr>
        <w:t>个村庄</w:t>
      </w:r>
      <w:r>
        <w:rPr>
          <w:rFonts w:hint="eastAsia" w:ascii="Times New Roman" w:hAnsi="Times New Roman"/>
        </w:rPr>
        <w:t>，工业企业主要有山东业盛玻璃有限公司和山东万乔集团有限公司两家，主要交通道路有省道</w:t>
      </w:r>
      <w:r>
        <w:rPr>
          <w:rFonts w:ascii="Times New Roman" w:hAnsi="Times New Roman"/>
        </w:rPr>
        <w:t>S23</w:t>
      </w:r>
      <w:r>
        <w:rPr>
          <w:rFonts w:hint="eastAsia" w:ascii="Times New Roman" w:hAnsi="Times New Roman"/>
        </w:rPr>
        <w:t>1 、</w:t>
      </w:r>
      <w:r>
        <w:rPr>
          <w:rFonts w:ascii="Times New Roman" w:hAnsi="Times New Roman"/>
        </w:rPr>
        <w:t>S23</w:t>
      </w:r>
      <w:r>
        <w:rPr>
          <w:rFonts w:hint="eastAsia" w:ascii="Times New Roman" w:hAnsi="Times New Roman"/>
        </w:rPr>
        <w:t>2、</w:t>
      </w:r>
      <w:r>
        <w:rPr>
          <w:rFonts w:ascii="Times New Roman" w:hAnsi="Times New Roman"/>
        </w:rPr>
        <w:t>S23</w:t>
      </w:r>
      <w:r>
        <w:rPr>
          <w:rFonts w:hint="eastAsia" w:ascii="Times New Roman" w:hAnsi="Times New Roman"/>
        </w:rPr>
        <w:t>6，县道</w:t>
      </w:r>
      <w:r>
        <w:rPr>
          <w:rFonts w:ascii="Times New Roman" w:hAnsi="Times New Roman"/>
        </w:rPr>
        <w:t>X00</w:t>
      </w:r>
      <w:r>
        <w:rPr>
          <w:rFonts w:hint="eastAsia" w:ascii="Times New Roman" w:hAnsi="Times New Roman"/>
        </w:rPr>
        <w:t>7、</w:t>
      </w:r>
      <w:r>
        <w:rPr>
          <w:rFonts w:ascii="Times New Roman" w:hAnsi="Times New Roman"/>
        </w:rPr>
        <w:t>X051</w:t>
      </w:r>
      <w:r>
        <w:rPr>
          <w:rFonts w:hint="eastAsia" w:ascii="Times New Roman" w:hAnsi="Times New Roman"/>
        </w:rPr>
        <w:t>等。</w:t>
      </w:r>
    </w:p>
    <w:p>
      <w:pPr>
        <w:ind w:firstLine="560"/>
        <w:rPr>
          <w:rFonts w:ascii="Times New Roman" w:hAnsi="Times New Roman"/>
        </w:rPr>
        <w:sectPr>
          <w:headerReference r:id="rId12" w:type="default"/>
          <w:footerReference r:id="rId13" w:type="default"/>
          <w:pgSz w:w="11906" w:h="16838"/>
          <w:pgMar w:top="1440" w:right="1800" w:bottom="1440" w:left="1800" w:header="851" w:footer="992" w:gutter="0"/>
          <w:cols w:space="425" w:num="1"/>
          <w:docGrid w:type="lines" w:linePitch="312" w:charSpace="0"/>
        </w:sectPr>
      </w:pPr>
    </w:p>
    <w:p>
      <w:pPr>
        <w:pStyle w:val="2"/>
        <w:numPr>
          <w:ilvl w:val="0"/>
          <w:numId w:val="1"/>
        </w:numPr>
        <w:spacing w:before="120" w:after="120" w:line="360" w:lineRule="auto"/>
        <w:ind w:left="715" w:hanging="432" w:firstLineChars="0"/>
        <w:jc w:val="center"/>
        <w:rPr>
          <w:rFonts w:hAnsi="Times New Roman"/>
          <w:lang w:eastAsia="zh-CN"/>
        </w:rPr>
      </w:pPr>
      <w:bookmarkStart w:id="67" w:name="_Toc35526480"/>
      <w:r>
        <w:rPr>
          <w:rFonts w:hAnsi="Times New Roman"/>
        </w:rPr>
        <w:t>饮用水水源地</w:t>
      </w:r>
      <w:r>
        <w:rPr>
          <w:rFonts w:hint="eastAsia" w:hAnsi="Times New Roman"/>
        </w:rPr>
        <w:t>规范化建设</w:t>
      </w:r>
      <w:r>
        <w:rPr>
          <w:rFonts w:hAnsi="Times New Roman"/>
        </w:rPr>
        <w:t>与管理要求</w:t>
      </w:r>
      <w:bookmarkEnd w:id="67"/>
    </w:p>
    <w:p>
      <w:pPr>
        <w:pStyle w:val="27"/>
        <w:spacing w:before="190" w:after="190"/>
      </w:pPr>
      <w:bookmarkStart w:id="68" w:name="_Toc35526481"/>
      <w:r>
        <w:t>饮用水水源的环境保护目标</w:t>
      </w:r>
      <w:bookmarkEnd w:id="68"/>
    </w:p>
    <w:p>
      <w:pPr>
        <w:pStyle w:val="25"/>
        <w:spacing w:before="190" w:after="190"/>
      </w:pPr>
      <w:bookmarkStart w:id="69" w:name="_Toc35526482"/>
      <w:r>
        <w:t>水质目标</w:t>
      </w:r>
      <w:bookmarkEnd w:id="69"/>
    </w:p>
    <w:p>
      <w:pPr>
        <w:ind w:firstLine="560"/>
        <w:rPr>
          <w:rFonts w:ascii="Times New Roman" w:hAnsi="Times New Roman"/>
        </w:rPr>
      </w:pPr>
      <w:r>
        <w:rPr>
          <w:rFonts w:ascii="Times New Roman" w:hAnsi="Times New Roman"/>
        </w:rPr>
        <w:t>地下水饮用水水源保护区水质各项指标不得低于《地下水质量标准》（GB/T14848-2017）中的Ⅲ类标准。</w:t>
      </w:r>
    </w:p>
    <w:p>
      <w:pPr>
        <w:pStyle w:val="25"/>
        <w:spacing w:before="190" w:after="190"/>
      </w:pPr>
      <w:bookmarkStart w:id="70" w:name="_Toc35526483"/>
      <w:r>
        <w:t>监管目标</w:t>
      </w:r>
      <w:bookmarkEnd w:id="70"/>
    </w:p>
    <w:p>
      <w:pPr>
        <w:ind w:firstLine="560"/>
        <w:rPr>
          <w:rFonts w:ascii="Times New Roman" w:hAnsi="Times New Roman"/>
        </w:rPr>
      </w:pPr>
      <w:r>
        <w:rPr>
          <w:rFonts w:ascii="Times New Roman" w:hAnsi="Times New Roman"/>
        </w:rPr>
        <w:t>（1）设立标志</w:t>
      </w:r>
    </w:p>
    <w:p>
      <w:pPr>
        <w:ind w:firstLine="560"/>
        <w:rPr>
          <w:rFonts w:ascii="Times New Roman" w:hAnsi="Times New Roman"/>
        </w:rPr>
      </w:pPr>
      <w:r>
        <w:rPr>
          <w:rFonts w:ascii="Times New Roman" w:hAnsi="Times New Roman"/>
        </w:rPr>
        <w:t>按照有关规范设立保护区标志。</w:t>
      </w:r>
    </w:p>
    <w:p>
      <w:pPr>
        <w:ind w:firstLine="560"/>
        <w:rPr>
          <w:rFonts w:ascii="Times New Roman" w:hAnsi="Times New Roman"/>
        </w:rPr>
      </w:pPr>
      <w:r>
        <w:rPr>
          <w:rFonts w:ascii="Times New Roman" w:hAnsi="Times New Roman"/>
        </w:rPr>
        <w:t>（2）取缔违法建设项目和活动</w:t>
      </w:r>
    </w:p>
    <w:p>
      <w:pPr>
        <w:ind w:firstLine="560"/>
        <w:rPr>
          <w:rFonts w:ascii="Times New Roman" w:hAnsi="Times New Roman"/>
        </w:rPr>
      </w:pPr>
      <w:r>
        <w:rPr>
          <w:rFonts w:ascii="Times New Roman" w:hAnsi="Times New Roman"/>
        </w:rPr>
        <w:t>依法取缔饮用水水源一级</w:t>
      </w:r>
      <w:r>
        <w:rPr>
          <w:rFonts w:hint="eastAsia" w:ascii="Times New Roman" w:hAnsi="Times New Roman"/>
        </w:rPr>
        <w:t>保护区</w:t>
      </w:r>
      <w:r>
        <w:rPr>
          <w:rFonts w:ascii="Times New Roman" w:hAnsi="Times New Roman"/>
        </w:rPr>
        <w:t>内与供水设施和保护水源无关的建设项目。</w:t>
      </w:r>
    </w:p>
    <w:p>
      <w:pPr>
        <w:ind w:firstLine="560"/>
        <w:rPr>
          <w:rFonts w:ascii="Times New Roman" w:hAnsi="Times New Roman"/>
        </w:rPr>
      </w:pPr>
      <w:r>
        <w:rPr>
          <w:rFonts w:ascii="Times New Roman" w:hAnsi="Times New Roman"/>
        </w:rPr>
        <w:t>（3）隔离设施</w:t>
      </w:r>
    </w:p>
    <w:p>
      <w:pPr>
        <w:ind w:firstLine="560"/>
        <w:rPr>
          <w:rFonts w:ascii="Times New Roman" w:hAnsi="Times New Roman"/>
        </w:rPr>
      </w:pPr>
      <w:r>
        <w:rPr>
          <w:rFonts w:ascii="Times New Roman" w:hAnsi="Times New Roman"/>
        </w:rPr>
        <w:t>建议一级保护区物理隔离设施覆盖率100%；一级保护区陆域植被覆盖率宜大于80%。</w:t>
      </w:r>
    </w:p>
    <w:p>
      <w:pPr>
        <w:ind w:firstLine="560"/>
        <w:rPr>
          <w:rFonts w:ascii="Times New Roman" w:hAnsi="Times New Roman"/>
        </w:rPr>
      </w:pPr>
      <w:r>
        <w:rPr>
          <w:rFonts w:ascii="Times New Roman" w:hAnsi="Times New Roman"/>
        </w:rPr>
        <w:t>（4）监测能力</w:t>
      </w:r>
    </w:p>
    <w:p>
      <w:pPr>
        <w:ind w:firstLine="560"/>
        <w:rPr>
          <w:rFonts w:ascii="Times New Roman" w:hAnsi="Times New Roman"/>
        </w:rPr>
      </w:pPr>
      <w:r>
        <w:rPr>
          <w:rFonts w:ascii="Times New Roman" w:hAnsi="Times New Roman"/>
        </w:rPr>
        <w:t>合理布设监测断面（井），能够监测所有设定断面（井）、各级保护区水质；监测指标和频次满足有关要求。</w:t>
      </w:r>
    </w:p>
    <w:p>
      <w:pPr>
        <w:ind w:firstLine="560"/>
        <w:rPr>
          <w:rFonts w:ascii="Times New Roman" w:hAnsi="Times New Roman"/>
        </w:rPr>
      </w:pPr>
      <w:r>
        <w:rPr>
          <w:rFonts w:ascii="Times New Roman" w:hAnsi="Times New Roman"/>
        </w:rPr>
        <w:t>每月开展1次</w:t>
      </w:r>
      <w:r>
        <w:rPr>
          <w:rFonts w:hint="eastAsia" w:ascii="Times New Roman" w:hAnsi="Times New Roman"/>
        </w:rPr>
        <w:t>地下水</w:t>
      </w:r>
      <w:r>
        <w:rPr>
          <w:rFonts w:ascii="Times New Roman" w:hAnsi="Times New Roman"/>
        </w:rPr>
        <w:t>常规指标监测，每年开展1次水质全分析。</w:t>
      </w:r>
    </w:p>
    <w:p>
      <w:pPr>
        <w:pStyle w:val="27"/>
        <w:spacing w:before="190" w:after="190"/>
      </w:pPr>
      <w:bookmarkStart w:id="71" w:name="_Toc35526484"/>
      <w:r>
        <w:t>制定饮用水水源环境监管方案</w:t>
      </w:r>
      <w:bookmarkEnd w:id="71"/>
    </w:p>
    <w:p>
      <w:pPr>
        <w:pStyle w:val="25"/>
        <w:spacing w:before="190" w:after="190"/>
      </w:pPr>
      <w:bookmarkStart w:id="72" w:name="_Toc35526485"/>
      <w:r>
        <w:t>取缔违法建设项目</w:t>
      </w:r>
      <w:bookmarkEnd w:id="72"/>
    </w:p>
    <w:p>
      <w:pPr>
        <w:ind w:firstLine="560"/>
        <w:rPr>
          <w:rFonts w:ascii="Times New Roman" w:hAnsi="Times New Roman"/>
        </w:rPr>
      </w:pPr>
      <w:r>
        <w:rPr>
          <w:rFonts w:ascii="Times New Roman" w:hAnsi="Times New Roman"/>
        </w:rPr>
        <w:t>依法取缔饮用水水源保护区内排污口，拆除或关闭一级保护区内已建成的与供水设施和保护水源无关的建设项目；拆除或关闭水源准保护区内已建成的产生严重污染的建设项目</w:t>
      </w:r>
      <w:r>
        <w:rPr>
          <w:rFonts w:hint="eastAsia" w:ascii="Times New Roman" w:hAnsi="Times New Roman"/>
        </w:rPr>
        <w:t>；清除一级保护区内因拆除建设项目残留的建筑垃圾等与水源地无关的构筑物，恢复植被生长。</w:t>
      </w:r>
    </w:p>
    <w:p>
      <w:pPr>
        <w:pStyle w:val="25"/>
        <w:spacing w:before="190" w:after="190"/>
      </w:pPr>
      <w:bookmarkStart w:id="73" w:name="_Toc35526486"/>
      <w:r>
        <w:t>加强准保护区内环境准入</w:t>
      </w:r>
      <w:bookmarkEnd w:id="73"/>
    </w:p>
    <w:p>
      <w:pPr>
        <w:ind w:firstLine="560"/>
        <w:rPr>
          <w:rFonts w:ascii="Times New Roman" w:hAnsi="Times New Roman"/>
        </w:rPr>
      </w:pPr>
      <w:r>
        <w:rPr>
          <w:rFonts w:ascii="Times New Roman" w:hAnsi="Times New Roman"/>
        </w:rPr>
        <w:t>严格项目审批，认真贯彻落实《水污染防治法》和环境影响评价制度，严把饮用水水源上游项目审批关，拓展水源保护范围，严格控制在饮用水水源保护区上游发展化工、矿山开采、金属冶炼、造纸、印染等高污染风险产业，逐步规范和调整饮用水水源准保护区及上游地区的产业结构和布局。水源上游现有的重污染企业，应通过制定相关政策，鼓励其实施清洁生产改造或搬迁。</w:t>
      </w:r>
    </w:p>
    <w:p>
      <w:pPr>
        <w:ind w:firstLine="560"/>
        <w:rPr>
          <w:rFonts w:ascii="Times New Roman" w:hAnsi="Times New Roman"/>
        </w:rPr>
      </w:pPr>
      <w:r>
        <w:rPr>
          <w:rFonts w:ascii="Times New Roman" w:hAnsi="Times New Roman"/>
        </w:rPr>
        <w:t>认真落实水源环境管理红线，加快集中式饮用饮用水水源保护区划分工作，规范设置警示标志，防止城市垃圾、工业固废、高危废物及其他污染物由城市向乡镇、农村无序扩散，严格禁止饮用水水源保护区内新、改、扩建污染项目。集中式饮用水水源保护区，在水源一级保护区，禁止新建、改建、扩建与供水设施和保护水源无关的建设项目，禁止开展网箱养殖、旅游、游泳、垂钓或者其他可能污染饮用水水体的活动；在水源准保护区内，禁止新建、扩建对水体污染严重的建设项目，改建建设项目，不得增加排污量。分散式饮用水源应禁止新上污染项目，取缔保护范围内网箱养殖和直接排污口，特别要严格控制有毒有害物质的排放和农业面源污染。县级以上环境保护部门定期开展饮用水水源保护区内环境执法检查和后督察，坚决取缔饮用水水源保护区内违法建设项目和可能污染水源水体的活动。结合新农村建设以及农村环保“以奖促治”、“以奖代补”政策的实施，积极争取重点流域规划项目和环境保护专项资金，加大城镇污水处理设施，污水收集管网、生活垃圾收集转运和无害化处理设施建设力度，降低农村生活污染。</w:t>
      </w:r>
    </w:p>
    <w:p>
      <w:pPr>
        <w:pStyle w:val="25"/>
        <w:spacing w:before="190" w:after="190"/>
      </w:pPr>
      <w:bookmarkStart w:id="74" w:name="_Toc35526487"/>
      <w:r>
        <w:t>研究制定饮用水水源环境监测和预警方案</w:t>
      </w:r>
      <w:bookmarkEnd w:id="74"/>
    </w:p>
    <w:p>
      <w:pPr>
        <w:ind w:firstLine="560"/>
        <w:rPr>
          <w:rFonts w:ascii="Times New Roman" w:hAnsi="Times New Roman"/>
        </w:rPr>
      </w:pPr>
      <w:r>
        <w:rPr>
          <w:rFonts w:ascii="Times New Roman" w:hAnsi="Times New Roman"/>
        </w:rPr>
        <w:t>为监测饮用水水源的水质状况，增强保护区的防护功能，应定期开展保护区的水质监测工作。尽量在原有的水环境监测网基础上，进一步优化调整，构建饮用水水源水质监测体系。</w:t>
      </w:r>
    </w:p>
    <w:p>
      <w:pPr>
        <w:ind w:firstLine="560"/>
        <w:rPr>
          <w:rFonts w:ascii="Times New Roman" w:hAnsi="Times New Roman"/>
        </w:rPr>
      </w:pPr>
      <w:r>
        <w:rPr>
          <w:rFonts w:ascii="Times New Roman" w:hAnsi="Times New Roman"/>
        </w:rPr>
        <w:t>（1）监测井布设原则</w:t>
      </w:r>
    </w:p>
    <w:p>
      <w:pPr>
        <w:ind w:firstLine="560"/>
        <w:rPr>
          <w:rFonts w:ascii="Times New Roman" w:hAnsi="Times New Roman"/>
        </w:rPr>
      </w:pPr>
      <w:r>
        <w:rPr>
          <w:rFonts w:ascii="Times New Roman" w:hAnsi="Times New Roman"/>
        </w:rPr>
        <w:t>网格布点方法。在补给区上游、中部、开采区布点。充分考虑污染源对地下水水质的潜在影响，优先在污染源区域下游布点，重点加强准保护区中内的加油站、畜禽养殖场、工业企业等污染源区域地下水环境监测。</w:t>
      </w:r>
    </w:p>
    <w:p>
      <w:pPr>
        <w:ind w:firstLine="560"/>
        <w:rPr>
          <w:rFonts w:ascii="Times New Roman" w:hAnsi="Times New Roman"/>
        </w:rPr>
      </w:pPr>
      <w:r>
        <w:rPr>
          <w:rFonts w:ascii="Times New Roman" w:hAnsi="Times New Roman"/>
        </w:rPr>
        <w:t>布点时应遵循以下原则：</w:t>
      </w:r>
    </w:p>
    <w:p>
      <w:pPr>
        <w:ind w:firstLine="560"/>
        <w:rPr>
          <w:rFonts w:ascii="Times New Roman" w:hAnsi="Times New Roman"/>
        </w:rPr>
      </w:pPr>
      <w:r>
        <w:rPr>
          <w:rFonts w:hint="eastAsia" w:ascii="宋体" w:hAnsi="宋体" w:eastAsia="宋体" w:cs="宋体"/>
        </w:rPr>
        <w:t>①</w:t>
      </w:r>
      <w:r>
        <w:rPr>
          <w:rFonts w:ascii="Times New Roman" w:hAnsi="Times New Roman"/>
        </w:rPr>
        <w:t>应可反映饮用水水源一级保护区内地下水水质总体状况，以地下水补给区、主径流带及已识别的污染区为监测重点，监测点可适当加密；</w:t>
      </w:r>
    </w:p>
    <w:p>
      <w:pPr>
        <w:ind w:firstLine="560"/>
        <w:rPr>
          <w:rFonts w:ascii="Times New Roman" w:hAnsi="Times New Roman"/>
        </w:rPr>
      </w:pPr>
      <w:r>
        <w:rPr>
          <w:rFonts w:hint="eastAsia" w:ascii="宋体" w:hAnsi="宋体" w:eastAsia="宋体" w:cs="宋体"/>
        </w:rPr>
        <w:t>②</w:t>
      </w:r>
      <w:r>
        <w:rPr>
          <w:rFonts w:ascii="Times New Roman" w:hAnsi="Times New Roman"/>
        </w:rPr>
        <w:t>以开采层为监测重点，存在多个含水层时，应在与目标含水层存在水力联系的含水层中布设监测点；将与地下水存在水力联系的地表水监测纳入监测范围；</w:t>
      </w:r>
    </w:p>
    <w:p>
      <w:pPr>
        <w:ind w:firstLine="560"/>
        <w:rPr>
          <w:rFonts w:ascii="Times New Roman" w:hAnsi="Times New Roman"/>
        </w:rPr>
      </w:pPr>
      <w:r>
        <w:rPr>
          <w:rFonts w:ascii="Times New Roman" w:hAnsi="Times New Roman"/>
        </w:rPr>
        <w:t>水源地监测点位数量：谢家店饮用水水源准保护区面积为13.076平方千米，建议水质监测点至少为</w:t>
      </w:r>
      <w:r>
        <w:rPr>
          <w:rFonts w:hint="eastAsia" w:ascii="Times New Roman" w:hAnsi="Times New Roman"/>
        </w:rPr>
        <w:t>3</w:t>
      </w:r>
      <w:r>
        <w:rPr>
          <w:rFonts w:ascii="Times New Roman" w:hAnsi="Times New Roman"/>
        </w:rPr>
        <w:t>个。</w:t>
      </w:r>
    </w:p>
    <w:p>
      <w:pPr>
        <w:ind w:firstLine="560"/>
        <w:rPr>
          <w:rFonts w:ascii="Times New Roman" w:hAnsi="Times New Roman"/>
        </w:rPr>
      </w:pPr>
      <w:r>
        <w:rPr>
          <w:rFonts w:ascii="Times New Roman" w:hAnsi="Times New Roman"/>
        </w:rPr>
        <w:t>（2）监测指标</w:t>
      </w:r>
    </w:p>
    <w:p>
      <w:pPr>
        <w:ind w:firstLine="560"/>
        <w:rPr>
          <w:rFonts w:ascii="Times New Roman" w:hAnsi="Times New Roman"/>
        </w:rPr>
      </w:pPr>
      <w:r>
        <w:rPr>
          <w:rFonts w:ascii="Times New Roman" w:hAnsi="Times New Roman"/>
        </w:rPr>
        <w:t>地下水常规监测指标为《地下水质量标准》（GB/T14848-2017）中pH值、总硬度、硫酸盐、氯化物、高锰酸盐、氨氮、氟化物、总大肠菌群、挥发酚、硝酸盐氮、亚硝酸盐氮、铁、锰、铜、锌、阴离子合成洗涤剂、氰化物、汞、砷、硒、镉、六价铬和铅等23项指标。</w:t>
      </w:r>
    </w:p>
    <w:p>
      <w:pPr>
        <w:ind w:firstLine="560"/>
        <w:rPr>
          <w:rFonts w:ascii="Times New Roman" w:hAnsi="Times New Roman"/>
        </w:rPr>
      </w:pPr>
      <w:r>
        <w:rPr>
          <w:rFonts w:ascii="Times New Roman" w:hAnsi="Times New Roman"/>
        </w:rPr>
        <w:t>全指标监测应为《地下水质量标准》（GB/T 14848-2017）中的所有项目。</w:t>
      </w:r>
    </w:p>
    <w:p>
      <w:pPr>
        <w:ind w:firstLine="560"/>
        <w:rPr>
          <w:rFonts w:ascii="Times New Roman" w:hAnsi="Times New Roman"/>
        </w:rPr>
      </w:pPr>
      <w:r>
        <w:rPr>
          <w:rFonts w:ascii="Times New Roman" w:hAnsi="Times New Roman"/>
        </w:rPr>
        <w:t>每年可定期开展包括《生活饮用水卫生标准》（GB 5749）中扣除消毒副产物所包含的监测指标。此项监测工作可以结合水厂水质监测进行。</w:t>
      </w:r>
    </w:p>
    <w:p>
      <w:pPr>
        <w:ind w:firstLine="560"/>
        <w:rPr>
          <w:rFonts w:ascii="Times New Roman" w:hAnsi="Times New Roman"/>
        </w:rPr>
      </w:pPr>
      <w:r>
        <w:rPr>
          <w:rFonts w:ascii="Times New Roman" w:hAnsi="Times New Roman"/>
        </w:rPr>
        <w:t>饮用水水源监控是实现饮用水水源动态管理的重要手段。尽快建立城乡集中式饮用水水源水质监测网。通过增加监测设备、开展监测人员技能培训等软硬件设施的建设，大力提升各城市的水源环境监测能力。以水源空间布局为核心，优化调整上游水环境监测网络。分析现有水环境监测点位，建立水源与上游水环境监测点位对应关系。优先设置超标水源上游县界水环境监测点位，理清超标水源污染责任，逐步掌控水源地上游来水及地下水水源补给区水质状况，减轻水源监测任务。城镇水源优先安装饮用水源自动（在线）监测设施，密切关注水源水质变化，提升风险防范能力及应急反应水平，结合不断更新的实验设备，开展监测分析方法研究，加强对标准物质供应的协调指导，保障饮用水源水质全指标分析及各项环节监测工作的顺利开展。</w:t>
      </w:r>
    </w:p>
    <w:p>
      <w:pPr>
        <w:ind w:firstLine="560"/>
        <w:rPr>
          <w:rFonts w:ascii="Times New Roman" w:hAnsi="Times New Roman"/>
        </w:rPr>
      </w:pPr>
      <w:r>
        <w:rPr>
          <w:rFonts w:ascii="Times New Roman" w:hAnsi="Times New Roman"/>
        </w:rPr>
        <w:t>针对谢家店水源地</w:t>
      </w:r>
      <w:r>
        <w:rPr>
          <w:rFonts w:hint="eastAsia" w:ascii="Times New Roman" w:hAnsi="Times New Roman"/>
        </w:rPr>
        <w:t>南部</w:t>
      </w:r>
      <w:r>
        <w:rPr>
          <w:rFonts w:ascii="Times New Roman" w:hAnsi="Times New Roman"/>
        </w:rPr>
        <w:t>补给区存在大面积基岩出露情况，应加强对</w:t>
      </w:r>
      <w:r>
        <w:rPr>
          <w:rFonts w:hint="eastAsia" w:ascii="Times New Roman" w:hAnsi="Times New Roman"/>
        </w:rPr>
        <w:t>基岩</w:t>
      </w:r>
      <w:r>
        <w:rPr>
          <w:rFonts w:ascii="Times New Roman" w:hAnsi="Times New Roman"/>
        </w:rPr>
        <w:t>出露区域的可能存在的污染源的风险防范，分析地下水水源地受到污染风险可能性大小，制定饮用水水源地水质污染应急事故处理预案，安装水质在线监测网络体系，在水源地设立水质长期监测点，明确专人具体负责，随时掌握地下水水质的变化状况，平时按正常频率进行监测，应急时期加密监测。当出现水质污染预兆时，及时发出预警预报信息，由相关部门根据事先拟定的应急预案，及时采取安全防护措施，减轻污染影响，保障饮用水水质安全。通过强化水源地建设，完善区域供水安全保障体系、饮用水安全监测系统和预警体系，制定水污染突发事故应急预案等措施，防范水源环境风险。</w:t>
      </w:r>
    </w:p>
    <w:p>
      <w:pPr>
        <w:ind w:firstLine="560"/>
        <w:rPr>
          <w:rFonts w:ascii="Times New Roman" w:hAnsi="Times New Roman"/>
        </w:rPr>
      </w:pPr>
      <w:r>
        <w:rPr>
          <w:rFonts w:ascii="Times New Roman" w:hAnsi="Times New Roman"/>
        </w:rPr>
        <w:t>饮用水水源保护区周边及上游各相关企业应根据各单位事故隐患状况制定应急预案并定期开展应急演练，不断完善应急管理制度，提升应急处置能力。同时各级政府也应加大突发环境事件的应急能力建设，根据实际情况编制切实可行的应急供水预案，重点放在应对突发性工业污染事故上，对发生事故的可能性、消除污染的应对措施以及应急供水等要进行全面详细的考虑。通过制定应急供水预案，水污染应急处置预案等措施，完善防控措施。</w:t>
      </w:r>
    </w:p>
    <w:p>
      <w:pPr>
        <w:pStyle w:val="25"/>
        <w:spacing w:before="190" w:after="190"/>
      </w:pPr>
      <w:bookmarkStart w:id="75" w:name="_Toc35526488"/>
      <w:r>
        <w:t>科学合理开发地下水资源</w:t>
      </w:r>
      <w:bookmarkEnd w:id="75"/>
    </w:p>
    <w:p>
      <w:pPr>
        <w:ind w:firstLine="560"/>
        <w:rPr>
          <w:rFonts w:ascii="Times New Roman" w:hAnsi="Times New Roman"/>
        </w:rPr>
      </w:pPr>
      <w:r>
        <w:rPr>
          <w:rFonts w:hint="eastAsia" w:ascii="Times New Roman" w:hAnsi="Times New Roman"/>
        </w:rPr>
        <w:t>谢家店水源地存在总硬度超标隐患，建议</w:t>
      </w:r>
      <w:r>
        <w:rPr>
          <w:rFonts w:ascii="Times New Roman" w:hAnsi="Times New Roman"/>
        </w:rPr>
        <w:t>严格地下水开发利用管理，防止由于地下水超采造成的水质恶化；通过水资源配置工程和节水、非常规水源利用等措施，逐步实现地下水超采区的禁采、限采及压采，达到采补平衡，保障水质安全稳定。科学实施地下水资源第一，地下水开发优先满足生活用水需求，兼顾工业和农业用水，做到优质优用，提高供水效益。加强对饮用水源开采层的地下水保护。加强对保护区内浅层地下水环境保护，强化地下水分层止水，防止地下水串层污染，完善淄博市博山区地下水污染防治区划。</w:t>
      </w:r>
    </w:p>
    <w:p>
      <w:pPr>
        <w:pStyle w:val="25"/>
        <w:spacing w:before="190" w:after="190"/>
      </w:pPr>
      <w:bookmarkStart w:id="76" w:name="_Toc35526489"/>
      <w:r>
        <w:t>全面推进水源环境基础设施建设</w:t>
      </w:r>
      <w:bookmarkEnd w:id="76"/>
    </w:p>
    <w:p>
      <w:pPr>
        <w:ind w:firstLine="560"/>
        <w:rPr>
          <w:rFonts w:ascii="Times New Roman" w:hAnsi="Times New Roman"/>
        </w:rPr>
      </w:pPr>
      <w:r>
        <w:rPr>
          <w:rFonts w:ascii="Times New Roman" w:hAnsi="Times New Roman"/>
        </w:rPr>
        <w:t>完善饮用水源地基础环境状况调查评估工作。针对博山区饮用水水源地每年开展评估工作，调查水源地基本信息、环境质量状况、污染源状况、风险应急状况、监测能力等方面内容，并给予博山区环境现状进行评估，优化水源地取水口布局。</w:t>
      </w:r>
    </w:p>
    <w:p>
      <w:pPr>
        <w:ind w:firstLine="560"/>
        <w:rPr>
          <w:rFonts w:ascii="Times New Roman" w:hAnsi="Times New Roman"/>
        </w:rPr>
      </w:pPr>
      <w:r>
        <w:rPr>
          <w:rFonts w:ascii="Times New Roman" w:hAnsi="Times New Roman"/>
        </w:rPr>
        <w:t>全面推进规范化饮用水水源地建设。参照《饮用水水源保护区标志技术要求》（HJ/T433-2008），加快推进饮用水水源保护区标志、警示隔离设施的规范建设，设置规范的保护区标识、地理界标、宣传牌、警示牌和危险化学品车辆禁行标志。开展定期巡查和日常维护，确保标识醒目、清洁、完好。地下水水源地沿整个一级陆域保护区边界设置隔离防护设施，限制与取水无关的人员进入一级保护区。</w:t>
      </w:r>
    </w:p>
    <w:p>
      <w:pPr>
        <w:ind w:firstLine="560"/>
        <w:rPr>
          <w:rFonts w:ascii="Times New Roman" w:hAnsi="Times New Roman"/>
        </w:rPr>
      </w:pPr>
      <w:r>
        <w:rPr>
          <w:rFonts w:ascii="Times New Roman" w:hAnsi="Times New Roman"/>
        </w:rPr>
        <w:t>完善饮用水水源地水源档案管理。博山区环境保护部门应建立集中式饮用水水源环境管理档案，档案的建立应遵循“一源一档、同时建立、同步更新”的原则，按照饮用水水源基本情况、环境质量状况和环境管理情况分为三类，同时同步建立电子版和纸质版的环境档案，对于有变动的饮用水水源相关内容须同步更新。</w:t>
      </w:r>
    </w:p>
    <w:p>
      <w:pPr>
        <w:pStyle w:val="25"/>
        <w:spacing w:before="190" w:after="190"/>
      </w:pPr>
      <w:bookmarkStart w:id="77" w:name="_Toc35526490"/>
      <w:r>
        <w:t>制定水源法律法规和保障措施</w:t>
      </w:r>
      <w:bookmarkEnd w:id="77"/>
    </w:p>
    <w:p>
      <w:pPr>
        <w:ind w:firstLine="560"/>
        <w:rPr>
          <w:rFonts w:ascii="Times New Roman" w:hAnsi="Times New Roman"/>
        </w:rPr>
      </w:pPr>
      <w:r>
        <w:rPr>
          <w:rFonts w:ascii="Times New Roman" w:hAnsi="Times New Roman"/>
        </w:rPr>
        <w:t>根据《环境保护法》、《水污染防治法》及《水法》等法律、法规，研究制定博山区饮用水源环境保护条例或办法，并通过博山区人民政府发布实施，明确责任分工，做到有法可依、执法必严、违法必究，保证各项水源法律法规等措施落实到位。</w:t>
      </w:r>
    </w:p>
    <w:p>
      <w:pPr>
        <w:ind w:firstLine="560"/>
        <w:rPr>
          <w:rFonts w:ascii="Times New Roman" w:hAnsi="Times New Roman"/>
        </w:rPr>
      </w:pPr>
      <w:r>
        <w:rPr>
          <w:rFonts w:ascii="Times New Roman" w:hAnsi="Times New Roman"/>
        </w:rPr>
        <w:t>健全饮用水水源环境保护相关规划。地下水水源是博山区的重要水源，仅仅依靠饮用水水源保护区内污染防治工作是不够的，从地下水系统角度，研究制定博山区地下水污染防治规划，切实保护好地下水源；研究制定博山区供水规划，合理利用地下水水源。</w:t>
      </w:r>
    </w:p>
    <w:p>
      <w:pPr>
        <w:ind w:firstLine="560"/>
        <w:rPr>
          <w:rFonts w:ascii="Times New Roman" w:hAnsi="Times New Roman"/>
        </w:rPr>
      </w:pPr>
      <w:r>
        <w:rPr>
          <w:rFonts w:ascii="Times New Roman" w:hAnsi="Times New Roman"/>
        </w:rPr>
        <w:t>明确责任分工。环保、发展改革、财政、水利、住房和建设、卫生、农业、国土等部门要按照各自的职能分工，各司其职、各负其责、密切配合、形成合力，加强对饮用水安全保障工作的组织、领导和协调，及时研究解决工作中存在的问题。将饮用水源保护工作纳入区县政府和单位、企业的考核目标。对在保护工作中做出显著成绩的单位和个人，由上级政府给予奖励；对忽视管理规定，造成污染事故的，进行依法追究和严肃处理</w:t>
      </w:r>
      <w:r>
        <w:rPr>
          <w:rFonts w:hint="eastAsia" w:ascii="Times New Roman" w:hAnsi="Times New Roman"/>
        </w:rPr>
        <w:t>。</w:t>
      </w:r>
    </w:p>
    <w:p>
      <w:pPr>
        <w:snapToGrid w:val="0"/>
        <w:ind w:firstLine="0" w:firstLineChars="0"/>
        <w:jc w:val="center"/>
        <w:rPr>
          <w:rFonts w:ascii="Times New Roman" w:hAnsi="Times New Roman"/>
          <w:b/>
          <w:sz w:val="24"/>
        </w:rPr>
      </w:pPr>
    </w:p>
    <w:p>
      <w:pPr>
        <w:snapToGrid w:val="0"/>
        <w:ind w:firstLine="0" w:firstLineChars="0"/>
        <w:jc w:val="center"/>
        <w:rPr>
          <w:rFonts w:ascii="Times New Roman" w:hAnsi="Times New Roman"/>
          <w:b/>
          <w:sz w:val="24"/>
        </w:rPr>
      </w:pPr>
    </w:p>
    <w:p>
      <w:pPr>
        <w:snapToGrid w:val="0"/>
        <w:ind w:firstLine="0" w:firstLineChars="0"/>
        <w:jc w:val="center"/>
        <w:rPr>
          <w:rFonts w:ascii="Times New Roman" w:hAnsi="Times New Roman"/>
          <w:b/>
          <w:sz w:val="24"/>
        </w:rPr>
      </w:pPr>
    </w:p>
    <w:p>
      <w:pPr>
        <w:snapToGrid w:val="0"/>
        <w:ind w:firstLine="0" w:firstLineChars="0"/>
        <w:jc w:val="center"/>
        <w:rPr>
          <w:rFonts w:ascii="Times New Roman" w:hAnsi="Times New Roman"/>
          <w:b/>
          <w:sz w:val="24"/>
        </w:rPr>
        <w:sectPr>
          <w:pgSz w:w="11906" w:h="16838"/>
          <w:pgMar w:top="1440" w:right="1800" w:bottom="1440" w:left="1800" w:header="851" w:footer="992" w:gutter="0"/>
          <w:cols w:space="425" w:num="1"/>
          <w:docGrid w:type="lines" w:linePitch="381" w:charSpace="0"/>
        </w:sectPr>
      </w:pPr>
    </w:p>
    <w:p>
      <w:pPr>
        <w:pStyle w:val="2"/>
        <w:numPr>
          <w:ilvl w:val="0"/>
          <w:numId w:val="1"/>
        </w:numPr>
        <w:spacing w:before="120" w:after="120" w:line="360" w:lineRule="auto"/>
        <w:ind w:left="715" w:hanging="432" w:firstLineChars="0"/>
        <w:jc w:val="center"/>
        <w:rPr>
          <w:rFonts w:hAnsi="Times New Roman"/>
        </w:rPr>
      </w:pPr>
      <w:bookmarkStart w:id="78" w:name="_Toc35526491"/>
      <w:r>
        <w:rPr>
          <w:rFonts w:hAnsi="Times New Roman"/>
        </w:rPr>
        <w:t>饮用水水源保护区建设投资估算</w:t>
      </w:r>
      <w:bookmarkEnd w:id="78"/>
    </w:p>
    <w:p>
      <w:pPr>
        <w:pStyle w:val="27"/>
        <w:spacing w:before="190" w:after="190"/>
      </w:pPr>
      <w:r>
        <w:rPr>
          <w:rFonts w:hint="eastAsia"/>
        </w:rPr>
        <w:t xml:space="preserve"> </w:t>
      </w:r>
      <w:bookmarkStart w:id="79" w:name="_Toc35526492"/>
      <w:r>
        <w:rPr>
          <w:rFonts w:hint="eastAsia"/>
        </w:rPr>
        <w:t>保护区规范化建设项目投资估算</w:t>
      </w:r>
      <w:bookmarkEnd w:id="79"/>
    </w:p>
    <w:p>
      <w:pPr>
        <w:ind w:firstLine="560"/>
      </w:pPr>
      <w:r>
        <w:rPr>
          <w:rFonts w:hint="eastAsia"/>
        </w:rPr>
        <w:t>为做好谢家店饮用水水源规范化建设工作，开展谢家店水源地一级保护区综合整治工作，工作主要包含设置保护区界标、交通警示牌和宣传牌等标志牌，建设隔离防护工程、建设生态防护林及清理保护区范围的垃圾，具体情况：设置保护区界标，突出饮用水源保护区范围，强化宣传，共设置保护区界标17个，其中一级保护区8个，准保护区9个，总共投资</w:t>
      </w:r>
      <w:r>
        <w:t>5.2</w:t>
      </w:r>
      <w:r>
        <w:rPr>
          <w:rFonts w:hint="eastAsia"/>
        </w:rPr>
        <w:t>万元；围网建设，为防止在取水口附近进行人为活动或其它影响水质的行为，在一级保护区边界参考高速公路隔离网设计，长约</w:t>
      </w:r>
      <w:r>
        <w:t xml:space="preserve"> </w:t>
      </w:r>
      <w:r>
        <w:rPr>
          <w:rFonts w:hint="eastAsia"/>
        </w:rPr>
        <w:t>1500米，总共投资15万元；建成生态防护林，在一级保护区范围内构建第一道优良的生态屏障，总植树造林面积10000平方米，共投资40万元；一级保护区范围综合整治（清理垃圾），总共投资3</w:t>
      </w:r>
      <w:r>
        <w:t>0</w:t>
      </w:r>
      <w:r>
        <w:rPr>
          <w:rFonts w:hint="eastAsia"/>
        </w:rPr>
        <w:t>万元。</w:t>
      </w:r>
    </w:p>
    <w:p>
      <w:pPr>
        <w:ind w:firstLine="562"/>
        <w:jc w:val="center"/>
        <w:rPr>
          <w:b/>
        </w:rPr>
      </w:pPr>
      <w:r>
        <w:rPr>
          <w:rFonts w:hint="eastAsia"/>
          <w:b/>
        </w:rPr>
        <w:t>表5-1  规范化建设工程投资估算一览表</w:t>
      </w:r>
    </w:p>
    <w:tbl>
      <w:tblPr>
        <w:tblStyle w:val="15"/>
        <w:tblW w:w="8794"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2"/>
        <w:gridCol w:w="2375"/>
        <w:gridCol w:w="993"/>
        <w:gridCol w:w="992"/>
        <w:gridCol w:w="1276"/>
        <w:gridCol w:w="1275"/>
        <w:gridCol w:w="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103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编号</w:t>
            </w:r>
          </w:p>
        </w:tc>
        <w:tc>
          <w:tcPr>
            <w:tcW w:w="2375"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工程名称</w:t>
            </w:r>
          </w:p>
        </w:tc>
        <w:tc>
          <w:tcPr>
            <w:tcW w:w="993"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单位</w:t>
            </w:r>
          </w:p>
        </w:tc>
        <w:tc>
          <w:tcPr>
            <w:tcW w:w="992" w:type="dxa"/>
            <w:shd w:val="clear" w:color="auto" w:fill="auto"/>
            <w:vAlign w:val="center"/>
          </w:tcPr>
          <w:p>
            <w:pPr>
              <w:widowControl/>
              <w:spacing w:line="240" w:lineRule="auto"/>
              <w:ind w:firstLine="0" w:firstLineChars="0"/>
              <w:jc w:val="center"/>
              <w:rPr>
                <w:rFonts w:ascii="黑体" w:hAnsi="黑体" w:eastAsia="黑体" w:cs="宋体"/>
                <w:color w:val="000000"/>
                <w:kern w:val="0"/>
                <w:sz w:val="21"/>
                <w:szCs w:val="21"/>
              </w:rPr>
            </w:pPr>
            <w:r>
              <w:rPr>
                <w:rFonts w:hint="eastAsia" w:ascii="黑体" w:hAnsi="黑体" w:eastAsia="黑体" w:cs="宋体"/>
                <w:color w:val="000000"/>
                <w:kern w:val="0"/>
                <w:sz w:val="21"/>
                <w:szCs w:val="21"/>
              </w:rPr>
              <w:t>数量</w:t>
            </w:r>
          </w:p>
        </w:tc>
        <w:tc>
          <w:tcPr>
            <w:tcW w:w="1276" w:type="dxa"/>
            <w:shd w:val="clear" w:color="auto" w:fill="auto"/>
            <w:vAlign w:val="center"/>
          </w:tcPr>
          <w:p>
            <w:pPr>
              <w:widowControl/>
              <w:spacing w:line="240" w:lineRule="auto"/>
              <w:ind w:firstLine="0" w:firstLineChars="0"/>
              <w:jc w:val="center"/>
              <w:rPr>
                <w:rFonts w:ascii="黑体" w:hAnsi="黑体" w:eastAsia="黑体" w:cs="宋体"/>
                <w:color w:val="000000"/>
                <w:kern w:val="0"/>
                <w:sz w:val="21"/>
                <w:szCs w:val="21"/>
              </w:rPr>
            </w:pPr>
            <w:r>
              <w:rPr>
                <w:rFonts w:hint="eastAsia" w:ascii="黑体" w:hAnsi="黑体" w:eastAsia="黑体" w:cs="宋体"/>
                <w:color w:val="000000"/>
                <w:kern w:val="0"/>
                <w:sz w:val="21"/>
                <w:szCs w:val="21"/>
              </w:rPr>
              <w:t>单价</w:t>
            </w:r>
            <w:r>
              <w:rPr>
                <w:rFonts w:ascii="黑体" w:hAnsi="黑体" w:eastAsia="黑体"/>
                <w:color w:val="000000"/>
                <w:kern w:val="0"/>
                <w:sz w:val="21"/>
                <w:szCs w:val="21"/>
              </w:rPr>
              <w:t>(</w:t>
            </w:r>
            <w:r>
              <w:rPr>
                <w:rFonts w:hint="eastAsia" w:ascii="黑体" w:hAnsi="黑体" w:eastAsia="黑体" w:cs="宋体"/>
                <w:color w:val="000000"/>
                <w:kern w:val="0"/>
                <w:sz w:val="21"/>
                <w:szCs w:val="21"/>
              </w:rPr>
              <w:t>万元</w:t>
            </w:r>
            <w:r>
              <w:rPr>
                <w:rFonts w:ascii="黑体" w:hAnsi="黑体" w:eastAsia="黑体"/>
                <w:color w:val="000000"/>
                <w:kern w:val="0"/>
                <w:sz w:val="21"/>
                <w:szCs w:val="21"/>
              </w:rPr>
              <w:t>)</w:t>
            </w:r>
          </w:p>
        </w:tc>
        <w:tc>
          <w:tcPr>
            <w:tcW w:w="1275" w:type="dxa"/>
            <w:shd w:val="clear" w:color="auto" w:fill="auto"/>
            <w:vAlign w:val="center"/>
          </w:tcPr>
          <w:p>
            <w:pPr>
              <w:widowControl/>
              <w:spacing w:line="240" w:lineRule="auto"/>
              <w:ind w:firstLine="0" w:firstLineChars="0"/>
              <w:jc w:val="center"/>
              <w:rPr>
                <w:rFonts w:ascii="黑体" w:hAnsi="黑体" w:eastAsia="黑体" w:cs="宋体"/>
                <w:color w:val="000000"/>
                <w:kern w:val="0"/>
                <w:sz w:val="21"/>
                <w:szCs w:val="21"/>
              </w:rPr>
            </w:pPr>
            <w:r>
              <w:rPr>
                <w:rFonts w:hint="eastAsia" w:ascii="黑体" w:hAnsi="黑体" w:eastAsia="黑体" w:cs="宋体"/>
                <w:color w:val="000000"/>
                <w:kern w:val="0"/>
                <w:sz w:val="21"/>
                <w:szCs w:val="21"/>
              </w:rPr>
              <w:t>合价</w:t>
            </w:r>
            <w:r>
              <w:rPr>
                <w:rFonts w:ascii="黑体" w:hAnsi="黑体" w:eastAsia="黑体"/>
                <w:color w:val="000000"/>
                <w:kern w:val="0"/>
                <w:sz w:val="21"/>
                <w:szCs w:val="21"/>
              </w:rPr>
              <w:t>(</w:t>
            </w:r>
            <w:r>
              <w:rPr>
                <w:rFonts w:hint="eastAsia" w:ascii="黑体" w:hAnsi="黑体" w:eastAsia="黑体" w:cs="宋体"/>
                <w:color w:val="000000"/>
                <w:kern w:val="0"/>
                <w:sz w:val="21"/>
                <w:szCs w:val="21"/>
              </w:rPr>
              <w:t>万元</w:t>
            </w:r>
            <w:r>
              <w:rPr>
                <w:rFonts w:ascii="黑体" w:hAnsi="黑体" w:eastAsia="黑体"/>
                <w:color w:val="000000"/>
                <w:kern w:val="0"/>
                <w:sz w:val="21"/>
                <w:szCs w:val="21"/>
              </w:rPr>
              <w:t>)</w:t>
            </w:r>
          </w:p>
        </w:tc>
        <w:tc>
          <w:tcPr>
            <w:tcW w:w="851" w:type="dxa"/>
            <w:shd w:val="clear" w:color="auto" w:fill="auto"/>
            <w:vAlign w:val="center"/>
          </w:tcPr>
          <w:p>
            <w:pPr>
              <w:widowControl/>
              <w:spacing w:line="240" w:lineRule="auto"/>
              <w:ind w:firstLine="0" w:firstLineChars="0"/>
              <w:jc w:val="center"/>
              <w:rPr>
                <w:rFonts w:ascii="黑体" w:hAnsi="黑体" w:eastAsia="黑体" w:cs="宋体"/>
                <w:color w:val="000000"/>
                <w:kern w:val="0"/>
                <w:sz w:val="21"/>
                <w:szCs w:val="21"/>
              </w:rPr>
            </w:pPr>
            <w:r>
              <w:rPr>
                <w:rFonts w:hint="eastAsia" w:ascii="黑体" w:hAnsi="黑体" w:eastAsia="黑体" w:cs="宋体"/>
                <w:color w:val="00000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103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一</w:t>
            </w:r>
          </w:p>
        </w:tc>
        <w:tc>
          <w:tcPr>
            <w:tcW w:w="2375" w:type="dxa"/>
            <w:shd w:val="clear" w:color="auto" w:fill="auto"/>
            <w:noWrap/>
            <w:vAlign w:val="bottom"/>
          </w:tcPr>
          <w:p>
            <w:pPr>
              <w:widowControl/>
              <w:spacing w:line="240" w:lineRule="auto"/>
              <w:ind w:firstLine="0" w:firstLineChars="0"/>
              <w:jc w:val="center"/>
              <w:rPr>
                <w:rFonts w:ascii="黑体" w:hAnsi="黑体" w:eastAsia="黑体"/>
                <w:color w:val="000000"/>
                <w:kern w:val="0"/>
                <w:sz w:val="22"/>
              </w:rPr>
            </w:pPr>
            <w:r>
              <w:rPr>
                <w:rFonts w:hint="eastAsia" w:ascii="黑体" w:hAnsi="黑体" w:eastAsia="黑体"/>
                <w:color w:val="000000"/>
                <w:kern w:val="0"/>
                <w:sz w:val="22"/>
              </w:rPr>
              <w:t>标志设置</w:t>
            </w:r>
          </w:p>
        </w:tc>
        <w:tc>
          <w:tcPr>
            <w:tcW w:w="993"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c>
          <w:tcPr>
            <w:tcW w:w="99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c>
          <w:tcPr>
            <w:tcW w:w="1276"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c>
          <w:tcPr>
            <w:tcW w:w="1275"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ascii="黑体" w:hAnsi="黑体" w:eastAsia="黑体"/>
                <w:color w:val="000000"/>
                <w:kern w:val="0"/>
                <w:sz w:val="21"/>
                <w:szCs w:val="21"/>
              </w:rPr>
              <w:t>5.2</w:t>
            </w:r>
          </w:p>
        </w:tc>
        <w:tc>
          <w:tcPr>
            <w:tcW w:w="851"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103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1</w:t>
            </w:r>
          </w:p>
        </w:tc>
        <w:tc>
          <w:tcPr>
            <w:tcW w:w="2375"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设置保护区界标17个</w:t>
            </w:r>
          </w:p>
        </w:tc>
        <w:tc>
          <w:tcPr>
            <w:tcW w:w="993"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个</w:t>
            </w:r>
          </w:p>
        </w:tc>
        <w:tc>
          <w:tcPr>
            <w:tcW w:w="99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17</w:t>
            </w:r>
          </w:p>
        </w:tc>
        <w:tc>
          <w:tcPr>
            <w:tcW w:w="1276"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ascii="黑体" w:hAnsi="黑体" w:eastAsia="黑体"/>
                <w:color w:val="000000"/>
                <w:kern w:val="0"/>
                <w:sz w:val="21"/>
                <w:szCs w:val="21"/>
              </w:rPr>
              <w:t>0.2</w:t>
            </w:r>
          </w:p>
        </w:tc>
        <w:tc>
          <w:tcPr>
            <w:tcW w:w="1275" w:type="dxa"/>
            <w:shd w:val="clear" w:color="auto" w:fill="auto"/>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3.</w:t>
            </w:r>
            <w:r>
              <w:rPr>
                <w:rFonts w:ascii="黑体" w:hAnsi="黑体" w:eastAsia="黑体"/>
                <w:color w:val="000000"/>
                <w:kern w:val="0"/>
                <w:sz w:val="21"/>
                <w:szCs w:val="21"/>
              </w:rPr>
              <w:t>4</w:t>
            </w:r>
          </w:p>
        </w:tc>
        <w:tc>
          <w:tcPr>
            <w:tcW w:w="851"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103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2</w:t>
            </w:r>
          </w:p>
        </w:tc>
        <w:tc>
          <w:tcPr>
            <w:tcW w:w="2375"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交通警示牌5个</w:t>
            </w:r>
          </w:p>
        </w:tc>
        <w:tc>
          <w:tcPr>
            <w:tcW w:w="993"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个</w:t>
            </w:r>
          </w:p>
        </w:tc>
        <w:tc>
          <w:tcPr>
            <w:tcW w:w="99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5</w:t>
            </w:r>
          </w:p>
        </w:tc>
        <w:tc>
          <w:tcPr>
            <w:tcW w:w="1276"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ascii="黑体" w:hAnsi="黑体" w:eastAsia="黑体"/>
                <w:color w:val="000000"/>
                <w:kern w:val="0"/>
                <w:sz w:val="21"/>
                <w:szCs w:val="21"/>
              </w:rPr>
              <w:t>0.2</w:t>
            </w:r>
          </w:p>
        </w:tc>
        <w:tc>
          <w:tcPr>
            <w:tcW w:w="1275" w:type="dxa"/>
            <w:shd w:val="clear" w:color="auto" w:fill="auto"/>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1</w:t>
            </w:r>
          </w:p>
        </w:tc>
        <w:tc>
          <w:tcPr>
            <w:tcW w:w="851"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103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3</w:t>
            </w:r>
          </w:p>
        </w:tc>
        <w:tc>
          <w:tcPr>
            <w:tcW w:w="2375"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宣传牌4个</w:t>
            </w:r>
          </w:p>
        </w:tc>
        <w:tc>
          <w:tcPr>
            <w:tcW w:w="993"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个</w:t>
            </w:r>
          </w:p>
        </w:tc>
        <w:tc>
          <w:tcPr>
            <w:tcW w:w="99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4</w:t>
            </w:r>
          </w:p>
        </w:tc>
        <w:tc>
          <w:tcPr>
            <w:tcW w:w="1276"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ascii="黑体" w:hAnsi="黑体" w:eastAsia="黑体"/>
                <w:color w:val="000000"/>
                <w:kern w:val="0"/>
                <w:sz w:val="21"/>
                <w:szCs w:val="21"/>
              </w:rPr>
              <w:t>0.2</w:t>
            </w:r>
          </w:p>
        </w:tc>
        <w:tc>
          <w:tcPr>
            <w:tcW w:w="1275" w:type="dxa"/>
            <w:shd w:val="clear" w:color="auto" w:fill="auto"/>
          </w:tcPr>
          <w:p>
            <w:pPr>
              <w:widowControl/>
              <w:spacing w:line="240" w:lineRule="auto"/>
              <w:ind w:firstLine="0" w:firstLineChars="0"/>
              <w:jc w:val="center"/>
              <w:rPr>
                <w:rFonts w:ascii="黑体" w:hAnsi="黑体" w:eastAsia="黑体"/>
                <w:color w:val="000000"/>
                <w:kern w:val="0"/>
                <w:sz w:val="21"/>
                <w:szCs w:val="21"/>
              </w:rPr>
            </w:pPr>
            <w:r>
              <w:rPr>
                <w:rFonts w:ascii="黑体" w:hAnsi="黑体" w:eastAsia="黑体"/>
                <w:color w:val="000000"/>
                <w:kern w:val="0"/>
                <w:sz w:val="21"/>
                <w:szCs w:val="21"/>
              </w:rPr>
              <w:t>0.</w:t>
            </w:r>
            <w:r>
              <w:rPr>
                <w:rFonts w:hint="eastAsia" w:ascii="黑体" w:hAnsi="黑体" w:eastAsia="黑体"/>
                <w:color w:val="000000"/>
                <w:kern w:val="0"/>
                <w:sz w:val="21"/>
                <w:szCs w:val="21"/>
              </w:rPr>
              <w:t>8</w:t>
            </w:r>
          </w:p>
        </w:tc>
        <w:tc>
          <w:tcPr>
            <w:tcW w:w="851"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103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二</w:t>
            </w:r>
          </w:p>
        </w:tc>
        <w:tc>
          <w:tcPr>
            <w:tcW w:w="2375"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一级保护区隔离防护</w:t>
            </w:r>
          </w:p>
        </w:tc>
        <w:tc>
          <w:tcPr>
            <w:tcW w:w="993"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c>
          <w:tcPr>
            <w:tcW w:w="99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c>
          <w:tcPr>
            <w:tcW w:w="1276"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c>
          <w:tcPr>
            <w:tcW w:w="1275"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5</w:t>
            </w:r>
            <w:r>
              <w:rPr>
                <w:rFonts w:ascii="黑体" w:hAnsi="黑体" w:eastAsia="黑体"/>
                <w:color w:val="000000"/>
                <w:kern w:val="0"/>
                <w:sz w:val="21"/>
                <w:szCs w:val="21"/>
              </w:rPr>
              <w:t>5</w:t>
            </w:r>
          </w:p>
        </w:tc>
        <w:tc>
          <w:tcPr>
            <w:tcW w:w="851"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103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1</w:t>
            </w:r>
          </w:p>
        </w:tc>
        <w:tc>
          <w:tcPr>
            <w:tcW w:w="2375"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围栏、围网</w:t>
            </w:r>
          </w:p>
        </w:tc>
        <w:tc>
          <w:tcPr>
            <w:tcW w:w="993"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米</w:t>
            </w:r>
          </w:p>
        </w:tc>
        <w:tc>
          <w:tcPr>
            <w:tcW w:w="99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15</w:t>
            </w:r>
            <w:r>
              <w:rPr>
                <w:rFonts w:ascii="黑体" w:hAnsi="黑体" w:eastAsia="黑体"/>
                <w:color w:val="000000"/>
                <w:kern w:val="0"/>
                <w:sz w:val="21"/>
                <w:szCs w:val="21"/>
              </w:rPr>
              <w:t>00</w:t>
            </w:r>
          </w:p>
        </w:tc>
        <w:tc>
          <w:tcPr>
            <w:tcW w:w="1276"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ascii="黑体" w:hAnsi="黑体" w:eastAsia="黑体"/>
                <w:color w:val="000000"/>
                <w:kern w:val="0"/>
                <w:sz w:val="21"/>
                <w:szCs w:val="21"/>
              </w:rPr>
              <w:t>0.01</w:t>
            </w:r>
          </w:p>
        </w:tc>
        <w:tc>
          <w:tcPr>
            <w:tcW w:w="1275" w:type="dxa"/>
            <w:shd w:val="clear" w:color="auto" w:fill="auto"/>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15</w:t>
            </w:r>
          </w:p>
        </w:tc>
        <w:tc>
          <w:tcPr>
            <w:tcW w:w="851"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103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2</w:t>
            </w:r>
          </w:p>
        </w:tc>
        <w:tc>
          <w:tcPr>
            <w:tcW w:w="2375"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生态防护林</w:t>
            </w:r>
          </w:p>
        </w:tc>
        <w:tc>
          <w:tcPr>
            <w:tcW w:w="993"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平方米</w:t>
            </w:r>
          </w:p>
        </w:tc>
        <w:tc>
          <w:tcPr>
            <w:tcW w:w="99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1</w:t>
            </w:r>
            <w:r>
              <w:rPr>
                <w:rFonts w:ascii="黑体" w:hAnsi="黑体" w:eastAsia="黑体"/>
                <w:color w:val="000000"/>
                <w:kern w:val="0"/>
                <w:sz w:val="21"/>
                <w:szCs w:val="21"/>
              </w:rPr>
              <w:t>000</w:t>
            </w:r>
            <w:r>
              <w:rPr>
                <w:rFonts w:hint="eastAsia" w:ascii="黑体" w:hAnsi="黑体" w:eastAsia="黑体"/>
                <w:color w:val="000000"/>
                <w:kern w:val="0"/>
                <w:sz w:val="21"/>
                <w:szCs w:val="21"/>
              </w:rPr>
              <w:t>0</w:t>
            </w:r>
          </w:p>
        </w:tc>
        <w:tc>
          <w:tcPr>
            <w:tcW w:w="1276"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ascii="黑体" w:hAnsi="黑体" w:eastAsia="黑体"/>
                <w:color w:val="000000"/>
                <w:kern w:val="0"/>
                <w:sz w:val="21"/>
                <w:szCs w:val="21"/>
              </w:rPr>
              <w:t>0.004</w:t>
            </w:r>
          </w:p>
        </w:tc>
        <w:tc>
          <w:tcPr>
            <w:tcW w:w="1275" w:type="dxa"/>
            <w:shd w:val="clear" w:color="auto" w:fill="auto"/>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40</w:t>
            </w:r>
          </w:p>
        </w:tc>
        <w:tc>
          <w:tcPr>
            <w:tcW w:w="851"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103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三</w:t>
            </w:r>
          </w:p>
        </w:tc>
        <w:tc>
          <w:tcPr>
            <w:tcW w:w="2375"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保护区综合整治工程</w:t>
            </w:r>
          </w:p>
        </w:tc>
        <w:tc>
          <w:tcPr>
            <w:tcW w:w="993"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c>
          <w:tcPr>
            <w:tcW w:w="99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c>
          <w:tcPr>
            <w:tcW w:w="1276"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c>
          <w:tcPr>
            <w:tcW w:w="1275"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3</w:t>
            </w:r>
            <w:r>
              <w:rPr>
                <w:rFonts w:ascii="黑体" w:hAnsi="黑体" w:eastAsia="黑体"/>
                <w:color w:val="000000"/>
                <w:kern w:val="0"/>
                <w:sz w:val="21"/>
                <w:szCs w:val="21"/>
              </w:rPr>
              <w:t>0</w:t>
            </w:r>
          </w:p>
        </w:tc>
        <w:tc>
          <w:tcPr>
            <w:tcW w:w="851"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103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1</w:t>
            </w:r>
          </w:p>
        </w:tc>
        <w:tc>
          <w:tcPr>
            <w:tcW w:w="2375"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一级保护区内垃圾清理</w:t>
            </w:r>
          </w:p>
        </w:tc>
        <w:tc>
          <w:tcPr>
            <w:tcW w:w="993"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c>
          <w:tcPr>
            <w:tcW w:w="99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c>
          <w:tcPr>
            <w:tcW w:w="1276"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c>
          <w:tcPr>
            <w:tcW w:w="1275"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3</w:t>
            </w:r>
            <w:r>
              <w:rPr>
                <w:rFonts w:ascii="黑体" w:hAnsi="黑体" w:eastAsia="黑体"/>
                <w:color w:val="000000"/>
                <w:kern w:val="0"/>
                <w:sz w:val="21"/>
                <w:szCs w:val="21"/>
              </w:rPr>
              <w:t>0</w:t>
            </w:r>
          </w:p>
        </w:tc>
        <w:tc>
          <w:tcPr>
            <w:tcW w:w="851"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103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c>
          <w:tcPr>
            <w:tcW w:w="2375"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hint="eastAsia" w:ascii="黑体" w:hAnsi="黑体" w:eastAsia="黑体"/>
                <w:color w:val="000000"/>
                <w:kern w:val="0"/>
                <w:sz w:val="21"/>
                <w:szCs w:val="21"/>
              </w:rPr>
              <w:t>合计</w:t>
            </w:r>
          </w:p>
        </w:tc>
        <w:tc>
          <w:tcPr>
            <w:tcW w:w="993"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c>
          <w:tcPr>
            <w:tcW w:w="992"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c>
          <w:tcPr>
            <w:tcW w:w="1276"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c>
          <w:tcPr>
            <w:tcW w:w="1275"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r>
              <w:rPr>
                <w:rFonts w:ascii="黑体" w:hAnsi="黑体" w:eastAsia="黑体"/>
                <w:color w:val="000000"/>
                <w:kern w:val="0"/>
                <w:sz w:val="21"/>
                <w:szCs w:val="21"/>
              </w:rPr>
              <w:t>90</w:t>
            </w:r>
            <w:r>
              <w:rPr>
                <w:rFonts w:hint="eastAsia" w:ascii="黑体" w:hAnsi="黑体" w:eastAsia="黑体"/>
                <w:color w:val="000000"/>
                <w:kern w:val="0"/>
                <w:sz w:val="21"/>
                <w:szCs w:val="21"/>
              </w:rPr>
              <w:t>.</w:t>
            </w:r>
            <w:r>
              <w:rPr>
                <w:rFonts w:ascii="黑体" w:hAnsi="黑体" w:eastAsia="黑体"/>
                <w:color w:val="000000"/>
                <w:kern w:val="0"/>
                <w:sz w:val="21"/>
                <w:szCs w:val="21"/>
              </w:rPr>
              <w:t>2</w:t>
            </w:r>
          </w:p>
        </w:tc>
        <w:tc>
          <w:tcPr>
            <w:tcW w:w="851" w:type="dxa"/>
            <w:shd w:val="clear" w:color="auto" w:fill="auto"/>
            <w:vAlign w:val="center"/>
          </w:tcPr>
          <w:p>
            <w:pPr>
              <w:widowControl/>
              <w:spacing w:line="240" w:lineRule="auto"/>
              <w:ind w:firstLine="0" w:firstLineChars="0"/>
              <w:jc w:val="center"/>
              <w:rPr>
                <w:rFonts w:ascii="黑体" w:hAnsi="黑体" w:eastAsia="黑体"/>
                <w:color w:val="000000"/>
                <w:kern w:val="0"/>
                <w:sz w:val="21"/>
                <w:szCs w:val="21"/>
              </w:rPr>
            </w:pPr>
          </w:p>
        </w:tc>
      </w:tr>
    </w:tbl>
    <w:p>
      <w:pPr>
        <w:snapToGrid w:val="0"/>
        <w:ind w:firstLine="0" w:firstLineChars="0"/>
        <w:jc w:val="center"/>
        <w:rPr>
          <w:rFonts w:ascii="Times New Roman" w:hAnsi="Times New Roman"/>
          <w:b/>
          <w:sz w:val="24"/>
        </w:rPr>
      </w:pPr>
      <w:r>
        <w:t xml:space="preserve"> </w:t>
      </w:r>
    </w:p>
    <w:p>
      <w:pPr>
        <w:pStyle w:val="27"/>
        <w:spacing w:before="190" w:after="190"/>
      </w:pPr>
      <w:bookmarkStart w:id="80" w:name="_Toc525051597"/>
      <w:bookmarkStart w:id="81" w:name="_Toc35526493"/>
      <w:r>
        <w:rPr>
          <w:rFonts w:hint="eastAsia"/>
        </w:rPr>
        <w:t>规范化建设项目达标的可行性分析</w:t>
      </w:r>
      <w:bookmarkEnd w:id="80"/>
      <w:bookmarkEnd w:id="81"/>
    </w:p>
    <w:p>
      <w:pPr>
        <w:ind w:firstLine="560"/>
      </w:pPr>
      <w:r>
        <w:rPr>
          <w:rFonts w:hint="eastAsia"/>
        </w:rPr>
        <w:t>规范化建设项目主要针对水源地的环境保护、风险防控、标识建设、水质稳定达标等内容进行，</w:t>
      </w:r>
      <w:r>
        <w:rPr>
          <w:w w:val="99"/>
        </w:rPr>
        <w:t>可减少保护区内人为活动对水源地的</w:t>
      </w:r>
      <w:r>
        <w:rPr>
          <w:spacing w:val="1"/>
          <w:w w:val="99"/>
        </w:rPr>
        <w:t>影</w:t>
      </w:r>
      <w:r>
        <w:rPr>
          <w:w w:val="99"/>
        </w:rPr>
        <w:t>响，降低饮用水源水质安全风险。</w:t>
      </w:r>
      <w:r>
        <w:rPr>
          <w:rFonts w:hint="eastAsia"/>
        </w:rPr>
        <w:t>建设项目对水源地上水质及生态保护起到积极的作用，</w:t>
      </w:r>
      <w:r>
        <w:rPr>
          <w:w w:val="99"/>
        </w:rPr>
        <w:t>对水源地的保护工作起到很好的宣传和促进作</w:t>
      </w:r>
      <w:r>
        <w:rPr>
          <w:spacing w:val="-40"/>
          <w:w w:val="99"/>
        </w:rPr>
        <w:t>用</w:t>
      </w:r>
      <w:r>
        <w:rPr>
          <w:w w:val="99"/>
        </w:rPr>
        <w:t>。</w:t>
      </w:r>
    </w:p>
    <w:p>
      <w:pPr>
        <w:ind w:firstLine="560"/>
      </w:pPr>
      <w:r>
        <w:rPr>
          <w:rFonts w:hint="eastAsia"/>
        </w:rPr>
        <w:t>博山区谢家店饮用水水源保护区规范化建设项目合计投资</w:t>
      </w:r>
      <w:r>
        <w:rPr>
          <w:rFonts w:ascii="Times New Roman" w:hAnsi="Times New Roman"/>
        </w:rPr>
        <w:t>90.2</w:t>
      </w:r>
      <w:r>
        <w:rPr>
          <w:rFonts w:hint="eastAsia"/>
        </w:rPr>
        <w:t>万元，投资由国家专项资金、地方自筹以及运营企业投资等组成，投资是可以接受的。</w:t>
      </w:r>
    </w:p>
    <w:p>
      <w:pPr>
        <w:snapToGrid w:val="0"/>
        <w:ind w:firstLine="0" w:firstLineChars="0"/>
        <w:jc w:val="center"/>
        <w:rPr>
          <w:rFonts w:ascii="Times New Roman" w:hAnsi="Times New Roman"/>
          <w:b/>
          <w:sz w:val="24"/>
        </w:rPr>
      </w:pPr>
    </w:p>
    <w:p>
      <w:pPr>
        <w:snapToGrid w:val="0"/>
        <w:ind w:firstLine="0" w:firstLineChars="0"/>
        <w:jc w:val="center"/>
        <w:rPr>
          <w:rFonts w:ascii="Times New Roman" w:hAnsi="Times New Roman"/>
          <w:b/>
          <w:sz w:val="24"/>
        </w:rPr>
      </w:pPr>
    </w:p>
    <w:p>
      <w:pPr>
        <w:snapToGrid w:val="0"/>
        <w:ind w:firstLine="0" w:firstLineChars="0"/>
        <w:jc w:val="center"/>
        <w:rPr>
          <w:rFonts w:ascii="Times New Roman" w:hAnsi="Times New Roman"/>
          <w:b/>
          <w:sz w:val="24"/>
        </w:rPr>
      </w:pPr>
    </w:p>
    <w:p>
      <w:pPr>
        <w:snapToGrid w:val="0"/>
        <w:ind w:firstLine="0" w:firstLineChars="0"/>
        <w:jc w:val="center"/>
        <w:rPr>
          <w:rFonts w:ascii="Times New Roman" w:hAnsi="Times New Roman"/>
          <w:b/>
          <w:sz w:val="24"/>
        </w:rPr>
      </w:pPr>
    </w:p>
    <w:p>
      <w:pPr>
        <w:snapToGrid w:val="0"/>
        <w:ind w:firstLine="0" w:firstLineChars="0"/>
        <w:jc w:val="center"/>
        <w:rPr>
          <w:rFonts w:ascii="Times New Roman" w:hAnsi="Times New Roman"/>
          <w:b/>
          <w:sz w:val="24"/>
        </w:rPr>
        <w:sectPr>
          <w:pgSz w:w="11906" w:h="16838"/>
          <w:pgMar w:top="1440" w:right="1800" w:bottom="1440" w:left="1800" w:header="851" w:footer="992" w:gutter="0"/>
          <w:cols w:space="425" w:num="1"/>
          <w:docGrid w:type="lines" w:linePitch="381" w:charSpace="0"/>
        </w:sectPr>
      </w:pPr>
    </w:p>
    <w:p>
      <w:pPr>
        <w:pStyle w:val="2"/>
        <w:numPr>
          <w:ilvl w:val="0"/>
          <w:numId w:val="1"/>
        </w:numPr>
        <w:spacing w:before="120" w:after="120" w:line="360" w:lineRule="auto"/>
        <w:ind w:left="715" w:hanging="432" w:firstLineChars="0"/>
        <w:jc w:val="center"/>
        <w:rPr>
          <w:rFonts w:hAnsi="Times New Roman"/>
        </w:rPr>
      </w:pPr>
      <w:bookmarkStart w:id="82" w:name="_Toc35526494"/>
      <w:r>
        <w:rPr>
          <w:rFonts w:hint="eastAsia" w:hAnsi="Times New Roman"/>
        </w:rPr>
        <w:t>饮用水水源保护区划分方案、图件及有关说明</w:t>
      </w:r>
      <w:bookmarkEnd w:id="82"/>
    </w:p>
    <w:p>
      <w:pPr>
        <w:pStyle w:val="27"/>
        <w:spacing w:before="190" w:after="190"/>
      </w:pPr>
      <w:bookmarkStart w:id="83" w:name="_Toc35526495"/>
      <w:r>
        <w:rPr>
          <w:rFonts w:hint="eastAsia"/>
        </w:rPr>
        <w:t>谢家店饮用水水源保护区划分方案</w:t>
      </w:r>
      <w:bookmarkEnd w:id="83"/>
    </w:p>
    <w:p>
      <w:pPr>
        <w:ind w:firstLine="560"/>
      </w:pPr>
      <w:r>
        <w:rPr>
          <w:rFonts w:hint="eastAsia"/>
        </w:rPr>
        <w:t>一级保护区：</w:t>
      </w:r>
      <w:r>
        <w:rPr>
          <w:rFonts w:hint="eastAsia" w:ascii="Times New Roman" w:hAnsi="Times New Roman"/>
        </w:rPr>
        <w:t>分为东、中、西3个井群一级保护区。东侧为1#、2#取水井一级保护区，西侧为8#、9#取水井一级保护区，中部为3#、4#、5#、6#、7#取水井一级保护区。东侧一级保护区范围为以1#、2#取水井口为中心，长度约为30米-60米的多边形区域。中部一级保护区范围包括：东至3#取水井东侧35米处，西至7#取水井西侧38米处，北至3#取水井北侧40米处，南至5#取水井南侧30米处范围内的多边形区域。西侧一级保护区范围包括：东至8#、9#取水井连线以东的河岸，西至8#、9#取水井连线以西30米处，北至谢家店桥南侧，南至9#取水井南侧40米处范围内的多边形区域。谢家店饮用水水源一级保护区总面积为39609.80平方米，总周长1509.24米。</w:t>
      </w:r>
    </w:p>
    <w:p>
      <w:pPr>
        <w:ind w:firstLine="560"/>
      </w:pPr>
      <w:r>
        <w:rPr>
          <w:rFonts w:hint="eastAsia"/>
        </w:rPr>
        <w:t>准保护区：</w:t>
      </w:r>
      <w:r>
        <w:rPr>
          <w:rFonts w:hint="eastAsia" w:ascii="Times New Roman" w:hAnsi="Times New Roman"/>
        </w:rPr>
        <w:t>东至1#井以东350m，西至盆泉村西大桥，南至汉王寨，北至北博山客运站北342m处，面积为13.076平方千米，周长17.644千米</w:t>
      </w:r>
      <w:r>
        <w:rPr>
          <w:rFonts w:hint="eastAsia"/>
        </w:rPr>
        <w:t>。</w:t>
      </w:r>
    </w:p>
    <w:p>
      <w:pPr>
        <w:ind w:leftChars="-455" w:hanging="1274" w:hangingChars="455"/>
      </w:pPr>
      <w:r>
        <w:drawing>
          <wp:inline distT="0" distB="0" distL="0" distR="0">
            <wp:extent cx="7103110" cy="5026660"/>
            <wp:effectExtent l="0" t="0" r="2540" b="254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112388" cy="5033304"/>
                    </a:xfrm>
                    <a:prstGeom prst="rect">
                      <a:avLst/>
                    </a:prstGeom>
                  </pic:spPr>
                </pic:pic>
              </a:graphicData>
            </a:graphic>
          </wp:inline>
        </w:drawing>
      </w:r>
    </w:p>
    <w:p>
      <w:pPr>
        <w:ind w:left="-179" w:leftChars="-64" w:firstLine="34" w:firstLineChars="14"/>
        <w:jc w:val="center"/>
        <w:rPr>
          <w:rFonts w:ascii="Times New Roman" w:hAnsi="Times New Roman"/>
          <w:b/>
          <w:sz w:val="24"/>
        </w:rPr>
      </w:pPr>
      <w:r>
        <w:rPr>
          <w:rFonts w:ascii="Times New Roman" w:hAnsi="Times New Roman"/>
          <w:b/>
          <w:sz w:val="24"/>
        </w:rPr>
        <w:t>图</w:t>
      </w:r>
      <w:r>
        <w:rPr>
          <w:rFonts w:hint="eastAsia" w:ascii="Times New Roman" w:hAnsi="Times New Roman"/>
          <w:b/>
          <w:sz w:val="24"/>
        </w:rPr>
        <w:t>6-</w:t>
      </w:r>
      <w:r>
        <w:rPr>
          <w:rFonts w:ascii="Times New Roman" w:hAnsi="Times New Roman"/>
          <w:b/>
          <w:sz w:val="24"/>
        </w:rPr>
        <w:t>1 谢家店饮用水水源</w:t>
      </w:r>
      <w:r>
        <w:rPr>
          <w:rFonts w:hint="eastAsia" w:ascii="Times New Roman" w:hAnsi="Times New Roman"/>
          <w:b/>
          <w:sz w:val="24"/>
        </w:rPr>
        <w:t>一级</w:t>
      </w:r>
      <w:r>
        <w:rPr>
          <w:rFonts w:ascii="Times New Roman" w:hAnsi="Times New Roman"/>
          <w:b/>
          <w:sz w:val="24"/>
        </w:rPr>
        <w:t>保护区</w:t>
      </w:r>
      <w:r>
        <w:rPr>
          <w:rFonts w:hint="eastAsia" w:ascii="Times New Roman" w:hAnsi="Times New Roman"/>
          <w:b/>
          <w:sz w:val="24"/>
        </w:rPr>
        <w:t>划分结果图</w:t>
      </w:r>
    </w:p>
    <w:p>
      <w:pPr>
        <w:ind w:leftChars="-455" w:hanging="1274" w:hangingChars="455"/>
      </w:pPr>
      <w:r>
        <w:drawing>
          <wp:inline distT="0" distB="0" distL="0" distR="0">
            <wp:extent cx="7048500" cy="4987925"/>
            <wp:effectExtent l="0" t="0" r="0"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057596" cy="4994529"/>
                    </a:xfrm>
                    <a:prstGeom prst="rect">
                      <a:avLst/>
                    </a:prstGeom>
                  </pic:spPr>
                </pic:pic>
              </a:graphicData>
            </a:graphic>
          </wp:inline>
        </w:drawing>
      </w:r>
    </w:p>
    <w:p>
      <w:pPr>
        <w:snapToGrid w:val="0"/>
        <w:ind w:firstLine="0" w:firstLineChars="0"/>
        <w:jc w:val="center"/>
        <w:rPr>
          <w:rFonts w:ascii="Times New Roman" w:hAnsi="Times New Roman"/>
          <w:b/>
          <w:sz w:val="24"/>
        </w:rPr>
      </w:pPr>
      <w:r>
        <w:rPr>
          <w:rFonts w:ascii="Times New Roman" w:hAnsi="Times New Roman"/>
          <w:b/>
          <w:sz w:val="24"/>
        </w:rPr>
        <w:t>图</w:t>
      </w:r>
      <w:r>
        <w:rPr>
          <w:rFonts w:hint="eastAsia" w:ascii="Times New Roman" w:hAnsi="Times New Roman"/>
          <w:b/>
          <w:sz w:val="24"/>
        </w:rPr>
        <w:t>6-</w:t>
      </w:r>
      <w:r>
        <w:rPr>
          <w:rFonts w:ascii="Times New Roman" w:hAnsi="Times New Roman"/>
          <w:b/>
          <w:sz w:val="24"/>
        </w:rPr>
        <w:t>2 谢家店饮用水水源</w:t>
      </w:r>
      <w:r>
        <w:rPr>
          <w:rFonts w:hint="eastAsia" w:ascii="Times New Roman" w:hAnsi="Times New Roman"/>
          <w:b/>
          <w:sz w:val="24"/>
        </w:rPr>
        <w:t>准</w:t>
      </w:r>
      <w:r>
        <w:rPr>
          <w:rFonts w:ascii="Times New Roman" w:hAnsi="Times New Roman"/>
          <w:b/>
          <w:sz w:val="24"/>
        </w:rPr>
        <w:t>保护区</w:t>
      </w:r>
      <w:r>
        <w:rPr>
          <w:rFonts w:hint="eastAsia" w:ascii="Times New Roman" w:hAnsi="Times New Roman"/>
          <w:b/>
          <w:sz w:val="24"/>
        </w:rPr>
        <w:t>划分结果图</w:t>
      </w:r>
    </w:p>
    <w:p>
      <w:pPr>
        <w:snapToGrid w:val="0"/>
        <w:ind w:firstLine="0" w:firstLineChars="0"/>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6-</w:t>
      </w:r>
      <w:r>
        <w:rPr>
          <w:rFonts w:ascii="Times New Roman" w:hAnsi="Times New Roman"/>
          <w:b/>
          <w:sz w:val="24"/>
        </w:rPr>
        <w:t>1 谢家店饮用水水源保护区拐点坐标</w:t>
      </w:r>
    </w:p>
    <w:tbl>
      <w:tblPr>
        <w:tblStyle w:val="15"/>
        <w:tblW w:w="8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0"/>
        <w:gridCol w:w="1691"/>
        <w:gridCol w:w="1589"/>
        <w:gridCol w:w="810"/>
        <w:gridCol w:w="1691"/>
        <w:gridCol w:w="15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4090" w:type="dxa"/>
            <w:gridSpan w:val="3"/>
            <w:shd w:val="clear" w:color="auto" w:fill="auto"/>
            <w:noWrap/>
            <w:vAlign w:val="center"/>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一级保护区</w:t>
            </w:r>
          </w:p>
        </w:tc>
        <w:tc>
          <w:tcPr>
            <w:tcW w:w="4090" w:type="dxa"/>
            <w:gridSpan w:val="3"/>
            <w:shd w:val="clear" w:color="auto" w:fill="auto"/>
            <w:noWrap/>
            <w:vAlign w:val="center"/>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准保护区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10" w:type="dxa"/>
            <w:shd w:val="clear" w:color="auto" w:fill="auto"/>
            <w:noWrap/>
            <w:vAlign w:val="center"/>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界标点</w:t>
            </w:r>
          </w:p>
        </w:tc>
        <w:tc>
          <w:tcPr>
            <w:tcW w:w="1691" w:type="dxa"/>
            <w:shd w:val="clear" w:color="auto" w:fill="auto"/>
            <w:noWrap/>
            <w:vAlign w:val="center"/>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经度</w:t>
            </w:r>
          </w:p>
        </w:tc>
        <w:tc>
          <w:tcPr>
            <w:tcW w:w="1589" w:type="dxa"/>
            <w:shd w:val="clear" w:color="auto" w:fill="auto"/>
            <w:noWrap/>
            <w:vAlign w:val="center"/>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纬度</w:t>
            </w:r>
          </w:p>
        </w:tc>
        <w:tc>
          <w:tcPr>
            <w:tcW w:w="810" w:type="dxa"/>
            <w:shd w:val="clear" w:color="auto" w:fill="auto"/>
            <w:noWrap/>
            <w:vAlign w:val="center"/>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界标点</w:t>
            </w:r>
          </w:p>
        </w:tc>
        <w:tc>
          <w:tcPr>
            <w:tcW w:w="1691" w:type="dxa"/>
            <w:shd w:val="clear" w:color="auto" w:fill="auto"/>
            <w:noWrap/>
            <w:vAlign w:val="center"/>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经度</w:t>
            </w:r>
          </w:p>
        </w:tc>
        <w:tc>
          <w:tcPr>
            <w:tcW w:w="1589" w:type="dxa"/>
            <w:shd w:val="clear" w:color="auto" w:fill="auto"/>
            <w:noWrap/>
            <w:vAlign w:val="center"/>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117°57′52.76″</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36°22′39.52″</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117°58′54.01″</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36°23′8.04″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A2</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117°57′51.37″</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36°22′38.81″</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B2</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117°58′58.88″</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36°23′6.41″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A3</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117°57′48.67″</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36°22′41.93″</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B3</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117°59′2.93″</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36°22′58.83″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A4</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117°57′50.23″</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36°22′42.39″</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B4</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117°58′52.25″</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36°22′31.54″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A5</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117°58′42.6″</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36°23′4.91″</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B5</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117°58′54.77″</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36°22′17.28″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A6</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117°58′42.95″</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36°23′5.39″</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B6</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117°58′49.23″</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36°22′7.23″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A7</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117°58′44.41″</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36°23′6.35″</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B7</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117°58′22.04″</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36°21′44.35″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A8</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117°58′45.41″</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36°23′5.8″</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B8</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117°58′3.04″</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36°21′51.42″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A9</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117°58′44.33″</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36°23′4.19″</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B9</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117°57′52.21″</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36°21′56.16″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A10</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117°58′50.48″</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36°23′4.53″</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B10</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117°57′44.09″</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36°22′15.75″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A11</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117°58′49.3″</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36°23′2.97″</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B11</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117°57′8.48″</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A12</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117°58′47.44″</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36°23′3.71″</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B12</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117°56′27″</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36°22′15.18″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A13</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117°58′49.67″</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36°23′5.11″</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B13</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117°55′31.54″</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36°21′59.34″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A14</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117°58′23.5″</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36°22′59.97″</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B14</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117°55′7.2″</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36°21′59.37″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A15</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117°58′21.61″</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36°22′52.63″</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B15</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117°54′59.29″</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36°22′1.38″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A16</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117°58′20.27″</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36°22′51.39″</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B16</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117°54′40.71″</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36°22′20.89″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A17</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117°58′17.86″</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36°22′52.2″</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B17</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117°55′3.2″</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36°22′41.62″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A18</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117°58′18.58″</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36°22′54.4″</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B18</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117°55′40.94″</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36°22′50.49″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A19</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117°58′16.26″</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36°22′55.09″</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B19</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117°55′52″</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36°23′19.58″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A20</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117°58′18.75″</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36°23′0.12″</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B20</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117°56′8.16″</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36°23′26.17″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A21</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117°58′20.59″</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36°22′59.51″</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B21</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117°56′41.47″</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36°23′19.19″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A22</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117°58′21.1″</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36°23′0.68″</w:t>
            </w: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B22</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117°57′7.07″</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36°23′27.93″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A23</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B23</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117°57′16.38″</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36°23′26.89″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A24</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B24</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117°57′35.27″</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A25</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B25</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117°57′51.81″</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36°23′23.78″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A26</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B26</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117°58′0.74″</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36°23′22.59″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A27</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p>
        </w:tc>
        <w:tc>
          <w:tcPr>
            <w:tcW w:w="810"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ascii="Times New Roman" w:hAnsi="Times New Roman" w:eastAsia="等线"/>
                <w:color w:val="000000"/>
                <w:sz w:val="18"/>
                <w:szCs w:val="18"/>
              </w:rPr>
              <w:t>B27</w:t>
            </w:r>
          </w:p>
        </w:tc>
        <w:tc>
          <w:tcPr>
            <w:tcW w:w="1691"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117°58′12.24″</w:t>
            </w:r>
          </w:p>
        </w:tc>
        <w:tc>
          <w:tcPr>
            <w:tcW w:w="1589" w:type="dxa"/>
            <w:shd w:val="clear" w:color="auto" w:fill="auto"/>
            <w:noWrap/>
          </w:tcPr>
          <w:p>
            <w:pPr>
              <w:spacing w:line="240" w:lineRule="exact"/>
              <w:ind w:firstLine="0" w:firstLineChars="0"/>
              <w:jc w:val="center"/>
              <w:rPr>
                <w:rFonts w:ascii="Times New Roman" w:hAnsi="Times New Roman" w:eastAsia="等线"/>
                <w:color w:val="000000"/>
                <w:sz w:val="18"/>
                <w:szCs w:val="18"/>
              </w:rPr>
            </w:pPr>
            <w:r>
              <w:rPr>
                <w:rFonts w:hint="eastAsia" w:ascii="Times New Roman" w:hAnsi="Times New Roman" w:eastAsia="等线"/>
                <w:color w:val="000000"/>
                <w:sz w:val="18"/>
                <w:szCs w:val="18"/>
              </w:rPr>
              <w:t>36°23′16.79″</w:t>
            </w:r>
          </w:p>
        </w:tc>
      </w:tr>
    </w:tbl>
    <w:p>
      <w:pPr>
        <w:pStyle w:val="27"/>
        <w:spacing w:before="190" w:after="190"/>
      </w:pPr>
      <w:bookmarkStart w:id="84" w:name="_Toc35526496"/>
      <w:r>
        <w:rPr>
          <w:rFonts w:hint="eastAsia"/>
        </w:rPr>
        <w:t>谢家店饮用水水源保护区界标</w:t>
      </w:r>
      <w:bookmarkEnd w:id="84"/>
    </w:p>
    <w:p>
      <w:pPr>
        <w:ind w:left="-179" w:leftChars="-64" w:firstLine="599" w:firstLineChars="214"/>
        <w:jc w:val="left"/>
      </w:pPr>
      <w:r>
        <w:rPr>
          <w:rFonts w:hint="eastAsia"/>
        </w:rPr>
        <w:t>规划设定17个保护区界标，其中一级保护区设置8个，准保护区设置9个，具体定位参见图6-3和表6-2。</w:t>
      </w:r>
    </w:p>
    <w:p>
      <w:pPr>
        <w:ind w:firstLine="0" w:firstLineChars="0"/>
        <w:jc w:val="center"/>
        <w:rPr>
          <w:rFonts w:ascii="Times New Roman" w:hAnsi="Times New Roman"/>
        </w:rPr>
      </w:pPr>
      <w:r>
        <w:t>表</w:t>
      </w:r>
      <w:r>
        <w:rPr>
          <w:rFonts w:hint="eastAsia"/>
        </w:rPr>
        <w:t>6</w:t>
      </w:r>
      <w:r>
        <w:rPr>
          <w:rFonts w:ascii="Times New Roman" w:hAnsi="Times New Roman"/>
        </w:rPr>
        <w:t>-</w:t>
      </w:r>
      <w:r>
        <w:rPr>
          <w:rFonts w:hint="eastAsia" w:ascii="Times New Roman" w:hAnsi="Times New Roman"/>
        </w:rPr>
        <w:t>2</w:t>
      </w:r>
      <w:r>
        <w:rPr>
          <w:rFonts w:ascii="Times New Roman" w:eastAsia="Times New Roman"/>
        </w:rPr>
        <w:t xml:space="preserve"> </w:t>
      </w:r>
      <w:r>
        <w:t>饮用水水源保护区界标设置情况表</w:t>
      </w:r>
    </w:p>
    <w:tbl>
      <w:tblPr>
        <w:tblStyle w:val="38"/>
        <w:tblW w:w="812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99"/>
        <w:gridCol w:w="1276"/>
        <w:gridCol w:w="2552"/>
        <w:gridCol w:w="26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tcPr>
          <w:p>
            <w:pPr>
              <w:autoSpaceDE w:val="0"/>
              <w:autoSpaceDN w:val="0"/>
              <w:spacing w:line="270" w:lineRule="exact"/>
              <w:ind w:firstLineChars="0"/>
              <w:jc w:val="left"/>
              <w:rPr>
                <w:rFonts w:ascii="宋体" w:hAnsi="Times New Roman" w:eastAsia="宋体"/>
                <w:b/>
                <w:kern w:val="0"/>
                <w:sz w:val="22"/>
                <w:lang w:eastAsia="en-US"/>
              </w:rPr>
            </w:pPr>
            <w:r>
              <w:rPr>
                <w:rFonts w:hint="eastAsia" w:ascii="宋体" w:hAnsi="Times New Roman" w:eastAsia="宋体"/>
                <w:b/>
                <w:kern w:val="0"/>
                <w:sz w:val="22"/>
                <w:lang w:eastAsia="en-US"/>
              </w:rPr>
              <w:t>保护区级别</w:t>
            </w:r>
          </w:p>
        </w:tc>
        <w:tc>
          <w:tcPr>
            <w:tcW w:w="1276" w:type="dxa"/>
          </w:tcPr>
          <w:p>
            <w:pPr>
              <w:autoSpaceDE w:val="0"/>
              <w:autoSpaceDN w:val="0"/>
              <w:spacing w:line="270" w:lineRule="exact"/>
              <w:ind w:right="301" w:firstLineChars="0"/>
              <w:rPr>
                <w:rFonts w:ascii="宋体" w:hAnsi="Times New Roman" w:eastAsia="宋体"/>
                <w:b/>
                <w:kern w:val="0"/>
                <w:sz w:val="22"/>
                <w:lang w:eastAsia="en-US"/>
              </w:rPr>
            </w:pPr>
            <w:r>
              <w:rPr>
                <w:rFonts w:hint="eastAsia" w:ascii="宋体" w:hAnsi="Times New Roman" w:eastAsia="宋体"/>
                <w:b/>
                <w:kern w:val="0"/>
                <w:sz w:val="22"/>
                <w:lang w:eastAsia="en-US"/>
              </w:rPr>
              <w:t>界标点</w:t>
            </w:r>
          </w:p>
        </w:tc>
        <w:tc>
          <w:tcPr>
            <w:tcW w:w="2552" w:type="dxa"/>
          </w:tcPr>
          <w:p>
            <w:pPr>
              <w:autoSpaceDE w:val="0"/>
              <w:autoSpaceDN w:val="0"/>
              <w:spacing w:line="270" w:lineRule="exact"/>
              <w:ind w:left="619" w:right="620" w:firstLine="0" w:firstLineChars="0"/>
              <w:jc w:val="center"/>
              <w:rPr>
                <w:rFonts w:ascii="宋体" w:hAnsi="Times New Roman" w:eastAsia="宋体"/>
                <w:b/>
                <w:kern w:val="0"/>
                <w:sz w:val="22"/>
                <w:lang w:eastAsia="en-US"/>
              </w:rPr>
            </w:pPr>
            <w:r>
              <w:rPr>
                <w:rFonts w:hint="eastAsia" w:ascii="宋体" w:hAnsi="Times New Roman" w:eastAsia="宋体"/>
                <w:b/>
                <w:kern w:val="0"/>
                <w:sz w:val="22"/>
                <w:lang w:eastAsia="en-US"/>
              </w:rPr>
              <w:t>经度</w:t>
            </w:r>
          </w:p>
        </w:tc>
        <w:tc>
          <w:tcPr>
            <w:tcW w:w="2693" w:type="dxa"/>
          </w:tcPr>
          <w:p>
            <w:pPr>
              <w:autoSpaceDE w:val="0"/>
              <w:autoSpaceDN w:val="0"/>
              <w:spacing w:line="270" w:lineRule="exact"/>
              <w:ind w:left="561" w:right="561" w:firstLine="0" w:firstLineChars="0"/>
              <w:jc w:val="center"/>
              <w:rPr>
                <w:rFonts w:ascii="宋体" w:hAnsi="Times New Roman" w:eastAsia="宋体"/>
                <w:b/>
                <w:kern w:val="0"/>
                <w:sz w:val="22"/>
                <w:lang w:eastAsia="en-US"/>
              </w:rPr>
            </w:pPr>
            <w:r>
              <w:rPr>
                <w:rFonts w:hint="eastAsia" w:ascii="宋体" w:hAnsi="Times New Roman" w:eastAsia="宋体"/>
                <w:b/>
                <w:kern w:val="0"/>
                <w:sz w:val="22"/>
                <w:lang w:eastAsia="en-US"/>
              </w:rPr>
              <w:t>纬度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1599" w:type="dxa"/>
            <w:vMerge w:val="restart"/>
            <w:vAlign w:val="center"/>
          </w:tcPr>
          <w:p>
            <w:pPr>
              <w:autoSpaceDE w:val="0"/>
              <w:autoSpaceDN w:val="0"/>
              <w:spacing w:before="1" w:line="240" w:lineRule="auto"/>
              <w:ind w:firstLine="0" w:firstLineChars="0"/>
              <w:jc w:val="center"/>
              <w:rPr>
                <w:rFonts w:ascii="宋体" w:hAnsi="Times New Roman" w:eastAsia="宋体"/>
                <w:kern w:val="0"/>
                <w:sz w:val="22"/>
                <w:lang w:eastAsia="en-US"/>
              </w:rPr>
            </w:pPr>
            <w:r>
              <w:rPr>
                <w:rFonts w:hint="eastAsia" w:ascii="宋体" w:hAnsi="Times New Roman" w:eastAsia="宋体"/>
                <w:kern w:val="0"/>
                <w:sz w:val="22"/>
                <w:lang w:eastAsia="en-US"/>
              </w:rPr>
              <w:t>一级保护区</w:t>
            </w:r>
          </w:p>
        </w:tc>
        <w:tc>
          <w:tcPr>
            <w:tcW w:w="1276" w:type="dxa"/>
            <w:vAlign w:val="center"/>
          </w:tcPr>
          <w:p>
            <w:pPr>
              <w:autoSpaceDE w:val="0"/>
              <w:autoSpaceDN w:val="0"/>
              <w:spacing w:before="31"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J11</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117°58′49.67″</w:t>
            </w:r>
          </w:p>
        </w:tc>
        <w:tc>
          <w:tcPr>
            <w:tcW w:w="2693" w:type="dxa"/>
            <w:vAlign w:val="center"/>
          </w:tcPr>
          <w:p>
            <w:pPr>
              <w:widowControl/>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36°23′5.11″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vMerge w:val="continue"/>
            <w:vAlign w:val="center"/>
          </w:tcPr>
          <w:p>
            <w:pPr>
              <w:autoSpaceDE w:val="0"/>
              <w:autoSpaceDN w:val="0"/>
              <w:spacing w:line="240" w:lineRule="auto"/>
              <w:ind w:firstLine="0" w:firstLineChars="0"/>
              <w:jc w:val="center"/>
              <w:rPr>
                <w:rFonts w:ascii="宋体" w:hAnsi="宋体" w:eastAsia="宋体" w:cs="宋体"/>
                <w:kern w:val="0"/>
                <w:sz w:val="22"/>
                <w:lang w:eastAsia="en-US"/>
              </w:rPr>
            </w:pPr>
          </w:p>
        </w:tc>
        <w:tc>
          <w:tcPr>
            <w:tcW w:w="1276" w:type="dxa"/>
            <w:vAlign w:val="center"/>
          </w:tcPr>
          <w:p>
            <w:pPr>
              <w:autoSpaceDE w:val="0"/>
              <w:autoSpaceDN w:val="0"/>
              <w:spacing w:before="32"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J12</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117°58′45.4″</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36°23′5.79″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1599" w:type="dxa"/>
            <w:vMerge w:val="continue"/>
            <w:vAlign w:val="center"/>
          </w:tcPr>
          <w:p>
            <w:pPr>
              <w:autoSpaceDE w:val="0"/>
              <w:autoSpaceDN w:val="0"/>
              <w:spacing w:line="240" w:lineRule="auto"/>
              <w:ind w:firstLine="0" w:firstLineChars="0"/>
              <w:jc w:val="center"/>
              <w:rPr>
                <w:rFonts w:ascii="宋体" w:hAnsi="宋体" w:eastAsia="宋体" w:cs="宋体"/>
                <w:kern w:val="0"/>
                <w:sz w:val="22"/>
                <w:lang w:eastAsia="en-US"/>
              </w:rPr>
            </w:pPr>
          </w:p>
        </w:tc>
        <w:tc>
          <w:tcPr>
            <w:tcW w:w="1276" w:type="dxa"/>
            <w:vAlign w:val="center"/>
          </w:tcPr>
          <w:p>
            <w:pPr>
              <w:autoSpaceDE w:val="0"/>
              <w:autoSpaceDN w:val="0"/>
              <w:spacing w:before="31"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J13</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117°58′23.5″</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36°22′59.97″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vMerge w:val="continue"/>
            <w:vAlign w:val="center"/>
          </w:tcPr>
          <w:p>
            <w:pPr>
              <w:autoSpaceDE w:val="0"/>
              <w:autoSpaceDN w:val="0"/>
              <w:spacing w:line="240" w:lineRule="auto"/>
              <w:ind w:firstLine="0" w:firstLineChars="0"/>
              <w:jc w:val="center"/>
              <w:rPr>
                <w:rFonts w:ascii="宋体" w:hAnsi="宋体" w:eastAsia="宋体" w:cs="宋体"/>
                <w:kern w:val="0"/>
                <w:sz w:val="22"/>
                <w:lang w:eastAsia="en-US"/>
              </w:rPr>
            </w:pPr>
          </w:p>
        </w:tc>
        <w:tc>
          <w:tcPr>
            <w:tcW w:w="1276" w:type="dxa"/>
            <w:vAlign w:val="center"/>
          </w:tcPr>
          <w:p>
            <w:pPr>
              <w:autoSpaceDE w:val="0"/>
              <w:autoSpaceDN w:val="0"/>
              <w:spacing w:before="32"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J14</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117°58′21.61″</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36°22′52.63″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1599" w:type="dxa"/>
            <w:vMerge w:val="continue"/>
            <w:vAlign w:val="center"/>
          </w:tcPr>
          <w:p>
            <w:pPr>
              <w:autoSpaceDE w:val="0"/>
              <w:autoSpaceDN w:val="0"/>
              <w:spacing w:line="240" w:lineRule="auto"/>
              <w:ind w:firstLine="0" w:firstLineChars="0"/>
              <w:jc w:val="center"/>
              <w:rPr>
                <w:rFonts w:ascii="宋体" w:hAnsi="宋体" w:eastAsia="宋体" w:cs="宋体"/>
                <w:kern w:val="0"/>
                <w:sz w:val="22"/>
                <w:lang w:eastAsia="en-US"/>
              </w:rPr>
            </w:pPr>
          </w:p>
        </w:tc>
        <w:tc>
          <w:tcPr>
            <w:tcW w:w="1276" w:type="dxa"/>
            <w:vAlign w:val="center"/>
          </w:tcPr>
          <w:p>
            <w:pPr>
              <w:autoSpaceDE w:val="0"/>
              <w:autoSpaceDN w:val="0"/>
              <w:spacing w:before="31"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J15</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117°58′17.88″</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36°22′52.2″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vMerge w:val="continue"/>
            <w:vAlign w:val="center"/>
          </w:tcPr>
          <w:p>
            <w:pPr>
              <w:autoSpaceDE w:val="0"/>
              <w:autoSpaceDN w:val="0"/>
              <w:spacing w:line="240" w:lineRule="auto"/>
              <w:ind w:firstLine="0" w:firstLineChars="0"/>
              <w:jc w:val="center"/>
              <w:rPr>
                <w:rFonts w:ascii="宋体" w:hAnsi="宋体" w:eastAsia="宋体" w:cs="宋体"/>
                <w:kern w:val="0"/>
                <w:sz w:val="22"/>
                <w:lang w:eastAsia="en-US"/>
              </w:rPr>
            </w:pPr>
          </w:p>
        </w:tc>
        <w:tc>
          <w:tcPr>
            <w:tcW w:w="1276" w:type="dxa"/>
            <w:vAlign w:val="center"/>
          </w:tcPr>
          <w:p>
            <w:pPr>
              <w:autoSpaceDE w:val="0"/>
              <w:autoSpaceDN w:val="0"/>
              <w:spacing w:before="32"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J16</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117°58′18.75″</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36°23′0.12″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1599" w:type="dxa"/>
            <w:vMerge w:val="continue"/>
            <w:vAlign w:val="center"/>
          </w:tcPr>
          <w:p>
            <w:pPr>
              <w:autoSpaceDE w:val="0"/>
              <w:autoSpaceDN w:val="0"/>
              <w:spacing w:line="240" w:lineRule="auto"/>
              <w:ind w:firstLine="0" w:firstLineChars="0"/>
              <w:jc w:val="center"/>
              <w:rPr>
                <w:rFonts w:ascii="宋体" w:hAnsi="宋体" w:eastAsia="宋体" w:cs="宋体"/>
                <w:kern w:val="0"/>
                <w:sz w:val="22"/>
                <w:lang w:eastAsia="en-US"/>
              </w:rPr>
            </w:pPr>
          </w:p>
        </w:tc>
        <w:tc>
          <w:tcPr>
            <w:tcW w:w="1276" w:type="dxa"/>
            <w:vAlign w:val="center"/>
          </w:tcPr>
          <w:p>
            <w:pPr>
              <w:autoSpaceDE w:val="0"/>
              <w:autoSpaceDN w:val="0"/>
              <w:spacing w:before="31"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J17</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117°58′16.26″</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36°22′55.09″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1599" w:type="dxa"/>
            <w:vMerge w:val="continue"/>
            <w:vAlign w:val="center"/>
          </w:tcPr>
          <w:p>
            <w:pPr>
              <w:autoSpaceDE w:val="0"/>
              <w:autoSpaceDN w:val="0"/>
              <w:spacing w:line="240" w:lineRule="auto"/>
              <w:ind w:firstLine="0" w:firstLineChars="0"/>
              <w:jc w:val="center"/>
              <w:rPr>
                <w:rFonts w:ascii="宋体" w:hAnsi="宋体" w:eastAsia="宋体" w:cs="宋体"/>
                <w:kern w:val="0"/>
                <w:sz w:val="22"/>
                <w:lang w:eastAsia="en-US"/>
              </w:rPr>
            </w:pPr>
          </w:p>
        </w:tc>
        <w:tc>
          <w:tcPr>
            <w:tcW w:w="1276" w:type="dxa"/>
            <w:vAlign w:val="center"/>
          </w:tcPr>
          <w:p>
            <w:pPr>
              <w:autoSpaceDE w:val="0"/>
              <w:autoSpaceDN w:val="0"/>
              <w:spacing w:before="31"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J18</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117°57′48.69″</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36°22′41.91″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vMerge w:val="restart"/>
            <w:vAlign w:val="center"/>
          </w:tcPr>
          <w:p>
            <w:pPr>
              <w:autoSpaceDE w:val="0"/>
              <w:autoSpaceDN w:val="0"/>
              <w:spacing w:line="240" w:lineRule="auto"/>
              <w:ind w:firstLine="0" w:firstLineChars="0"/>
              <w:jc w:val="center"/>
              <w:rPr>
                <w:rFonts w:ascii="宋体" w:hAnsi="Times New Roman" w:eastAsia="宋体"/>
                <w:kern w:val="0"/>
                <w:sz w:val="22"/>
                <w:lang w:eastAsia="en-US"/>
              </w:rPr>
            </w:pPr>
            <w:r>
              <w:rPr>
                <w:rFonts w:hint="eastAsia" w:ascii="宋体" w:hAnsi="Times New Roman" w:eastAsia="宋体"/>
                <w:kern w:val="0"/>
                <w:sz w:val="22"/>
                <w:lang w:eastAsia="zh-CN"/>
              </w:rPr>
              <w:t>准</w:t>
            </w:r>
            <w:r>
              <w:rPr>
                <w:rFonts w:hint="eastAsia" w:ascii="宋体" w:hAnsi="Times New Roman" w:eastAsia="宋体"/>
                <w:kern w:val="0"/>
                <w:sz w:val="22"/>
                <w:lang w:eastAsia="en-US"/>
              </w:rPr>
              <w:t>保护区</w:t>
            </w:r>
          </w:p>
        </w:tc>
        <w:tc>
          <w:tcPr>
            <w:tcW w:w="1276" w:type="dxa"/>
            <w:vAlign w:val="center"/>
          </w:tcPr>
          <w:p>
            <w:pPr>
              <w:autoSpaceDE w:val="0"/>
              <w:autoSpaceDN w:val="0"/>
              <w:spacing w:before="32"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JZ1</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117°58′54.01″</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36°23′8.04″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1599" w:type="dxa"/>
            <w:vMerge w:val="continue"/>
          </w:tcPr>
          <w:p>
            <w:pPr>
              <w:autoSpaceDE w:val="0"/>
              <w:autoSpaceDN w:val="0"/>
              <w:spacing w:line="240" w:lineRule="auto"/>
              <w:ind w:firstLine="0" w:firstLineChars="0"/>
              <w:jc w:val="left"/>
              <w:rPr>
                <w:rFonts w:ascii="宋体" w:hAnsi="宋体" w:eastAsia="宋体" w:cs="宋体"/>
                <w:kern w:val="0"/>
                <w:sz w:val="22"/>
                <w:lang w:eastAsia="en-US"/>
              </w:rPr>
            </w:pPr>
          </w:p>
        </w:tc>
        <w:tc>
          <w:tcPr>
            <w:tcW w:w="1276" w:type="dxa"/>
            <w:vAlign w:val="center"/>
          </w:tcPr>
          <w:p>
            <w:pPr>
              <w:autoSpaceDE w:val="0"/>
              <w:autoSpaceDN w:val="0"/>
              <w:spacing w:before="31"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JZ2</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117°58′49.23″</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36°22′7.23″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vMerge w:val="continue"/>
          </w:tcPr>
          <w:p>
            <w:pPr>
              <w:autoSpaceDE w:val="0"/>
              <w:autoSpaceDN w:val="0"/>
              <w:spacing w:line="240" w:lineRule="auto"/>
              <w:ind w:firstLine="0" w:firstLineChars="0"/>
              <w:jc w:val="left"/>
              <w:rPr>
                <w:rFonts w:ascii="宋体" w:hAnsi="宋体" w:eastAsia="宋体" w:cs="宋体"/>
                <w:kern w:val="0"/>
                <w:sz w:val="22"/>
                <w:lang w:eastAsia="en-US"/>
              </w:rPr>
            </w:pPr>
          </w:p>
        </w:tc>
        <w:tc>
          <w:tcPr>
            <w:tcW w:w="1276" w:type="dxa"/>
            <w:vAlign w:val="center"/>
          </w:tcPr>
          <w:p>
            <w:pPr>
              <w:autoSpaceDE w:val="0"/>
              <w:autoSpaceDN w:val="0"/>
              <w:spacing w:before="32"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JZ3</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117°58′3.04″</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36°21′51.42″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1599" w:type="dxa"/>
            <w:vMerge w:val="continue"/>
          </w:tcPr>
          <w:p>
            <w:pPr>
              <w:autoSpaceDE w:val="0"/>
              <w:autoSpaceDN w:val="0"/>
              <w:spacing w:line="240" w:lineRule="auto"/>
              <w:ind w:firstLine="0" w:firstLineChars="0"/>
              <w:jc w:val="left"/>
              <w:rPr>
                <w:rFonts w:ascii="宋体" w:hAnsi="宋体" w:eastAsia="宋体" w:cs="宋体"/>
                <w:kern w:val="0"/>
                <w:sz w:val="22"/>
                <w:lang w:eastAsia="en-US"/>
              </w:rPr>
            </w:pPr>
          </w:p>
        </w:tc>
        <w:tc>
          <w:tcPr>
            <w:tcW w:w="1276" w:type="dxa"/>
            <w:vAlign w:val="center"/>
          </w:tcPr>
          <w:p>
            <w:pPr>
              <w:autoSpaceDE w:val="0"/>
              <w:autoSpaceDN w:val="0"/>
              <w:spacing w:before="31"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JZ4</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117°57′44.09″</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36°22′15.75″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vMerge w:val="continue"/>
          </w:tcPr>
          <w:p>
            <w:pPr>
              <w:autoSpaceDE w:val="0"/>
              <w:autoSpaceDN w:val="0"/>
              <w:spacing w:line="240" w:lineRule="auto"/>
              <w:ind w:firstLine="0" w:firstLineChars="0"/>
              <w:jc w:val="left"/>
              <w:rPr>
                <w:rFonts w:ascii="宋体" w:hAnsi="宋体" w:eastAsia="宋体" w:cs="宋体"/>
                <w:kern w:val="0"/>
                <w:sz w:val="22"/>
                <w:lang w:eastAsia="en-US"/>
              </w:rPr>
            </w:pPr>
          </w:p>
        </w:tc>
        <w:tc>
          <w:tcPr>
            <w:tcW w:w="1276" w:type="dxa"/>
            <w:vAlign w:val="center"/>
          </w:tcPr>
          <w:p>
            <w:pPr>
              <w:autoSpaceDE w:val="0"/>
              <w:autoSpaceDN w:val="0"/>
              <w:spacing w:before="32"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JZ5</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117°57′8.48″</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36°22′0.88″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1599" w:type="dxa"/>
            <w:vMerge w:val="continue"/>
          </w:tcPr>
          <w:p>
            <w:pPr>
              <w:autoSpaceDE w:val="0"/>
              <w:autoSpaceDN w:val="0"/>
              <w:spacing w:line="240" w:lineRule="auto"/>
              <w:ind w:firstLine="0" w:firstLineChars="0"/>
              <w:jc w:val="left"/>
              <w:rPr>
                <w:rFonts w:ascii="宋体" w:hAnsi="宋体" w:eastAsia="宋体" w:cs="宋体"/>
                <w:kern w:val="0"/>
                <w:sz w:val="22"/>
                <w:lang w:eastAsia="en-US"/>
              </w:rPr>
            </w:pPr>
          </w:p>
        </w:tc>
        <w:tc>
          <w:tcPr>
            <w:tcW w:w="1276" w:type="dxa"/>
            <w:vAlign w:val="center"/>
          </w:tcPr>
          <w:p>
            <w:pPr>
              <w:autoSpaceDE w:val="0"/>
              <w:autoSpaceDN w:val="0"/>
              <w:spacing w:before="31"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JZ6</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117°55′7.2″</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36°21′59.37″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vMerge w:val="continue"/>
          </w:tcPr>
          <w:p>
            <w:pPr>
              <w:autoSpaceDE w:val="0"/>
              <w:autoSpaceDN w:val="0"/>
              <w:spacing w:line="240" w:lineRule="auto"/>
              <w:ind w:firstLine="0" w:firstLineChars="0"/>
              <w:jc w:val="left"/>
              <w:rPr>
                <w:rFonts w:ascii="宋体" w:hAnsi="宋体" w:eastAsia="宋体" w:cs="宋体"/>
                <w:kern w:val="0"/>
                <w:sz w:val="22"/>
                <w:lang w:eastAsia="en-US"/>
              </w:rPr>
            </w:pPr>
          </w:p>
        </w:tc>
        <w:tc>
          <w:tcPr>
            <w:tcW w:w="1276" w:type="dxa"/>
            <w:vAlign w:val="center"/>
          </w:tcPr>
          <w:p>
            <w:pPr>
              <w:autoSpaceDE w:val="0"/>
              <w:autoSpaceDN w:val="0"/>
              <w:spacing w:before="32"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JZ7</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117°54′40.71″</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36°22′20.89″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1599" w:type="dxa"/>
            <w:vMerge w:val="continue"/>
          </w:tcPr>
          <w:p>
            <w:pPr>
              <w:autoSpaceDE w:val="0"/>
              <w:autoSpaceDN w:val="0"/>
              <w:spacing w:line="240" w:lineRule="auto"/>
              <w:ind w:firstLine="0" w:firstLineChars="0"/>
              <w:jc w:val="left"/>
              <w:rPr>
                <w:rFonts w:ascii="宋体" w:hAnsi="宋体" w:eastAsia="宋体" w:cs="宋体"/>
                <w:kern w:val="0"/>
                <w:sz w:val="22"/>
                <w:lang w:eastAsia="en-US"/>
              </w:rPr>
            </w:pPr>
          </w:p>
        </w:tc>
        <w:tc>
          <w:tcPr>
            <w:tcW w:w="1276" w:type="dxa"/>
            <w:vAlign w:val="center"/>
          </w:tcPr>
          <w:p>
            <w:pPr>
              <w:autoSpaceDE w:val="0"/>
              <w:autoSpaceDN w:val="0"/>
              <w:spacing w:before="31"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JZ8</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117°55′40.94″</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36°22′50.49″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vMerge w:val="continue"/>
          </w:tcPr>
          <w:p>
            <w:pPr>
              <w:autoSpaceDE w:val="0"/>
              <w:autoSpaceDN w:val="0"/>
              <w:spacing w:line="240" w:lineRule="auto"/>
              <w:ind w:firstLine="0" w:firstLineChars="0"/>
              <w:jc w:val="left"/>
              <w:rPr>
                <w:rFonts w:ascii="宋体" w:hAnsi="宋体" w:eastAsia="宋体" w:cs="宋体"/>
                <w:kern w:val="0"/>
                <w:sz w:val="22"/>
                <w:lang w:eastAsia="en-US"/>
              </w:rPr>
            </w:pPr>
          </w:p>
        </w:tc>
        <w:tc>
          <w:tcPr>
            <w:tcW w:w="1276" w:type="dxa"/>
            <w:vAlign w:val="center"/>
          </w:tcPr>
          <w:p>
            <w:pPr>
              <w:autoSpaceDE w:val="0"/>
              <w:autoSpaceDN w:val="0"/>
              <w:spacing w:before="32" w:line="240" w:lineRule="auto"/>
              <w:ind w:left="302" w:right="301" w:firstLine="0" w:firstLineChars="0"/>
              <w:jc w:val="center"/>
              <w:rPr>
                <w:rFonts w:ascii="Times New Roman" w:hAnsi="Times New Roman" w:eastAsia="Times New Roman"/>
                <w:kern w:val="0"/>
                <w:sz w:val="22"/>
                <w:lang w:eastAsia="en-US"/>
              </w:rPr>
            </w:pPr>
            <w:r>
              <w:rPr>
                <w:rFonts w:hint="eastAsia" w:ascii="等线" w:hAnsi="等线" w:eastAsia="等线"/>
                <w:color w:val="000000"/>
                <w:kern w:val="0"/>
                <w:sz w:val="22"/>
                <w:lang w:eastAsia="en-US"/>
              </w:rPr>
              <w:t>JZ9</w:t>
            </w:r>
          </w:p>
        </w:tc>
        <w:tc>
          <w:tcPr>
            <w:tcW w:w="2552" w:type="dxa"/>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117°56′8.16″</w:t>
            </w:r>
          </w:p>
        </w:tc>
        <w:tc>
          <w:tcPr>
            <w:tcW w:w="2693" w:type="dxa"/>
            <w:vAlign w:val="center"/>
          </w:tcPr>
          <w:p>
            <w:pPr>
              <w:autoSpaceDE w:val="0"/>
              <w:autoSpaceDN w:val="0"/>
              <w:spacing w:before="32" w:line="240" w:lineRule="auto"/>
              <w:ind w:left="302" w:right="301" w:firstLine="0" w:firstLineChars="0"/>
              <w:jc w:val="center"/>
              <w:rPr>
                <w:rFonts w:ascii="等线" w:hAnsi="等线" w:eastAsia="等线"/>
                <w:color w:val="000000"/>
                <w:kern w:val="0"/>
                <w:sz w:val="22"/>
                <w:lang w:eastAsia="en-US"/>
              </w:rPr>
            </w:pPr>
            <w:r>
              <w:rPr>
                <w:rFonts w:hint="eastAsia" w:ascii="等线" w:hAnsi="等线" w:eastAsia="等线"/>
                <w:color w:val="000000"/>
                <w:kern w:val="0"/>
                <w:sz w:val="22"/>
                <w:lang w:eastAsia="en-US"/>
              </w:rPr>
              <w:t>36°23′26.17″</w:t>
            </w:r>
          </w:p>
        </w:tc>
      </w:tr>
    </w:tbl>
    <w:p>
      <w:pPr>
        <w:ind w:left="-1417" w:leftChars="-506" w:firstLine="39" w:firstLineChars="14"/>
        <w:jc w:val="center"/>
      </w:pPr>
      <w:r>
        <w:drawing>
          <wp:inline distT="0" distB="0" distL="0" distR="0">
            <wp:extent cx="7075805" cy="5007610"/>
            <wp:effectExtent l="0" t="0" r="0"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094677" cy="5020770"/>
                    </a:xfrm>
                    <a:prstGeom prst="rect">
                      <a:avLst/>
                    </a:prstGeom>
                  </pic:spPr>
                </pic:pic>
              </a:graphicData>
            </a:graphic>
          </wp:inline>
        </w:drawing>
      </w:r>
    </w:p>
    <w:p>
      <w:pPr>
        <w:snapToGrid w:val="0"/>
        <w:ind w:firstLine="0" w:firstLineChars="0"/>
        <w:jc w:val="center"/>
        <w:rPr>
          <w:rFonts w:ascii="Times New Roman" w:hAnsi="Times New Roman"/>
          <w:b/>
          <w:sz w:val="24"/>
        </w:rPr>
      </w:pPr>
      <w:r>
        <w:rPr>
          <w:rFonts w:ascii="Times New Roman" w:hAnsi="Times New Roman"/>
          <w:b/>
          <w:sz w:val="24"/>
        </w:rPr>
        <w:t>图</w:t>
      </w:r>
      <w:r>
        <w:rPr>
          <w:rFonts w:hint="eastAsia" w:ascii="Times New Roman" w:hAnsi="Times New Roman"/>
          <w:b/>
          <w:sz w:val="24"/>
        </w:rPr>
        <w:t>6-3</w:t>
      </w:r>
      <w:r>
        <w:rPr>
          <w:rFonts w:ascii="Times New Roman" w:hAnsi="Times New Roman"/>
          <w:b/>
          <w:sz w:val="24"/>
        </w:rPr>
        <w:t xml:space="preserve"> 谢家店饮用水水源</w:t>
      </w:r>
      <w:r>
        <w:rPr>
          <w:rFonts w:hint="eastAsia" w:ascii="Times New Roman" w:hAnsi="Times New Roman"/>
          <w:b/>
          <w:sz w:val="24"/>
        </w:rPr>
        <w:t>准</w:t>
      </w:r>
      <w:r>
        <w:rPr>
          <w:rFonts w:ascii="Times New Roman" w:hAnsi="Times New Roman"/>
          <w:b/>
          <w:sz w:val="24"/>
        </w:rPr>
        <w:t>保护区</w:t>
      </w:r>
      <w:r>
        <w:rPr>
          <w:rFonts w:hint="eastAsia" w:ascii="Times New Roman" w:hAnsi="Times New Roman"/>
          <w:b/>
          <w:sz w:val="24"/>
        </w:rPr>
        <w:t>界标设置图</w:t>
      </w:r>
    </w:p>
    <w:p>
      <w:pPr>
        <w:pStyle w:val="27"/>
        <w:spacing w:before="190" w:after="190"/>
      </w:pPr>
      <w:bookmarkStart w:id="85" w:name="_Toc35526497"/>
      <w:r>
        <w:rPr>
          <w:rFonts w:hint="eastAsia"/>
        </w:rPr>
        <w:t>谢家店饮用水水源保护区交通警示牌</w:t>
      </w:r>
      <w:bookmarkEnd w:id="85"/>
    </w:p>
    <w:p>
      <w:pPr>
        <w:ind w:firstLine="560"/>
        <w:rPr>
          <w:rFonts w:ascii="Times New Roman" w:hAnsi="Times New Roman"/>
        </w:rPr>
      </w:pPr>
      <w:r>
        <w:rPr>
          <w:rFonts w:hint="eastAsia" w:ascii="Times New Roman" w:hAnsi="Times New Roman"/>
        </w:rPr>
        <w:t>谢家店</w:t>
      </w:r>
      <w:r>
        <w:rPr>
          <w:rFonts w:ascii="Times New Roman" w:hAnsi="Times New Roman"/>
        </w:rPr>
        <w:t>饮用水水源保护区设置交通警示牌</w:t>
      </w:r>
      <w:r>
        <w:rPr>
          <w:rFonts w:hint="eastAsia" w:ascii="Times New Roman" w:hAnsi="Times New Roman"/>
        </w:rPr>
        <w:t>5个，其</w:t>
      </w:r>
      <w:r>
        <w:rPr>
          <w:rFonts w:ascii="Times New Roman" w:hAnsi="Times New Roman"/>
        </w:rPr>
        <w:t xml:space="preserve">位置和数量分别见表 </w:t>
      </w:r>
      <w:r>
        <w:rPr>
          <w:rFonts w:hint="eastAsia" w:ascii="Times New Roman" w:hAnsi="Times New Roman"/>
        </w:rPr>
        <w:t>6-3</w:t>
      </w:r>
      <w:r>
        <w:rPr>
          <w:rFonts w:ascii="Times New Roman" w:hAnsi="Times New Roman"/>
        </w:rPr>
        <w:t xml:space="preserve"> 和图</w:t>
      </w:r>
      <w:r>
        <w:rPr>
          <w:rFonts w:hint="eastAsia" w:ascii="Times New Roman" w:hAnsi="Times New Roman"/>
        </w:rPr>
        <w:t>6-4</w:t>
      </w:r>
      <w:r>
        <w:rPr>
          <w:rFonts w:ascii="Times New Roman" w:hAnsi="Times New Roman"/>
        </w:rPr>
        <w:t>。</w:t>
      </w:r>
    </w:p>
    <w:p>
      <w:pPr>
        <w:ind w:firstLine="0" w:firstLineChars="0"/>
        <w:jc w:val="center"/>
        <w:rPr>
          <w:rFonts w:ascii="Times New Roman" w:hAnsi="Times New Roman"/>
        </w:rPr>
      </w:pPr>
      <w:r>
        <w:rPr>
          <w:rFonts w:ascii="Times New Roman" w:hAnsi="Times New Roman"/>
        </w:rPr>
        <w:t>表</w:t>
      </w:r>
      <w:r>
        <w:rPr>
          <w:rFonts w:hint="eastAsia" w:ascii="Times New Roman" w:hAnsi="Times New Roman"/>
        </w:rPr>
        <w:t>6-3</w:t>
      </w:r>
      <w:r>
        <w:rPr>
          <w:rFonts w:ascii="Times New Roman" w:hAnsi="Times New Roman"/>
        </w:rPr>
        <w:t xml:space="preserve"> </w:t>
      </w:r>
      <w:r>
        <w:rPr>
          <w:rFonts w:hint="eastAsia" w:ascii="Times New Roman" w:hAnsi="Times New Roman"/>
        </w:rPr>
        <w:t>饮用水水源保护区交通警示牌设置情况表</w:t>
      </w:r>
    </w:p>
    <w:tbl>
      <w:tblPr>
        <w:tblStyle w:val="38"/>
        <w:tblW w:w="812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99"/>
        <w:gridCol w:w="1276"/>
        <w:gridCol w:w="2552"/>
        <w:gridCol w:w="26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tcPr>
          <w:p>
            <w:pPr>
              <w:autoSpaceDE w:val="0"/>
              <w:autoSpaceDN w:val="0"/>
              <w:spacing w:line="270" w:lineRule="exact"/>
              <w:ind w:firstLineChars="0"/>
              <w:jc w:val="left"/>
              <w:rPr>
                <w:rFonts w:ascii="宋体" w:hAnsi="Times New Roman" w:eastAsia="宋体"/>
                <w:b/>
                <w:kern w:val="0"/>
                <w:sz w:val="22"/>
                <w:lang w:eastAsia="en-US"/>
              </w:rPr>
            </w:pPr>
            <w:r>
              <w:rPr>
                <w:rFonts w:hint="eastAsia" w:ascii="宋体" w:hAnsi="Times New Roman" w:eastAsia="宋体"/>
                <w:b/>
                <w:kern w:val="0"/>
                <w:sz w:val="22"/>
                <w:lang w:eastAsia="en-US"/>
              </w:rPr>
              <w:t>保护区级别</w:t>
            </w:r>
          </w:p>
        </w:tc>
        <w:tc>
          <w:tcPr>
            <w:tcW w:w="1276" w:type="dxa"/>
          </w:tcPr>
          <w:p>
            <w:pPr>
              <w:autoSpaceDE w:val="0"/>
              <w:autoSpaceDN w:val="0"/>
              <w:spacing w:line="270" w:lineRule="exact"/>
              <w:ind w:right="301" w:firstLineChars="0"/>
              <w:rPr>
                <w:rFonts w:ascii="宋体" w:hAnsi="Times New Roman" w:eastAsia="宋体"/>
                <w:b/>
                <w:kern w:val="0"/>
                <w:sz w:val="22"/>
                <w:lang w:eastAsia="en-US"/>
              </w:rPr>
            </w:pPr>
            <w:r>
              <w:rPr>
                <w:rFonts w:hint="eastAsia" w:ascii="宋体" w:hAnsi="Times New Roman" w:eastAsia="宋体"/>
                <w:b/>
                <w:kern w:val="0"/>
                <w:sz w:val="22"/>
                <w:lang w:eastAsia="en-US"/>
              </w:rPr>
              <w:t>界标点</w:t>
            </w:r>
          </w:p>
        </w:tc>
        <w:tc>
          <w:tcPr>
            <w:tcW w:w="2552" w:type="dxa"/>
          </w:tcPr>
          <w:p>
            <w:pPr>
              <w:autoSpaceDE w:val="0"/>
              <w:autoSpaceDN w:val="0"/>
              <w:spacing w:line="270" w:lineRule="exact"/>
              <w:ind w:left="619" w:right="620" w:firstLine="0" w:firstLineChars="0"/>
              <w:jc w:val="center"/>
              <w:rPr>
                <w:rFonts w:ascii="宋体" w:hAnsi="Times New Roman" w:eastAsia="宋体"/>
                <w:b/>
                <w:kern w:val="0"/>
                <w:sz w:val="22"/>
                <w:lang w:eastAsia="en-US"/>
              </w:rPr>
            </w:pPr>
            <w:r>
              <w:rPr>
                <w:rFonts w:hint="eastAsia" w:ascii="宋体" w:hAnsi="Times New Roman" w:eastAsia="宋体"/>
                <w:b/>
                <w:kern w:val="0"/>
                <w:sz w:val="22"/>
                <w:lang w:eastAsia="en-US"/>
              </w:rPr>
              <w:t>经度</w:t>
            </w:r>
          </w:p>
        </w:tc>
        <w:tc>
          <w:tcPr>
            <w:tcW w:w="2693" w:type="dxa"/>
          </w:tcPr>
          <w:p>
            <w:pPr>
              <w:autoSpaceDE w:val="0"/>
              <w:autoSpaceDN w:val="0"/>
              <w:spacing w:line="270" w:lineRule="exact"/>
              <w:ind w:left="561" w:right="561" w:firstLine="0" w:firstLineChars="0"/>
              <w:jc w:val="center"/>
              <w:rPr>
                <w:rFonts w:ascii="宋体" w:hAnsi="Times New Roman" w:eastAsia="宋体"/>
                <w:b/>
                <w:kern w:val="0"/>
                <w:sz w:val="22"/>
                <w:lang w:eastAsia="en-US"/>
              </w:rPr>
            </w:pPr>
            <w:r>
              <w:rPr>
                <w:rFonts w:hint="eastAsia" w:ascii="宋体" w:hAnsi="Times New Roman" w:eastAsia="宋体"/>
                <w:b/>
                <w:kern w:val="0"/>
                <w:sz w:val="22"/>
                <w:lang w:eastAsia="en-US"/>
              </w:rPr>
              <w:t>纬度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vMerge w:val="restart"/>
            <w:vAlign w:val="center"/>
          </w:tcPr>
          <w:p>
            <w:pPr>
              <w:autoSpaceDE w:val="0"/>
              <w:autoSpaceDN w:val="0"/>
              <w:spacing w:line="240" w:lineRule="auto"/>
              <w:ind w:firstLine="0" w:firstLineChars="0"/>
              <w:jc w:val="center"/>
              <w:rPr>
                <w:rFonts w:ascii="Times New Roman" w:hAnsi="Times New Roman" w:eastAsia="宋体"/>
                <w:kern w:val="0"/>
                <w:sz w:val="21"/>
                <w:szCs w:val="21"/>
                <w:lang w:eastAsia="en-US"/>
              </w:rPr>
            </w:pPr>
            <w:r>
              <w:rPr>
                <w:rFonts w:ascii="Times New Roman" w:hAnsi="Times New Roman" w:eastAsia="宋体"/>
                <w:kern w:val="0"/>
                <w:sz w:val="21"/>
                <w:szCs w:val="21"/>
                <w:lang w:eastAsia="zh-CN"/>
              </w:rPr>
              <w:t>准</w:t>
            </w:r>
            <w:r>
              <w:rPr>
                <w:rFonts w:ascii="Times New Roman" w:hAnsi="Times New Roman" w:eastAsia="宋体"/>
                <w:kern w:val="0"/>
                <w:sz w:val="21"/>
                <w:szCs w:val="21"/>
                <w:lang w:eastAsia="en-US"/>
              </w:rPr>
              <w:t>保护区</w:t>
            </w:r>
          </w:p>
        </w:tc>
        <w:tc>
          <w:tcPr>
            <w:tcW w:w="1276" w:type="dxa"/>
          </w:tcPr>
          <w:p>
            <w:pPr>
              <w:autoSpaceDE w:val="0"/>
              <w:autoSpaceDN w:val="0"/>
              <w:spacing w:before="32" w:line="240" w:lineRule="auto"/>
              <w:ind w:left="302" w:right="30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JT1</w:t>
            </w:r>
          </w:p>
        </w:tc>
        <w:tc>
          <w:tcPr>
            <w:tcW w:w="2552" w:type="dxa"/>
          </w:tcPr>
          <w:p>
            <w:pPr>
              <w:autoSpaceDE w:val="0"/>
              <w:autoSpaceDN w:val="0"/>
              <w:spacing w:before="32" w:line="240" w:lineRule="auto"/>
              <w:ind w:left="623" w:right="620"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117°58′54.01″</w:t>
            </w:r>
          </w:p>
        </w:tc>
        <w:tc>
          <w:tcPr>
            <w:tcW w:w="2693" w:type="dxa"/>
          </w:tcPr>
          <w:p>
            <w:pPr>
              <w:autoSpaceDE w:val="0"/>
              <w:autoSpaceDN w:val="0"/>
              <w:spacing w:before="32" w:line="240" w:lineRule="auto"/>
              <w:ind w:left="562" w:right="56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36°23′8.04″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1599" w:type="dxa"/>
            <w:vMerge w:val="continue"/>
          </w:tcPr>
          <w:p>
            <w:pPr>
              <w:autoSpaceDE w:val="0"/>
              <w:autoSpaceDN w:val="0"/>
              <w:spacing w:line="240" w:lineRule="auto"/>
              <w:ind w:firstLine="0" w:firstLineChars="0"/>
              <w:jc w:val="left"/>
              <w:rPr>
                <w:rFonts w:ascii="Times New Roman" w:hAnsi="Times New Roman" w:eastAsia="宋体"/>
                <w:kern w:val="0"/>
                <w:sz w:val="21"/>
                <w:szCs w:val="21"/>
                <w:lang w:eastAsia="en-US"/>
              </w:rPr>
            </w:pPr>
          </w:p>
        </w:tc>
        <w:tc>
          <w:tcPr>
            <w:tcW w:w="1276" w:type="dxa"/>
          </w:tcPr>
          <w:p>
            <w:pPr>
              <w:autoSpaceDE w:val="0"/>
              <w:autoSpaceDN w:val="0"/>
              <w:spacing w:before="31" w:line="240" w:lineRule="auto"/>
              <w:ind w:left="302" w:right="30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JT2</w:t>
            </w:r>
          </w:p>
        </w:tc>
        <w:tc>
          <w:tcPr>
            <w:tcW w:w="2552" w:type="dxa"/>
          </w:tcPr>
          <w:p>
            <w:pPr>
              <w:autoSpaceDE w:val="0"/>
              <w:autoSpaceDN w:val="0"/>
              <w:spacing w:before="31" w:line="240" w:lineRule="auto"/>
              <w:ind w:left="623" w:right="620"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117°58′49.23″</w:t>
            </w:r>
          </w:p>
        </w:tc>
        <w:tc>
          <w:tcPr>
            <w:tcW w:w="2693" w:type="dxa"/>
          </w:tcPr>
          <w:p>
            <w:pPr>
              <w:autoSpaceDE w:val="0"/>
              <w:autoSpaceDN w:val="0"/>
              <w:spacing w:before="31" w:line="240" w:lineRule="auto"/>
              <w:ind w:left="562" w:right="56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36°22′7.23″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vMerge w:val="continue"/>
          </w:tcPr>
          <w:p>
            <w:pPr>
              <w:autoSpaceDE w:val="0"/>
              <w:autoSpaceDN w:val="0"/>
              <w:spacing w:line="240" w:lineRule="auto"/>
              <w:ind w:firstLine="0" w:firstLineChars="0"/>
              <w:jc w:val="left"/>
              <w:rPr>
                <w:rFonts w:ascii="Times New Roman" w:hAnsi="Times New Roman" w:eastAsia="宋体"/>
                <w:kern w:val="0"/>
                <w:sz w:val="21"/>
                <w:szCs w:val="21"/>
                <w:lang w:eastAsia="en-US"/>
              </w:rPr>
            </w:pPr>
          </w:p>
        </w:tc>
        <w:tc>
          <w:tcPr>
            <w:tcW w:w="1276" w:type="dxa"/>
          </w:tcPr>
          <w:p>
            <w:pPr>
              <w:autoSpaceDE w:val="0"/>
              <w:autoSpaceDN w:val="0"/>
              <w:spacing w:before="32" w:line="240" w:lineRule="auto"/>
              <w:ind w:left="302" w:right="30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JT3</w:t>
            </w:r>
          </w:p>
        </w:tc>
        <w:tc>
          <w:tcPr>
            <w:tcW w:w="2552" w:type="dxa"/>
          </w:tcPr>
          <w:p>
            <w:pPr>
              <w:autoSpaceDE w:val="0"/>
              <w:autoSpaceDN w:val="0"/>
              <w:spacing w:before="32" w:line="240" w:lineRule="auto"/>
              <w:ind w:left="623" w:right="620"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117°58′3.04″</w:t>
            </w:r>
          </w:p>
        </w:tc>
        <w:tc>
          <w:tcPr>
            <w:tcW w:w="2693" w:type="dxa"/>
          </w:tcPr>
          <w:p>
            <w:pPr>
              <w:autoSpaceDE w:val="0"/>
              <w:autoSpaceDN w:val="0"/>
              <w:spacing w:before="32" w:line="240" w:lineRule="auto"/>
              <w:ind w:left="562" w:right="56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36°21′51.42″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1599" w:type="dxa"/>
            <w:vMerge w:val="continue"/>
          </w:tcPr>
          <w:p>
            <w:pPr>
              <w:autoSpaceDE w:val="0"/>
              <w:autoSpaceDN w:val="0"/>
              <w:spacing w:line="240" w:lineRule="auto"/>
              <w:ind w:firstLine="0" w:firstLineChars="0"/>
              <w:jc w:val="left"/>
              <w:rPr>
                <w:rFonts w:ascii="Times New Roman" w:hAnsi="Times New Roman" w:eastAsia="宋体"/>
                <w:kern w:val="0"/>
                <w:sz w:val="21"/>
                <w:szCs w:val="21"/>
                <w:lang w:eastAsia="en-US"/>
              </w:rPr>
            </w:pPr>
          </w:p>
        </w:tc>
        <w:tc>
          <w:tcPr>
            <w:tcW w:w="1276" w:type="dxa"/>
          </w:tcPr>
          <w:p>
            <w:pPr>
              <w:autoSpaceDE w:val="0"/>
              <w:autoSpaceDN w:val="0"/>
              <w:spacing w:before="31" w:line="240" w:lineRule="auto"/>
              <w:ind w:left="302" w:right="30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JT4</w:t>
            </w:r>
          </w:p>
        </w:tc>
        <w:tc>
          <w:tcPr>
            <w:tcW w:w="2552" w:type="dxa"/>
          </w:tcPr>
          <w:p>
            <w:pPr>
              <w:autoSpaceDE w:val="0"/>
              <w:autoSpaceDN w:val="0"/>
              <w:spacing w:before="31" w:line="240" w:lineRule="auto"/>
              <w:ind w:left="623" w:right="620"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117°54′40.71″</w:t>
            </w:r>
          </w:p>
        </w:tc>
        <w:tc>
          <w:tcPr>
            <w:tcW w:w="2693" w:type="dxa"/>
          </w:tcPr>
          <w:p>
            <w:pPr>
              <w:autoSpaceDE w:val="0"/>
              <w:autoSpaceDN w:val="0"/>
              <w:spacing w:before="31" w:line="240" w:lineRule="auto"/>
              <w:ind w:left="562" w:right="56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36°22′20.89″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vMerge w:val="continue"/>
          </w:tcPr>
          <w:p>
            <w:pPr>
              <w:autoSpaceDE w:val="0"/>
              <w:autoSpaceDN w:val="0"/>
              <w:spacing w:line="240" w:lineRule="auto"/>
              <w:ind w:firstLine="0" w:firstLineChars="0"/>
              <w:jc w:val="left"/>
              <w:rPr>
                <w:rFonts w:ascii="Times New Roman" w:hAnsi="Times New Roman" w:eastAsia="宋体"/>
                <w:kern w:val="0"/>
                <w:sz w:val="21"/>
                <w:szCs w:val="21"/>
                <w:lang w:eastAsia="en-US"/>
              </w:rPr>
            </w:pPr>
          </w:p>
        </w:tc>
        <w:tc>
          <w:tcPr>
            <w:tcW w:w="1276" w:type="dxa"/>
          </w:tcPr>
          <w:p>
            <w:pPr>
              <w:autoSpaceDE w:val="0"/>
              <w:autoSpaceDN w:val="0"/>
              <w:spacing w:before="32" w:line="240" w:lineRule="auto"/>
              <w:ind w:left="302" w:right="30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JT5</w:t>
            </w:r>
          </w:p>
        </w:tc>
        <w:tc>
          <w:tcPr>
            <w:tcW w:w="2552" w:type="dxa"/>
          </w:tcPr>
          <w:p>
            <w:pPr>
              <w:autoSpaceDE w:val="0"/>
              <w:autoSpaceDN w:val="0"/>
              <w:spacing w:before="32" w:line="240" w:lineRule="auto"/>
              <w:ind w:left="623" w:right="620"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117°57′16.38″</w:t>
            </w:r>
          </w:p>
        </w:tc>
        <w:tc>
          <w:tcPr>
            <w:tcW w:w="2693" w:type="dxa"/>
          </w:tcPr>
          <w:p>
            <w:pPr>
              <w:autoSpaceDE w:val="0"/>
              <w:autoSpaceDN w:val="0"/>
              <w:spacing w:before="32" w:line="240" w:lineRule="auto"/>
              <w:ind w:left="562" w:right="56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36°23′26.89″</w:t>
            </w:r>
          </w:p>
        </w:tc>
      </w:tr>
    </w:tbl>
    <w:p>
      <w:pPr>
        <w:ind w:left="-1560" w:leftChars="-557" w:firstLine="0" w:firstLineChars="0"/>
        <w:rPr>
          <w:rFonts w:ascii="Times New Roman" w:hAnsi="Times New Roman"/>
          <w:sz w:val="21"/>
          <w:szCs w:val="21"/>
        </w:rPr>
      </w:pPr>
      <w:r>
        <w:rPr>
          <w:rFonts w:ascii="Times New Roman" w:hAnsi="Times New Roman"/>
          <w:sz w:val="21"/>
          <w:szCs w:val="21"/>
        </w:rPr>
        <w:drawing>
          <wp:inline distT="0" distB="0" distL="0" distR="0">
            <wp:extent cx="7337425" cy="5192395"/>
            <wp:effectExtent l="0" t="0" r="0" b="825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354047" cy="5204320"/>
                    </a:xfrm>
                    <a:prstGeom prst="rect">
                      <a:avLst/>
                    </a:prstGeom>
                  </pic:spPr>
                </pic:pic>
              </a:graphicData>
            </a:graphic>
          </wp:inline>
        </w:drawing>
      </w:r>
    </w:p>
    <w:p>
      <w:pPr>
        <w:ind w:firstLine="560"/>
        <w:jc w:val="center"/>
        <w:rPr>
          <w:rFonts w:ascii="Times New Roman" w:hAnsi="Times New Roman"/>
        </w:rPr>
      </w:pPr>
      <w:r>
        <w:rPr>
          <w:rFonts w:ascii="Times New Roman" w:hAnsi="Times New Roman"/>
        </w:rPr>
        <w:t>图</w:t>
      </w:r>
      <w:r>
        <w:rPr>
          <w:rFonts w:hint="eastAsia" w:ascii="Times New Roman" w:hAnsi="Times New Roman"/>
        </w:rPr>
        <w:t>6-4</w:t>
      </w:r>
      <w:r>
        <w:rPr>
          <w:rFonts w:ascii="Times New Roman" w:hAnsi="Times New Roman"/>
        </w:rPr>
        <w:t xml:space="preserve"> </w:t>
      </w:r>
      <w:r>
        <w:rPr>
          <w:rFonts w:hint="eastAsia" w:ascii="Times New Roman" w:hAnsi="Times New Roman"/>
        </w:rPr>
        <w:t>谢家店饮用水水源保护区交通警示牌设置分布图</w:t>
      </w:r>
    </w:p>
    <w:p>
      <w:pPr>
        <w:pStyle w:val="27"/>
        <w:spacing w:before="190" w:after="190"/>
      </w:pPr>
      <w:bookmarkStart w:id="86" w:name="_Toc35526498"/>
      <w:r>
        <w:rPr>
          <w:rFonts w:hint="eastAsia"/>
        </w:rPr>
        <w:t>谢家店饮用水水源保护区宣传牌</w:t>
      </w:r>
      <w:bookmarkEnd w:id="86"/>
    </w:p>
    <w:p>
      <w:pPr>
        <w:ind w:firstLine="560"/>
        <w:rPr>
          <w:rFonts w:ascii="Times New Roman" w:hAnsi="Times New Roman"/>
        </w:rPr>
      </w:pPr>
      <w:r>
        <w:rPr>
          <w:rFonts w:hint="eastAsia" w:ascii="Times New Roman" w:hAnsi="Times New Roman"/>
        </w:rPr>
        <w:t>谢家店饮用水水源保护区宣传牌共设置4个，其中一级保护区1个，准保护区3个，其位置和数量分别见表 6</w:t>
      </w:r>
      <w:r>
        <w:rPr>
          <w:rFonts w:ascii="Times New Roman" w:hAnsi="Times New Roman"/>
        </w:rPr>
        <w:t>-</w:t>
      </w:r>
      <w:r>
        <w:rPr>
          <w:rFonts w:hint="eastAsia" w:ascii="Times New Roman" w:hAnsi="Times New Roman"/>
        </w:rPr>
        <w:t>4  和图6-5。</w:t>
      </w:r>
    </w:p>
    <w:p>
      <w:pPr>
        <w:ind w:firstLine="0" w:firstLineChars="0"/>
        <w:jc w:val="center"/>
        <w:rPr>
          <w:rFonts w:ascii="Times New Roman" w:hAnsi="Times New Roman"/>
        </w:rPr>
      </w:pPr>
      <w:r>
        <w:rPr>
          <w:rFonts w:ascii="Times New Roman" w:hAnsi="Times New Roman"/>
        </w:rPr>
        <w:t>表</w:t>
      </w:r>
      <w:r>
        <w:rPr>
          <w:rFonts w:hint="eastAsia" w:ascii="Times New Roman" w:hAnsi="Times New Roman"/>
        </w:rPr>
        <w:t>6-4</w:t>
      </w:r>
      <w:r>
        <w:rPr>
          <w:rFonts w:ascii="Times New Roman" w:hAnsi="Times New Roman"/>
        </w:rPr>
        <w:t xml:space="preserve"> </w:t>
      </w:r>
      <w:r>
        <w:rPr>
          <w:rFonts w:hint="eastAsia" w:ascii="Times New Roman" w:hAnsi="Times New Roman"/>
        </w:rPr>
        <w:t>饮用水水源保护区宣传牌设置情况表</w:t>
      </w:r>
    </w:p>
    <w:tbl>
      <w:tblPr>
        <w:tblStyle w:val="38"/>
        <w:tblW w:w="812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99"/>
        <w:gridCol w:w="1276"/>
        <w:gridCol w:w="2552"/>
        <w:gridCol w:w="26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tcPr>
          <w:p>
            <w:pPr>
              <w:autoSpaceDE w:val="0"/>
              <w:autoSpaceDN w:val="0"/>
              <w:spacing w:line="270" w:lineRule="exact"/>
              <w:ind w:firstLineChars="0"/>
              <w:jc w:val="left"/>
              <w:rPr>
                <w:rFonts w:ascii="宋体" w:hAnsi="Times New Roman" w:eastAsia="宋体"/>
                <w:b/>
                <w:kern w:val="0"/>
                <w:sz w:val="22"/>
                <w:lang w:eastAsia="en-US"/>
              </w:rPr>
            </w:pPr>
            <w:r>
              <w:rPr>
                <w:rFonts w:hint="eastAsia" w:ascii="宋体" w:hAnsi="Times New Roman" w:eastAsia="宋体"/>
                <w:b/>
                <w:kern w:val="0"/>
                <w:sz w:val="22"/>
                <w:lang w:eastAsia="en-US"/>
              </w:rPr>
              <w:t>保护区级别</w:t>
            </w:r>
          </w:p>
        </w:tc>
        <w:tc>
          <w:tcPr>
            <w:tcW w:w="1276" w:type="dxa"/>
          </w:tcPr>
          <w:p>
            <w:pPr>
              <w:autoSpaceDE w:val="0"/>
              <w:autoSpaceDN w:val="0"/>
              <w:spacing w:line="270" w:lineRule="exact"/>
              <w:ind w:right="301" w:firstLineChars="0"/>
              <w:rPr>
                <w:rFonts w:ascii="宋体" w:hAnsi="Times New Roman" w:eastAsia="宋体"/>
                <w:b/>
                <w:kern w:val="0"/>
                <w:sz w:val="22"/>
                <w:lang w:eastAsia="en-US"/>
              </w:rPr>
            </w:pPr>
            <w:r>
              <w:rPr>
                <w:rFonts w:hint="eastAsia" w:ascii="宋体" w:hAnsi="Times New Roman" w:eastAsia="宋体"/>
                <w:b/>
                <w:kern w:val="0"/>
                <w:sz w:val="22"/>
                <w:lang w:eastAsia="en-US"/>
              </w:rPr>
              <w:t>界标点</w:t>
            </w:r>
          </w:p>
        </w:tc>
        <w:tc>
          <w:tcPr>
            <w:tcW w:w="2552" w:type="dxa"/>
          </w:tcPr>
          <w:p>
            <w:pPr>
              <w:autoSpaceDE w:val="0"/>
              <w:autoSpaceDN w:val="0"/>
              <w:spacing w:line="270" w:lineRule="exact"/>
              <w:ind w:left="619" w:right="620" w:firstLine="0" w:firstLineChars="0"/>
              <w:jc w:val="center"/>
              <w:rPr>
                <w:rFonts w:ascii="宋体" w:hAnsi="Times New Roman" w:eastAsia="宋体"/>
                <w:b/>
                <w:kern w:val="0"/>
                <w:sz w:val="22"/>
                <w:lang w:eastAsia="en-US"/>
              </w:rPr>
            </w:pPr>
            <w:r>
              <w:rPr>
                <w:rFonts w:hint="eastAsia" w:ascii="宋体" w:hAnsi="Times New Roman" w:eastAsia="宋体"/>
                <w:b/>
                <w:kern w:val="0"/>
                <w:sz w:val="22"/>
                <w:lang w:eastAsia="en-US"/>
              </w:rPr>
              <w:t>经度</w:t>
            </w:r>
          </w:p>
        </w:tc>
        <w:tc>
          <w:tcPr>
            <w:tcW w:w="2693" w:type="dxa"/>
          </w:tcPr>
          <w:p>
            <w:pPr>
              <w:autoSpaceDE w:val="0"/>
              <w:autoSpaceDN w:val="0"/>
              <w:spacing w:line="270" w:lineRule="exact"/>
              <w:ind w:left="561" w:right="561" w:firstLine="0" w:firstLineChars="0"/>
              <w:jc w:val="center"/>
              <w:rPr>
                <w:rFonts w:ascii="宋体" w:hAnsi="Times New Roman" w:eastAsia="宋体"/>
                <w:b/>
                <w:kern w:val="0"/>
                <w:sz w:val="22"/>
                <w:lang w:eastAsia="en-US"/>
              </w:rPr>
            </w:pPr>
            <w:r>
              <w:rPr>
                <w:rFonts w:hint="eastAsia" w:ascii="宋体" w:hAnsi="Times New Roman" w:eastAsia="宋体"/>
                <w:b/>
                <w:kern w:val="0"/>
                <w:sz w:val="22"/>
                <w:lang w:eastAsia="en-US"/>
              </w:rPr>
              <w:t>纬度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tcBorders>
              <w:bottom w:val="single" w:color="auto" w:sz="4" w:space="0"/>
            </w:tcBorders>
            <w:vAlign w:val="center"/>
          </w:tcPr>
          <w:p>
            <w:pPr>
              <w:autoSpaceDE w:val="0"/>
              <w:autoSpaceDN w:val="0"/>
              <w:spacing w:line="240" w:lineRule="auto"/>
              <w:ind w:firstLine="0" w:firstLineChars="0"/>
              <w:jc w:val="center"/>
              <w:rPr>
                <w:rFonts w:ascii="Times New Roman" w:hAnsi="Times New Roman" w:eastAsia="宋体"/>
                <w:kern w:val="0"/>
                <w:sz w:val="21"/>
                <w:szCs w:val="21"/>
                <w:lang w:eastAsia="zh-CN"/>
              </w:rPr>
            </w:pPr>
            <w:r>
              <w:rPr>
                <w:rFonts w:hint="eastAsia" w:ascii="Times New Roman" w:hAnsi="Times New Roman" w:eastAsia="宋体"/>
                <w:kern w:val="0"/>
                <w:sz w:val="21"/>
                <w:szCs w:val="21"/>
                <w:lang w:eastAsia="zh-CN"/>
              </w:rPr>
              <w:t>一级保护区</w:t>
            </w:r>
          </w:p>
        </w:tc>
        <w:tc>
          <w:tcPr>
            <w:tcW w:w="1276" w:type="dxa"/>
          </w:tcPr>
          <w:p>
            <w:pPr>
              <w:autoSpaceDE w:val="0"/>
              <w:autoSpaceDN w:val="0"/>
              <w:spacing w:line="240" w:lineRule="auto"/>
              <w:ind w:firstLine="0" w:firstLineChars="0"/>
              <w:jc w:val="center"/>
              <w:rPr>
                <w:rFonts w:ascii="Times New Roman" w:hAnsi="Times New Roman" w:eastAsia="宋体"/>
                <w:kern w:val="0"/>
                <w:sz w:val="21"/>
                <w:szCs w:val="21"/>
                <w:lang w:eastAsia="en-US"/>
              </w:rPr>
            </w:pPr>
            <w:r>
              <w:rPr>
                <w:rFonts w:ascii="Times New Roman" w:hAnsi="Times New Roman" w:eastAsia="宋体"/>
                <w:kern w:val="0"/>
                <w:sz w:val="21"/>
                <w:szCs w:val="21"/>
                <w:lang w:eastAsia="en-US"/>
              </w:rPr>
              <w:t>X11</w:t>
            </w:r>
          </w:p>
        </w:tc>
        <w:tc>
          <w:tcPr>
            <w:tcW w:w="2552" w:type="dxa"/>
          </w:tcPr>
          <w:p>
            <w:pPr>
              <w:autoSpaceDE w:val="0"/>
              <w:autoSpaceDN w:val="0"/>
              <w:spacing w:before="32" w:line="240" w:lineRule="auto"/>
              <w:ind w:left="623" w:right="620"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117°58′54.01″</w:t>
            </w:r>
          </w:p>
        </w:tc>
        <w:tc>
          <w:tcPr>
            <w:tcW w:w="2693" w:type="dxa"/>
          </w:tcPr>
          <w:p>
            <w:pPr>
              <w:autoSpaceDE w:val="0"/>
              <w:autoSpaceDN w:val="0"/>
              <w:spacing w:before="32" w:line="240" w:lineRule="auto"/>
              <w:ind w:left="562" w:right="56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36°23′8.04″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1599" w:type="dxa"/>
            <w:vMerge w:val="restart"/>
            <w:tcBorders>
              <w:top w:val="single" w:color="auto" w:sz="4" w:space="0"/>
            </w:tcBorders>
            <w:vAlign w:val="center"/>
          </w:tcPr>
          <w:p>
            <w:pPr>
              <w:autoSpaceDE w:val="0"/>
              <w:autoSpaceDN w:val="0"/>
              <w:spacing w:line="240" w:lineRule="auto"/>
              <w:ind w:firstLine="0" w:firstLineChars="0"/>
              <w:jc w:val="center"/>
              <w:rPr>
                <w:rFonts w:ascii="Times New Roman" w:hAnsi="Times New Roman" w:eastAsia="宋体"/>
                <w:kern w:val="0"/>
                <w:sz w:val="21"/>
                <w:szCs w:val="21"/>
                <w:lang w:eastAsia="en-US"/>
              </w:rPr>
            </w:pPr>
            <w:r>
              <w:rPr>
                <w:rFonts w:ascii="Times New Roman" w:hAnsi="Times New Roman" w:eastAsia="宋体"/>
                <w:kern w:val="0"/>
                <w:sz w:val="21"/>
                <w:szCs w:val="21"/>
                <w:lang w:eastAsia="zh-CN"/>
              </w:rPr>
              <w:t>准</w:t>
            </w:r>
            <w:r>
              <w:rPr>
                <w:rFonts w:ascii="Times New Roman" w:hAnsi="Times New Roman" w:eastAsia="宋体"/>
                <w:kern w:val="0"/>
                <w:sz w:val="21"/>
                <w:szCs w:val="21"/>
                <w:lang w:eastAsia="en-US"/>
              </w:rPr>
              <w:t>保护区</w:t>
            </w:r>
          </w:p>
        </w:tc>
        <w:tc>
          <w:tcPr>
            <w:tcW w:w="1276" w:type="dxa"/>
          </w:tcPr>
          <w:p>
            <w:pPr>
              <w:autoSpaceDE w:val="0"/>
              <w:autoSpaceDN w:val="0"/>
              <w:spacing w:line="240" w:lineRule="auto"/>
              <w:ind w:firstLine="0" w:firstLineChars="0"/>
              <w:jc w:val="center"/>
              <w:rPr>
                <w:rFonts w:ascii="Times New Roman" w:hAnsi="Times New Roman" w:eastAsia="宋体"/>
                <w:kern w:val="0"/>
                <w:sz w:val="21"/>
                <w:szCs w:val="21"/>
                <w:lang w:eastAsia="en-US"/>
              </w:rPr>
            </w:pPr>
            <w:r>
              <w:rPr>
                <w:rFonts w:ascii="Times New Roman" w:hAnsi="Times New Roman" w:eastAsia="宋体"/>
                <w:kern w:val="0"/>
                <w:sz w:val="21"/>
                <w:szCs w:val="21"/>
                <w:lang w:eastAsia="en-US"/>
              </w:rPr>
              <w:t>XZ1</w:t>
            </w:r>
          </w:p>
        </w:tc>
        <w:tc>
          <w:tcPr>
            <w:tcW w:w="2552" w:type="dxa"/>
          </w:tcPr>
          <w:p>
            <w:pPr>
              <w:autoSpaceDE w:val="0"/>
              <w:autoSpaceDN w:val="0"/>
              <w:spacing w:before="31" w:line="240" w:lineRule="auto"/>
              <w:ind w:left="623" w:right="620"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117°58′49.23″</w:t>
            </w:r>
          </w:p>
        </w:tc>
        <w:tc>
          <w:tcPr>
            <w:tcW w:w="2693" w:type="dxa"/>
          </w:tcPr>
          <w:p>
            <w:pPr>
              <w:autoSpaceDE w:val="0"/>
              <w:autoSpaceDN w:val="0"/>
              <w:spacing w:before="31" w:line="240" w:lineRule="auto"/>
              <w:ind w:left="562" w:right="56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36°22′7.23″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exact"/>
          <w:jc w:val="center"/>
        </w:trPr>
        <w:tc>
          <w:tcPr>
            <w:tcW w:w="1599" w:type="dxa"/>
            <w:vMerge w:val="continue"/>
          </w:tcPr>
          <w:p>
            <w:pPr>
              <w:autoSpaceDE w:val="0"/>
              <w:autoSpaceDN w:val="0"/>
              <w:spacing w:line="240" w:lineRule="auto"/>
              <w:ind w:firstLine="0" w:firstLineChars="0"/>
              <w:jc w:val="left"/>
              <w:rPr>
                <w:rFonts w:ascii="Times New Roman" w:hAnsi="Times New Roman" w:eastAsia="宋体"/>
                <w:kern w:val="0"/>
                <w:sz w:val="21"/>
                <w:szCs w:val="21"/>
                <w:lang w:eastAsia="en-US"/>
              </w:rPr>
            </w:pPr>
          </w:p>
        </w:tc>
        <w:tc>
          <w:tcPr>
            <w:tcW w:w="1276" w:type="dxa"/>
          </w:tcPr>
          <w:p>
            <w:pPr>
              <w:autoSpaceDE w:val="0"/>
              <w:autoSpaceDN w:val="0"/>
              <w:spacing w:line="240" w:lineRule="auto"/>
              <w:ind w:firstLine="0" w:firstLineChars="0"/>
              <w:jc w:val="center"/>
              <w:rPr>
                <w:rFonts w:ascii="Times New Roman" w:hAnsi="Times New Roman" w:eastAsia="宋体"/>
                <w:kern w:val="0"/>
                <w:sz w:val="21"/>
                <w:szCs w:val="21"/>
                <w:lang w:eastAsia="en-US"/>
              </w:rPr>
            </w:pPr>
            <w:r>
              <w:rPr>
                <w:rFonts w:ascii="Times New Roman" w:hAnsi="Times New Roman" w:eastAsia="宋体"/>
                <w:kern w:val="0"/>
                <w:sz w:val="21"/>
                <w:szCs w:val="21"/>
                <w:lang w:eastAsia="en-US"/>
              </w:rPr>
              <w:t>XZ2</w:t>
            </w:r>
          </w:p>
        </w:tc>
        <w:tc>
          <w:tcPr>
            <w:tcW w:w="2552" w:type="dxa"/>
          </w:tcPr>
          <w:p>
            <w:pPr>
              <w:autoSpaceDE w:val="0"/>
              <w:autoSpaceDN w:val="0"/>
              <w:spacing w:before="32" w:line="240" w:lineRule="auto"/>
              <w:ind w:left="623" w:right="620"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117°58′3.04″</w:t>
            </w:r>
          </w:p>
        </w:tc>
        <w:tc>
          <w:tcPr>
            <w:tcW w:w="2693" w:type="dxa"/>
          </w:tcPr>
          <w:p>
            <w:pPr>
              <w:autoSpaceDE w:val="0"/>
              <w:autoSpaceDN w:val="0"/>
              <w:spacing w:before="32" w:line="240" w:lineRule="auto"/>
              <w:ind w:left="562" w:right="56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36°21′51.42″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6" w:hRule="exact"/>
          <w:jc w:val="center"/>
        </w:trPr>
        <w:tc>
          <w:tcPr>
            <w:tcW w:w="1599" w:type="dxa"/>
            <w:vMerge w:val="continue"/>
          </w:tcPr>
          <w:p>
            <w:pPr>
              <w:autoSpaceDE w:val="0"/>
              <w:autoSpaceDN w:val="0"/>
              <w:spacing w:line="240" w:lineRule="auto"/>
              <w:ind w:firstLine="0" w:firstLineChars="0"/>
              <w:jc w:val="left"/>
              <w:rPr>
                <w:rFonts w:ascii="Times New Roman" w:hAnsi="Times New Roman" w:eastAsia="宋体"/>
                <w:kern w:val="0"/>
                <w:sz w:val="21"/>
                <w:szCs w:val="21"/>
                <w:lang w:eastAsia="en-US"/>
              </w:rPr>
            </w:pPr>
          </w:p>
        </w:tc>
        <w:tc>
          <w:tcPr>
            <w:tcW w:w="1276" w:type="dxa"/>
          </w:tcPr>
          <w:p>
            <w:pPr>
              <w:autoSpaceDE w:val="0"/>
              <w:autoSpaceDN w:val="0"/>
              <w:spacing w:line="240" w:lineRule="auto"/>
              <w:ind w:firstLine="0" w:firstLineChars="0"/>
              <w:jc w:val="center"/>
              <w:rPr>
                <w:rFonts w:ascii="Times New Roman" w:hAnsi="Times New Roman" w:eastAsia="宋体"/>
                <w:kern w:val="0"/>
                <w:sz w:val="21"/>
                <w:szCs w:val="21"/>
                <w:lang w:eastAsia="en-US"/>
              </w:rPr>
            </w:pPr>
            <w:r>
              <w:rPr>
                <w:rFonts w:ascii="Times New Roman" w:hAnsi="Times New Roman" w:eastAsia="宋体"/>
                <w:kern w:val="0"/>
                <w:sz w:val="21"/>
                <w:szCs w:val="21"/>
                <w:lang w:eastAsia="en-US"/>
              </w:rPr>
              <w:t>XZ3</w:t>
            </w:r>
          </w:p>
        </w:tc>
        <w:tc>
          <w:tcPr>
            <w:tcW w:w="2552" w:type="dxa"/>
          </w:tcPr>
          <w:p>
            <w:pPr>
              <w:autoSpaceDE w:val="0"/>
              <w:autoSpaceDN w:val="0"/>
              <w:spacing w:before="31" w:line="240" w:lineRule="auto"/>
              <w:ind w:left="623" w:right="620"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117°54′40.71″</w:t>
            </w:r>
          </w:p>
        </w:tc>
        <w:tc>
          <w:tcPr>
            <w:tcW w:w="2693" w:type="dxa"/>
          </w:tcPr>
          <w:p>
            <w:pPr>
              <w:autoSpaceDE w:val="0"/>
              <w:autoSpaceDN w:val="0"/>
              <w:spacing w:before="31" w:line="240" w:lineRule="auto"/>
              <w:ind w:left="562" w:right="561" w:firstLine="0" w:firstLineChars="0"/>
              <w:jc w:val="center"/>
              <w:rPr>
                <w:rFonts w:ascii="Times New Roman" w:hAnsi="Times New Roman" w:eastAsia="Times New Roman"/>
                <w:kern w:val="0"/>
                <w:sz w:val="21"/>
                <w:szCs w:val="21"/>
                <w:lang w:eastAsia="en-US"/>
              </w:rPr>
            </w:pPr>
            <w:r>
              <w:rPr>
                <w:rFonts w:ascii="Times New Roman" w:hAnsi="Times New Roman"/>
                <w:kern w:val="0"/>
                <w:sz w:val="21"/>
                <w:szCs w:val="21"/>
                <w:lang w:eastAsia="en-US"/>
              </w:rPr>
              <w:t>36°22′20.89″</w:t>
            </w:r>
          </w:p>
        </w:tc>
      </w:tr>
    </w:tbl>
    <w:p>
      <w:pPr>
        <w:ind w:left="-1417" w:leftChars="-506" w:firstLine="39" w:firstLineChars="14"/>
        <w:jc w:val="center"/>
      </w:pPr>
    </w:p>
    <w:p>
      <w:pPr>
        <w:ind w:left="-1417" w:leftChars="-506" w:firstLine="0" w:firstLineChars="0"/>
        <w:rPr>
          <w:rFonts w:ascii="Times New Roman" w:hAnsi="Times New Roman"/>
        </w:rPr>
      </w:pPr>
      <w:r>
        <w:rPr>
          <w:rFonts w:ascii="Times New Roman" w:hAnsi="Times New Roman"/>
        </w:rPr>
        <w:drawing>
          <wp:inline distT="0" distB="0" distL="0" distR="0">
            <wp:extent cx="7154545" cy="5062855"/>
            <wp:effectExtent l="0" t="0" r="8255" b="444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166125" cy="5071332"/>
                    </a:xfrm>
                    <a:prstGeom prst="rect">
                      <a:avLst/>
                    </a:prstGeom>
                  </pic:spPr>
                </pic:pic>
              </a:graphicData>
            </a:graphic>
          </wp:inline>
        </w:drawing>
      </w:r>
    </w:p>
    <w:p>
      <w:pPr>
        <w:ind w:firstLine="560"/>
        <w:jc w:val="center"/>
        <w:rPr>
          <w:rFonts w:ascii="Times New Roman" w:hAnsi="Times New Roman"/>
        </w:rPr>
      </w:pPr>
      <w:r>
        <w:rPr>
          <w:rFonts w:hint="eastAsia" w:ascii="Times New Roman" w:hAnsi="Times New Roman"/>
        </w:rPr>
        <w:t>图6-5</w:t>
      </w:r>
      <w:r>
        <w:rPr>
          <w:rFonts w:ascii="Times New Roman" w:hAnsi="Times New Roman"/>
        </w:rPr>
        <w:t xml:space="preserve"> </w:t>
      </w:r>
      <w:r>
        <w:rPr>
          <w:rFonts w:hint="eastAsia" w:ascii="Times New Roman" w:hAnsi="Times New Roman"/>
        </w:rPr>
        <w:t>谢家店饮用水水源保护区宣传牌设置分布图</w:t>
      </w:r>
    </w:p>
    <w:p>
      <w:pPr>
        <w:widowControl/>
        <w:spacing w:line="240" w:lineRule="auto"/>
        <w:ind w:firstLine="0" w:firstLineChars="0"/>
        <w:jc w:val="left"/>
      </w:pPr>
      <w:r>
        <w:br w:type="page"/>
      </w:r>
    </w:p>
    <w:p>
      <w:pPr>
        <w:pStyle w:val="29"/>
        <w:spacing w:before="190" w:after="190"/>
        <w:ind w:left="482"/>
        <w:jc w:val="both"/>
        <w:rPr>
          <w:rFonts w:ascii="Times New Roman" w:hAnsi="Times New Roman"/>
        </w:rPr>
      </w:pPr>
      <w:bookmarkStart w:id="87" w:name="_Toc35526499"/>
      <w:bookmarkStart w:id="88" w:name="_Toc526857091"/>
      <w:r>
        <w:rPr>
          <w:rFonts w:hint="eastAsia" w:ascii="Times New Roman" w:hAnsi="Times New Roman"/>
        </w:rPr>
        <w:t>附件</w:t>
      </w:r>
      <w:bookmarkEnd w:id="87"/>
      <w:bookmarkEnd w:id="88"/>
    </w:p>
    <w:p>
      <w:pPr>
        <w:pStyle w:val="30"/>
        <w:ind w:firstLine="0" w:firstLineChars="0"/>
      </w:pPr>
      <w:r>
        <w:rPr>
          <w:rFonts w:hint="eastAsia"/>
        </w:rPr>
        <w:t>1．博山区发展和改革局《关于博山区水务局建设博山区谢家店应急供水项目立项的批复》文件。</w:t>
      </w:r>
    </w:p>
    <w:p>
      <w:pPr>
        <w:pStyle w:val="30"/>
        <w:ind w:firstLine="0" w:firstLineChars="0"/>
      </w:pPr>
      <w:r>
        <w:drawing>
          <wp:inline distT="0" distB="0" distL="0" distR="0">
            <wp:extent cx="5253990" cy="7472045"/>
            <wp:effectExtent l="0" t="0" r="381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6">
                      <a:extLst>
                        <a:ext uri="{28A0092B-C50C-407E-A947-70E740481C1C}">
                          <a14:useLocalDpi xmlns:a14="http://schemas.microsoft.com/office/drawing/2010/main" val="0"/>
                        </a:ext>
                      </a:extLst>
                    </a:blip>
                    <a:srcRect l="4310" t="4168" r="2546" b="1910"/>
                    <a:stretch>
                      <a:fillRect/>
                    </a:stretch>
                  </pic:blipFill>
                  <pic:spPr>
                    <a:xfrm>
                      <a:off x="0" y="0"/>
                      <a:ext cx="5271065" cy="7495804"/>
                    </a:xfrm>
                    <a:prstGeom prst="rect">
                      <a:avLst/>
                    </a:prstGeom>
                    <a:ln>
                      <a:noFill/>
                    </a:ln>
                  </pic:spPr>
                </pic:pic>
              </a:graphicData>
            </a:graphic>
          </wp:inline>
        </w:drawing>
      </w:r>
    </w:p>
    <w:p>
      <w:pPr>
        <w:pStyle w:val="30"/>
        <w:ind w:firstLine="0" w:firstLineChars="0"/>
        <w:rPr>
          <w:rFonts w:hint="eastAsia"/>
        </w:rPr>
      </w:pPr>
      <w:r>
        <w:rPr>
          <w:rFonts w:hint="eastAsia"/>
        </w:rPr>
        <w:t>2．博山区发展和改革局《关于淄博市博山区谢家店应急供水工程及河道综合治理建设项目立项的批复》文件。</w:t>
      </w:r>
    </w:p>
    <w:p>
      <w:pPr>
        <w:widowControl/>
        <w:spacing w:line="240" w:lineRule="auto"/>
        <w:ind w:firstLine="0" w:firstLineChars="0"/>
        <w:jc w:val="left"/>
      </w:pPr>
      <w:r>
        <w:drawing>
          <wp:anchor distT="0" distB="0" distL="114300" distR="114300" simplePos="0" relativeHeight="251664384" behindDoc="0" locked="0" layoutInCell="1" allowOverlap="1">
            <wp:simplePos x="0" y="0"/>
            <wp:positionH relativeFrom="margin">
              <wp:posOffset>-398780</wp:posOffset>
            </wp:positionH>
            <wp:positionV relativeFrom="paragraph">
              <wp:posOffset>3810</wp:posOffset>
            </wp:positionV>
            <wp:extent cx="6052820" cy="7225665"/>
            <wp:effectExtent l="0" t="0" r="5715" b="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7" cstate="print">
                      <a:extLst>
                        <a:ext uri="{28A0092B-C50C-407E-A947-70E740481C1C}">
                          <a14:useLocalDpi xmlns:a14="http://schemas.microsoft.com/office/drawing/2010/main" val="0"/>
                        </a:ext>
                      </a:extLst>
                    </a:blip>
                    <a:srcRect l="1942" t="10918" r="2350" b="7380"/>
                    <a:stretch>
                      <a:fillRect/>
                    </a:stretch>
                  </pic:blipFill>
                  <pic:spPr>
                    <a:xfrm>
                      <a:off x="0" y="0"/>
                      <a:ext cx="6053529" cy="7226490"/>
                    </a:xfrm>
                    <a:prstGeom prst="rect">
                      <a:avLst/>
                    </a:prstGeom>
                    <a:ln>
                      <a:noFill/>
                    </a:ln>
                  </pic:spPr>
                </pic:pic>
              </a:graphicData>
            </a:graphic>
          </wp:anchor>
        </w:drawing>
      </w:r>
      <w:r>
        <w:br w:type="page"/>
      </w:r>
    </w:p>
    <w:p>
      <w:pPr>
        <w:widowControl/>
        <w:spacing w:line="240" w:lineRule="auto"/>
        <w:ind w:firstLine="0" w:firstLineChars="0"/>
        <w:jc w:val="left"/>
      </w:pPr>
      <w:r>
        <w:drawing>
          <wp:anchor distT="0" distB="0" distL="114300" distR="114300" simplePos="0" relativeHeight="251665408" behindDoc="0" locked="0" layoutInCell="1" allowOverlap="1">
            <wp:simplePos x="0" y="0"/>
            <wp:positionH relativeFrom="margin">
              <wp:align>center</wp:align>
            </wp:positionH>
            <wp:positionV relativeFrom="paragraph">
              <wp:posOffset>95250</wp:posOffset>
            </wp:positionV>
            <wp:extent cx="5595620" cy="7588885"/>
            <wp:effectExtent l="0" t="0" r="5715" b="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8" cstate="print">
                      <a:extLst>
                        <a:ext uri="{28A0092B-C50C-407E-A947-70E740481C1C}">
                          <a14:useLocalDpi xmlns:a14="http://schemas.microsoft.com/office/drawing/2010/main" val="0"/>
                        </a:ext>
                      </a:extLst>
                    </a:blip>
                    <a:srcRect l="9056" t="5718" r="7356" b="13499"/>
                    <a:stretch>
                      <a:fillRect/>
                    </a:stretch>
                  </pic:blipFill>
                  <pic:spPr>
                    <a:xfrm>
                      <a:off x="0" y="0"/>
                      <a:ext cx="5595582" cy="7589007"/>
                    </a:xfrm>
                    <a:prstGeom prst="rect">
                      <a:avLst/>
                    </a:prstGeom>
                    <a:ln>
                      <a:noFill/>
                    </a:ln>
                  </pic:spPr>
                </pic:pic>
              </a:graphicData>
            </a:graphic>
          </wp:anchor>
        </w:drawing>
      </w:r>
    </w:p>
    <w:p>
      <w:pPr>
        <w:widowControl/>
        <w:spacing w:line="240" w:lineRule="auto"/>
        <w:ind w:firstLine="0" w:firstLineChars="0"/>
        <w:jc w:val="left"/>
      </w:pPr>
    </w:p>
    <w:p>
      <w:pPr>
        <w:widowControl/>
        <w:spacing w:line="240" w:lineRule="auto"/>
        <w:ind w:firstLine="0" w:firstLineChars="0"/>
        <w:jc w:val="left"/>
      </w:pPr>
      <w:r>
        <w:br w:type="page"/>
      </w:r>
    </w:p>
    <w:p>
      <w:pPr>
        <w:pStyle w:val="30"/>
        <w:ind w:firstLine="0" w:firstLineChars="0"/>
      </w:pPr>
      <w:r>
        <w:rPr>
          <w:rFonts w:hint="eastAsia"/>
        </w:rPr>
        <w:t>3．淄博市水资源管理办公室《关于淄博博山正普城市资产运营有限公司凿井申请的批复》文件。</w:t>
      </w:r>
    </w:p>
    <w:p>
      <w:pPr>
        <w:pStyle w:val="30"/>
        <w:ind w:firstLine="0" w:firstLineChars="0"/>
      </w:pPr>
      <w:r>
        <w:rPr>
          <w:rFonts w:hint="eastAsia"/>
        </w:rPr>
        <w:drawing>
          <wp:inline distT="0" distB="0" distL="0" distR="0">
            <wp:extent cx="5404485" cy="7523480"/>
            <wp:effectExtent l="0" t="0" r="5715" b="127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9">
                      <a:extLst>
                        <a:ext uri="{28A0092B-C50C-407E-A947-70E740481C1C}">
                          <a14:useLocalDpi xmlns:a14="http://schemas.microsoft.com/office/drawing/2010/main" val="0"/>
                        </a:ext>
                      </a:extLst>
                    </a:blip>
                    <a:srcRect l="9834" t="11467" r="3339" b="2826"/>
                    <a:stretch>
                      <a:fillRect/>
                    </a:stretch>
                  </pic:blipFill>
                  <pic:spPr>
                    <a:xfrm>
                      <a:off x="0" y="0"/>
                      <a:ext cx="5413272" cy="7535796"/>
                    </a:xfrm>
                    <a:prstGeom prst="rect">
                      <a:avLst/>
                    </a:prstGeom>
                    <a:ln>
                      <a:noFill/>
                    </a:ln>
                  </pic:spPr>
                </pic:pic>
              </a:graphicData>
            </a:graphic>
          </wp:inline>
        </w:drawing>
      </w:r>
    </w:p>
    <w:p>
      <w:pPr>
        <w:pStyle w:val="30"/>
        <w:ind w:firstLine="0" w:firstLineChars="0"/>
      </w:pPr>
      <w:r>
        <w:rPr>
          <w:rFonts w:hint="eastAsia"/>
        </w:rPr>
        <w:drawing>
          <wp:inline distT="0" distB="0" distL="0" distR="0">
            <wp:extent cx="5212715" cy="8213090"/>
            <wp:effectExtent l="0" t="0" r="698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40">
                      <a:extLst>
                        <a:ext uri="{28A0092B-C50C-407E-A947-70E740481C1C}">
                          <a14:useLocalDpi xmlns:a14="http://schemas.microsoft.com/office/drawing/2010/main" val="0"/>
                        </a:ext>
                      </a:extLst>
                    </a:blip>
                    <a:srcRect l="14548" t="6789" r="5538" b="3934"/>
                    <a:stretch>
                      <a:fillRect/>
                    </a:stretch>
                  </pic:blipFill>
                  <pic:spPr>
                    <a:xfrm>
                      <a:off x="0" y="0"/>
                      <a:ext cx="5219306" cy="8223089"/>
                    </a:xfrm>
                    <a:prstGeom prst="rect">
                      <a:avLst/>
                    </a:prstGeom>
                    <a:ln>
                      <a:noFill/>
                    </a:ln>
                  </pic:spPr>
                </pic:pic>
              </a:graphicData>
            </a:graphic>
          </wp:inline>
        </w:drawing>
      </w:r>
    </w:p>
    <w:p>
      <w:pPr>
        <w:pStyle w:val="30"/>
        <w:ind w:firstLine="0" w:firstLineChars="0"/>
      </w:pPr>
    </w:p>
    <w:sectPr>
      <w:pgSz w:w="11906" w:h="16838"/>
      <w:pgMar w:top="1440" w:right="1800" w:bottom="1440" w:left="1800" w:header="851" w:footer="992" w:gutter="0"/>
      <w:cols w:space="425" w:num="1"/>
      <w:docGrid w:type="lines" w:linePitch="38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等线">
    <w:altName w:val="微软雅黑"/>
    <w:panose1 w:val="00000000000000000000"/>
    <w:charset w:val="86"/>
    <w:family w:val="auto"/>
    <w:pitch w:val="default"/>
    <w:sig w:usb0="00000000" w:usb1="00000000" w:usb2="00000000" w:usb3="00000000" w:csb0="00000000" w:csb1="00000000"/>
  </w:font>
  <w:font w:name="等线">
    <w:altName w:val="微软雅黑"/>
    <w:panose1 w:val="00000000000000000000"/>
    <w:charset w:val="00"/>
    <w:family w:val="auto"/>
    <w:pitch w:val="default"/>
    <w:sig w:usb0="00000000" w:usb1="00000000" w:usb2="00000000" w:usb3="00000000" w:csb0="00000000"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等线 Light">
    <w:altName w:val="宋体"/>
    <w:panose1 w:val="02010600030101010101"/>
    <w:charset w:val="86"/>
    <w:family w:val="auto"/>
    <w:pitch w:val="default"/>
    <w:sig w:usb0="00000000" w:usb1="00000000" w:usb2="00000016" w:usb3="00000000" w:csb0="0004000F" w:csb1="00000000"/>
  </w:font>
  <w:font w:name="TimesNewRoman">
    <w:altName w:val="Times New Roman"/>
    <w:panose1 w:val="00000000000000000000"/>
    <w:charset w:val="00"/>
    <w:family w:val="roman"/>
    <w:pitch w:val="default"/>
    <w:sig w:usb0="00000000" w:usb1="00000000" w:usb2="00000000" w:usb3="00000000" w:csb0="00000000" w:csb1="00000000"/>
  </w:font>
  <w:font w:name="ArialUnicodeMS">
    <w:altName w:val="Times New Roman"/>
    <w:panose1 w:val="00000000000000000000"/>
    <w:charset w:val="00"/>
    <w:family w:val="roman"/>
    <w:pitch w:val="default"/>
    <w:sig w:usb0="00000000" w:usb1="00000000" w:usb2="00000000" w:usb3="00000000" w:csb0="00000000" w:csb1="00000000"/>
  </w:font>
  <w:font w:name="Cambria Math">
    <w:panose1 w:val="02040503050406030204"/>
    <w:charset w:val="00"/>
    <w:family w:val="roman"/>
    <w:pitch w:val="default"/>
    <w:sig w:usb0="E00002FF" w:usb1="420024FF" w:usb2="00000000" w:usb3="00000000" w:csb0="2000019F" w:csb1="00000000"/>
  </w:font>
  <w:font w:name="微软雅黑">
    <w:panose1 w:val="020B0503020204020204"/>
    <w:charset w:val="86"/>
    <w:family w:val="auto"/>
    <w:pitch w:val="default"/>
    <w:sig w:usb0="80000287" w:usb1="280F3C52" w:usb2="00000016" w:usb3="00000000" w:csb0="0004001F" w:csb1="00000000"/>
  </w:font>
  <w:font w:name="等线 Light">
    <w:altName w:val="ESRI AMFM Electric"/>
    <w:panose1 w:val="00000000000000000000"/>
    <w:charset w:val="00"/>
    <w:family w:val="auto"/>
    <w:pitch w:val="default"/>
    <w:sig w:usb0="00000000" w:usb1="00000000" w:usb2="00000000" w:usb3="00000000" w:csb0="00000000" w:csb1="00000000"/>
  </w:font>
  <w:font w:name="ESRI AMFM Electric">
    <w:panose1 w:val="02000400000000000000"/>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pPr>
  </w:p>
  <w:p>
    <w:pPr>
      <w:pStyle w:val="9"/>
      <w:ind w:firstLine="0" w:firstLineChars="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48921965"/>
      <w:docPartObj>
        <w:docPartGallery w:val="autotext"/>
      </w:docPartObj>
    </w:sdtPr>
    <w:sdtEndPr>
      <w:rPr>
        <w:rFonts w:ascii="Times New Roman" w:hAnsi="Times New Roman"/>
      </w:rPr>
    </w:sdtEndPr>
    <w:sdtContent>
      <w:p>
        <w:pPr>
          <w:pStyle w:val="9"/>
          <w:ind w:firstLine="360"/>
          <w:jc w:val="center"/>
          <w:rPr>
            <w:rFonts w:ascii="Times New Roman" w:hAnsi="Times New Roman"/>
          </w:rPr>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III</w:t>
        </w:r>
        <w:r>
          <w:rPr>
            <w:rFonts w:ascii="Times New Roman" w:hAnsi="Times New Roman"/>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51541015"/>
      <w:docPartObj>
        <w:docPartGallery w:val="autotext"/>
      </w:docPartObj>
    </w:sdtPr>
    <w:sdtEndPr>
      <w:rPr>
        <w:lang w:val="zh-CN"/>
      </w:rPr>
    </w:sdtEndPr>
    <w:sdtContent>
      <w:p>
        <w:pPr>
          <w:pStyle w:val="9"/>
          <w:ind w:firstLine="360"/>
          <w:jc w:val="center"/>
        </w:pPr>
        <w:r>
          <w:fldChar w:fldCharType="begin"/>
        </w:r>
        <w:r>
          <w:instrText xml:space="preserve"> PAGE   \* MERGEFORMAT </w:instrText>
        </w:r>
        <w:r>
          <w:fldChar w:fldCharType="separate"/>
        </w:r>
        <w:r>
          <w:rPr>
            <w:lang w:val="zh-CN"/>
          </w:rPr>
          <w:t>1</w:t>
        </w:r>
        <w:r>
          <w:rPr>
            <w:lang w:val="zh-CN"/>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97125644"/>
      <w:docPartObj>
        <w:docPartGallery w:val="autotext"/>
      </w:docPartObj>
    </w:sdtPr>
    <w:sdtContent>
      <w:p>
        <w:pPr>
          <w:pStyle w:val="9"/>
          <w:ind w:firstLine="360"/>
          <w:jc w:val="center"/>
        </w:pPr>
        <w:r>
          <w:fldChar w:fldCharType="begin"/>
        </w:r>
        <w:r>
          <w:instrText xml:space="preserve">PAGE   \* MERGEFORMAT</w:instrText>
        </w:r>
        <w:r>
          <w:fldChar w:fldCharType="separate"/>
        </w:r>
        <w:r>
          <w:rPr>
            <w:lang w:val="zh-CN"/>
          </w:rPr>
          <w:t>81</w:t>
        </w:r>
        <w:r>
          <w:fldChar w:fldCharType="end"/>
        </w:r>
      </w:p>
    </w:sdtContent>
  </w:sdt>
  <w:p>
    <w:pPr>
      <w:pStyle w:val="6"/>
      <w:spacing w:line="14" w:lineRule="auto"/>
      <w:rPr>
        <w:sz w:val="20"/>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rPr>
        <w:lang w:eastAsia="zh-CN"/>
      </w:rPr>
      <mc:AlternateContent>
        <mc:Choice Requires="wps">
          <w:drawing>
            <wp:anchor distT="0" distB="0" distL="114300" distR="114300" simplePos="0" relativeHeight="251659264" behindDoc="1" locked="0" layoutInCell="1" allowOverlap="1">
              <wp:simplePos x="0" y="0"/>
              <wp:positionH relativeFrom="page">
                <wp:posOffset>616585</wp:posOffset>
              </wp:positionH>
              <wp:positionV relativeFrom="page">
                <wp:posOffset>716915</wp:posOffset>
              </wp:positionV>
              <wp:extent cx="6327775" cy="0"/>
              <wp:effectExtent l="6985" t="12065" r="8890" b="6985"/>
              <wp:wrapNone/>
              <wp:docPr id="2" name="Line 1"/>
              <wp:cNvGraphicFramePr/>
              <a:graphic xmlns:a="http://schemas.openxmlformats.org/drawingml/2006/main">
                <a:graphicData uri="http://schemas.microsoft.com/office/word/2010/wordprocessingShape">
                  <wps:wsp>
                    <wps:cNvCnPr>
                      <a:cxnSpLocks noChangeShapeType="1"/>
                    </wps:cNvCnPr>
                    <wps:spPr bwMode="auto">
                      <a:xfrm>
                        <a:off x="0" y="0"/>
                        <a:ext cx="6327775" cy="0"/>
                      </a:xfrm>
                      <a:prstGeom prst="line">
                        <a:avLst/>
                      </a:prstGeom>
                      <a:noFill/>
                      <a:ln w="6096">
                        <a:solidFill>
                          <a:srgbClr val="000000"/>
                        </a:solidFill>
                        <a:round/>
                      </a:ln>
                    </wps:spPr>
                    <wps:bodyPr/>
                  </wps:wsp>
                </a:graphicData>
              </a:graphic>
            </wp:anchor>
          </w:drawing>
        </mc:Choice>
        <mc:Fallback>
          <w:pict>
            <v:line id="Line 1" o:spid="_x0000_s1026" o:spt="20" style="position:absolute;left:0pt;margin-left:48.55pt;margin-top:56.45pt;height:0pt;width:498.25pt;mso-position-horizontal-relative:page;mso-position-vertical-relative:page;z-index:-251657216;mso-width-relative:page;mso-height-relative:page;" filled="f" stroked="t" coordsize="21600,21600" o:gfxdata="UEsDBAoAAAAAAIdO4kAAAAAAAAAAAAAAAAAEAAAAZHJzL1BLAwQUAAAACACHTuJA1E0NmtgAAAAL&#10;AQAADwAAAGRycy9kb3ducmV2LnhtbE2PwUrDQBCG74LvsIzgze6mQpvEbHpQFHoQsS2ep9kxicnO&#10;huy2ad/eLQj1OP98/PNNsTrZXhxp9K1jDclMgSCunGm51rDbvj6kIHxANtg7Jg1n8rAqb28KzI2b&#10;+JOOm1CLWMI+Rw1NCEMupa8asuhnbiCOu283WgxxHGtpRpxiue3lXKmFtNhyvNDgQM8NVd3mYDW8&#10;p/LFfXRf1fln2r6l6brLluud1vd3iXoCEegUrjBc9KM6lNFp7w5svOg1ZMskkjFP5hmIC6CyxwWI&#10;/V8ky0L+/6H8BVBLAwQUAAAACACHTuJAyCxRh60BAABRAwAADgAAAGRycy9lMm9Eb2MueG1srVPB&#10;btswDL0P2D8Iui92MizZjDg9pOgu2Rag3QcokmwLlURBVGLn70cpTbZut6E+ECb5+EQ+Suu7yVl2&#10;0hEN+JbPZzVn2ktQxvct//n08OEzZ5iEV8KC1y0/a+R3m/fv1mNo9AIGsEpHRiQemzG0fEgpNFWF&#10;ctBO4AyC9pTsIDqRyI19paIYid3ZalHXy2qEqEIEqREpen9J8k3h7zot04+uQ52YbTn1loqNxR6y&#10;rTZr0fRRhMHIlzbEf3ThhPF06I3qXiTBjtH8Q+WMjIDQpZkEV0HXGanLDDTNvP5rmsdBBF1mIXEw&#10;3GTCt6OV30/7yIxq+YIzLxytaGe8ZvOszBiwIcDW72OeTU7+MexAPiPzsB2E73Xp8OkcqKxUVK9K&#10;soOB+A/jN1CEEccERaapiy5TkgBsKts437ahp8QkBZcfF6vV6hNn8pqrRHMtDBHTVw2O5Z+WW+q5&#10;EIvTDhO1TtArJJ/j4cFYW5ZtPRuJvP6yLAUI1qiczDCM/WFrIzuJfF3Kl3UgslewCEevLnHrKX2d&#10;86LYAdR5H3M6x2lvheDljuWL8adfUL9fwuY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1E0NmtgA&#10;AAALAQAADwAAAAAAAAABACAAAAAiAAAAZHJzL2Rvd25yZXYueG1sUEsBAhQAFAAAAAgAh07iQMgs&#10;UYetAQAAUQMAAA4AAAAAAAAAAQAgAAAAJwEAAGRycy9lMm9Eb2MueG1sUEsFBgAAAAAGAAYAWQEA&#10;AEYFAAAAAA==&#10;">
              <v:fill on="f" focussize="0,0"/>
              <v:stroke weight="0.48pt" color="#000000" joinstyle="round"/>
              <v:imagedata o:title=""/>
              <o:lock v:ext="edit" aspectratio="f"/>
            </v:line>
          </w:pict>
        </mc:Fallback>
      </mc:AlternateContent>
    </w:r>
    <w:r>
      <w:rPr>
        <w:lang w:eastAsia="zh-CN"/>
      </w:rPr>
      <mc:AlternateContent>
        <mc:Choice Requires="wps">
          <w:drawing>
            <wp:anchor distT="0" distB="0" distL="114300" distR="114300" simplePos="0" relativeHeight="251660288" behindDoc="1" locked="0" layoutInCell="1" allowOverlap="1">
              <wp:simplePos x="0" y="0"/>
              <wp:positionH relativeFrom="page">
                <wp:posOffset>2224405</wp:posOffset>
              </wp:positionH>
              <wp:positionV relativeFrom="page">
                <wp:posOffset>557530</wp:posOffset>
              </wp:positionV>
              <wp:extent cx="3340100" cy="139700"/>
              <wp:effectExtent l="0" t="0" r="0" b="0"/>
              <wp:wrapNone/>
              <wp:docPr id="1" name="Text Box 2"/>
              <wp:cNvGraphicFramePr/>
              <a:graphic xmlns:a="http://schemas.openxmlformats.org/drawingml/2006/main">
                <a:graphicData uri="http://schemas.microsoft.com/office/word/2010/wordprocessingShape">
                  <wps:wsp>
                    <wps:cNvSpPr txBox="1">
                      <a:spLocks noChangeArrowheads="1"/>
                    </wps:cNvSpPr>
                    <wps:spPr bwMode="auto">
                      <a:xfrm>
                        <a:off x="0" y="0"/>
                        <a:ext cx="3340100" cy="139700"/>
                      </a:xfrm>
                      <a:prstGeom prst="rect">
                        <a:avLst/>
                      </a:prstGeom>
                      <a:noFill/>
                      <a:ln>
                        <a:noFill/>
                      </a:ln>
                    </wps:spPr>
                    <wps:txbx>
                      <w:txbxContent>
                        <w:p>
                          <w:pPr>
                            <w:spacing w:line="200" w:lineRule="exact"/>
                            <w:ind w:left="20" w:firstLine="360"/>
                            <w:rPr>
                              <w:sz w:val="18"/>
                            </w:rPr>
                          </w:pPr>
                          <w:r>
                            <w:rPr>
                              <w:rFonts w:hint="eastAsia"/>
                              <w:sz w:val="18"/>
                            </w:rPr>
                            <w:t>谢家店</w:t>
                          </w:r>
                          <w:r>
                            <w:rPr>
                              <w:sz w:val="18"/>
                            </w:rPr>
                            <w:t>饮用水水源地保护区划分技术报告</w:t>
                          </w:r>
                        </w:p>
                      </w:txbxContent>
                    </wps:txbx>
                    <wps:bodyPr rot="0" vert="horz" wrap="square" lIns="0" tIns="0" rIns="0" bIns="0" anchor="t" anchorCtr="0" upright="1">
                      <a:noAutofit/>
                    </wps:bodyPr>
                  </wps:wsp>
                </a:graphicData>
              </a:graphic>
            </wp:anchor>
          </w:drawing>
        </mc:Choice>
        <mc:Fallback>
          <w:pict>
            <v:shape id="Text Box 2" o:spid="_x0000_s1026" o:spt="202" type="#_x0000_t202" style="position:absolute;left:0pt;margin-left:175.15pt;margin-top:43.9pt;height:11pt;width:263pt;mso-position-horizontal-relative:page;mso-position-vertical-relative:page;z-index:-251656192;mso-width-relative:page;mso-height-relative:page;" filled="f" stroked="f" coordsize="21600,21600" o:gfxdata="UEsDBAoAAAAAAIdO4kAAAAAAAAAAAAAAAAAEAAAAZHJzL1BLAwQUAAAACACHTuJAgEOf39gAAAAK&#10;AQAADwAAAGRycy9kb3ducmV2LnhtbE2PTU/DMAyG70j7D5EncWPJmOi60nRCCE5IiK4cOKaN11Zr&#10;nNJkH/x7zGkcbT96/bz59uIGccIp9J40LBcKBFLjbU+ths/q9S4FEaIhawZPqOEHA2yL2U1uMuvP&#10;VOJpF1vBIRQyo6GLccykDE2HzoSFH5H4tveTM5HHqZV2MmcOd4O8VyqRzvTEHzoz4nOHzWF3dBqe&#10;vqh86b/f649yX/ZVtVH0lhy0vp0v1SOIiJd4heFPn9WhYKfaH8kGMWhYPagVoxrSNVdgIF0nvKiZ&#10;VJsUZJHL/xWKX1BLAwQUAAAACACHTuJAehVgid4BAAC2AwAADgAAAGRycy9lMm9Eb2MueG1srVPb&#10;btswDH0fsH8Q9L44l2EXI07RtegwoFsHtPsAWpZtYbaoUUrs7OtHyXHabW9FXwSal8PDQ3p7Mfad&#10;OGjyBm0hV4ulFNoqrIxtCvnj4ebNByl8AFtBh1YX8qi9vNi9frUdXK7X2GJXaRIMYn0+uEK2Ibg8&#10;y7xqdQ9+gU5bDtZIPQT+pCarCAZG77tsvVy+ywakyhEq7T17r6eg3CX8utYq3NW110F0hWRuIb2U&#10;3jK+2W4LeUPgWqNONOAZLHowlpueoa4hgNiT+Q+qN4rQYx0WCvsM69oonWbgaVbLf6a5b8HpNAuL&#10;491ZJv9ysOrb4TsJU/HupLDQ84oe9BjEJxzFOqozOJ9z0r3jtDCyO2bGSb27RfXTC4tXLdhGXxLh&#10;0GqomN0qVmZPSiccH0HK4StW3Ab2ARPQWFMfAVkMwei8peN5M5GKYudm85bl4ZDi2Grz8T3bsQXk&#10;c7UjHz5r7EU0Ckm8+YQOh1sfptQ5JTazeGO6jv2Qd/YvB2NGT2IfCU/Uw1iOnB1HKrE68hyE0zHx&#10;8bPRIv2WYuBDKqT/tQfSUnRfLGsRr242aDbK2QCruLSQQYrJvArTde4dmaZl5Elti5esV23SKI8s&#10;Tjz5OJIYp0OO1/f0O2U9/m67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IBDn9/YAAAACgEAAA8A&#10;AAAAAAAAAQAgAAAAIgAAAGRycy9kb3ducmV2LnhtbFBLAQIUABQAAAAIAIdO4kB6FWCJ3gEAALYD&#10;AAAOAAAAAAAAAAEAIAAAACcBAABkcnMvZTJvRG9jLnhtbFBLBQYAAAAABgAGAFkBAAB3BQAAAAA=&#10;">
              <v:fill on="f" focussize="0,0"/>
              <v:stroke on="f"/>
              <v:imagedata o:title=""/>
              <o:lock v:ext="edit" aspectratio="f"/>
              <v:textbox inset="0mm,0mm,0mm,0mm">
                <w:txbxContent>
                  <w:p>
                    <w:pPr>
                      <w:spacing w:line="200" w:lineRule="exact"/>
                      <w:ind w:left="20" w:firstLine="360"/>
                      <w:rPr>
                        <w:sz w:val="18"/>
                      </w:rPr>
                    </w:pPr>
                    <w:r>
                      <w:rPr>
                        <w:rFonts w:hint="eastAsia"/>
                        <w:sz w:val="18"/>
                      </w:rPr>
                      <w:t>谢家店</w:t>
                    </w:r>
                    <w:r>
                      <w:rPr>
                        <w:sz w:val="18"/>
                      </w:rPr>
                      <w:t>饮用水水源地保护区划分技术报告</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035627"/>
    <w:multiLevelType w:val="multilevel"/>
    <w:tmpl w:val="2E035627"/>
    <w:lvl w:ilvl="0" w:tentative="0">
      <w:start w:val="1"/>
      <w:numFmt w:val="decimal"/>
      <w:suff w:val="space"/>
      <w:lvlText w:val="第%1章"/>
      <w:lvlJc w:val="left"/>
      <w:pPr>
        <w:ind w:left="2693" w:firstLine="0"/>
      </w:pPr>
      <w:rPr>
        <w:rFonts w:hint="eastAsia"/>
      </w:rPr>
    </w:lvl>
    <w:lvl w:ilvl="1" w:tentative="0">
      <w:start w:val="1"/>
      <w:numFmt w:val="decimal"/>
      <w:pStyle w:val="27"/>
      <w:suff w:val="space"/>
      <w:lvlText w:val="%1.%2"/>
      <w:lvlJc w:val="left"/>
      <w:pPr>
        <w:ind w:left="0" w:firstLine="0"/>
      </w:pPr>
      <w:rPr>
        <w:rFonts w:hint="eastAsia"/>
      </w:rPr>
    </w:lvl>
    <w:lvl w:ilvl="2" w:tentative="0">
      <w:start w:val="1"/>
      <w:numFmt w:val="decimal"/>
      <w:pStyle w:val="25"/>
      <w:suff w:val="space"/>
      <w:lvlText w:val="%1.%2.%3"/>
      <w:lvlJc w:val="left"/>
      <w:pPr>
        <w:ind w:left="0" w:firstLine="0"/>
      </w:pPr>
      <w:rPr>
        <w:rFonts w:hint="eastAsia"/>
      </w:rPr>
    </w:lvl>
    <w:lvl w:ilvl="3" w:tentative="0">
      <w:start w:val="1"/>
      <w:numFmt w:val="decimal"/>
      <w:suff w:val="space"/>
      <w:lvlText w:val="（%4）"/>
      <w:lvlJc w:val="left"/>
      <w:pPr>
        <w:ind w:left="0" w:firstLine="0"/>
      </w:pPr>
      <w:rPr>
        <w:rFonts w:hint="eastAsia"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rPr>
    </w:lvl>
    <w:lvl w:ilvl="4" w:tentative="0">
      <w:start w:val="1"/>
      <w:numFmt w:val="decimal"/>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val="1"/>
  <w:bordersDoNotSurroundFooter w:val="1"/>
  <w:hideSpellingErrors/>
  <w:documentProtection w:enforcement="0"/>
  <w:defaultTabStop w:val="420"/>
  <w:drawingGridHorizontalSpacing w:val="140"/>
  <w:drawingGridVerticalSpacing w:val="381"/>
  <w:displayHorizontalDrawingGridEvery w:val="0"/>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2F39"/>
    <w:rsid w:val="00001A4E"/>
    <w:rsid w:val="00002DF6"/>
    <w:rsid w:val="00003B56"/>
    <w:rsid w:val="00010F54"/>
    <w:rsid w:val="00011198"/>
    <w:rsid w:val="00011555"/>
    <w:rsid w:val="000155D6"/>
    <w:rsid w:val="00020D89"/>
    <w:rsid w:val="0002137E"/>
    <w:rsid w:val="000223EA"/>
    <w:rsid w:val="00022FDA"/>
    <w:rsid w:val="0002312F"/>
    <w:rsid w:val="000234D5"/>
    <w:rsid w:val="00024510"/>
    <w:rsid w:val="000253A4"/>
    <w:rsid w:val="00025856"/>
    <w:rsid w:val="00026C22"/>
    <w:rsid w:val="00027E60"/>
    <w:rsid w:val="00031979"/>
    <w:rsid w:val="000343EC"/>
    <w:rsid w:val="00034CE6"/>
    <w:rsid w:val="000358FC"/>
    <w:rsid w:val="00036450"/>
    <w:rsid w:val="00040511"/>
    <w:rsid w:val="00041472"/>
    <w:rsid w:val="00041483"/>
    <w:rsid w:val="00041722"/>
    <w:rsid w:val="00041E9B"/>
    <w:rsid w:val="0004218E"/>
    <w:rsid w:val="0004363E"/>
    <w:rsid w:val="00045AA6"/>
    <w:rsid w:val="00051A03"/>
    <w:rsid w:val="00053BED"/>
    <w:rsid w:val="00054507"/>
    <w:rsid w:val="0005542E"/>
    <w:rsid w:val="00055A3C"/>
    <w:rsid w:val="0006393B"/>
    <w:rsid w:val="00065751"/>
    <w:rsid w:val="000660B7"/>
    <w:rsid w:val="00066629"/>
    <w:rsid w:val="00072F76"/>
    <w:rsid w:val="00082101"/>
    <w:rsid w:val="00085063"/>
    <w:rsid w:val="00091667"/>
    <w:rsid w:val="00091C87"/>
    <w:rsid w:val="0009516C"/>
    <w:rsid w:val="000A3270"/>
    <w:rsid w:val="000A37FA"/>
    <w:rsid w:val="000A6743"/>
    <w:rsid w:val="000A67EF"/>
    <w:rsid w:val="000A6E8D"/>
    <w:rsid w:val="000A7206"/>
    <w:rsid w:val="000B1AC9"/>
    <w:rsid w:val="000B7038"/>
    <w:rsid w:val="000B7080"/>
    <w:rsid w:val="000C2CFC"/>
    <w:rsid w:val="000C37A2"/>
    <w:rsid w:val="000C39FC"/>
    <w:rsid w:val="000C5D36"/>
    <w:rsid w:val="000C6F6D"/>
    <w:rsid w:val="000C7F14"/>
    <w:rsid w:val="000D18EA"/>
    <w:rsid w:val="000D3341"/>
    <w:rsid w:val="000D4505"/>
    <w:rsid w:val="000D56C1"/>
    <w:rsid w:val="000E0DD6"/>
    <w:rsid w:val="000E2FFD"/>
    <w:rsid w:val="000E5474"/>
    <w:rsid w:val="000E57D2"/>
    <w:rsid w:val="000E78B1"/>
    <w:rsid w:val="000F070A"/>
    <w:rsid w:val="000F0F56"/>
    <w:rsid w:val="000F2DB4"/>
    <w:rsid w:val="000F411F"/>
    <w:rsid w:val="000F4B1E"/>
    <w:rsid w:val="000F6990"/>
    <w:rsid w:val="000F79BD"/>
    <w:rsid w:val="001003D2"/>
    <w:rsid w:val="00100F08"/>
    <w:rsid w:val="0010395D"/>
    <w:rsid w:val="001039B5"/>
    <w:rsid w:val="00104F8B"/>
    <w:rsid w:val="001121DC"/>
    <w:rsid w:val="0011239C"/>
    <w:rsid w:val="00112593"/>
    <w:rsid w:val="001140E1"/>
    <w:rsid w:val="001148AA"/>
    <w:rsid w:val="00117317"/>
    <w:rsid w:val="00120018"/>
    <w:rsid w:val="001208BD"/>
    <w:rsid w:val="0012144C"/>
    <w:rsid w:val="00122201"/>
    <w:rsid w:val="00125761"/>
    <w:rsid w:val="00125971"/>
    <w:rsid w:val="001278E2"/>
    <w:rsid w:val="00132A27"/>
    <w:rsid w:val="00132BA4"/>
    <w:rsid w:val="001358B0"/>
    <w:rsid w:val="001362D6"/>
    <w:rsid w:val="001374A7"/>
    <w:rsid w:val="0014209A"/>
    <w:rsid w:val="001461FD"/>
    <w:rsid w:val="00152DDB"/>
    <w:rsid w:val="001547F2"/>
    <w:rsid w:val="00157035"/>
    <w:rsid w:val="0015795C"/>
    <w:rsid w:val="00160E94"/>
    <w:rsid w:val="00161BB6"/>
    <w:rsid w:val="00164403"/>
    <w:rsid w:val="00164658"/>
    <w:rsid w:val="00167C91"/>
    <w:rsid w:val="00171A90"/>
    <w:rsid w:val="001750CA"/>
    <w:rsid w:val="00176324"/>
    <w:rsid w:val="00176793"/>
    <w:rsid w:val="00181DF0"/>
    <w:rsid w:val="001825CE"/>
    <w:rsid w:val="00183239"/>
    <w:rsid w:val="00187E9B"/>
    <w:rsid w:val="001904DF"/>
    <w:rsid w:val="00191C3B"/>
    <w:rsid w:val="001926A7"/>
    <w:rsid w:val="00194770"/>
    <w:rsid w:val="00195223"/>
    <w:rsid w:val="00197D07"/>
    <w:rsid w:val="001A4E1D"/>
    <w:rsid w:val="001A5041"/>
    <w:rsid w:val="001A7562"/>
    <w:rsid w:val="001B1C88"/>
    <w:rsid w:val="001B7C79"/>
    <w:rsid w:val="001C6184"/>
    <w:rsid w:val="001C7837"/>
    <w:rsid w:val="001C7ED1"/>
    <w:rsid w:val="001D1209"/>
    <w:rsid w:val="001D3FF2"/>
    <w:rsid w:val="001D579C"/>
    <w:rsid w:val="001E2831"/>
    <w:rsid w:val="001E2A67"/>
    <w:rsid w:val="001E2AA0"/>
    <w:rsid w:val="001E2ABE"/>
    <w:rsid w:val="001E2C32"/>
    <w:rsid w:val="001E2E5D"/>
    <w:rsid w:val="001E3BB0"/>
    <w:rsid w:val="001E6306"/>
    <w:rsid w:val="001F4037"/>
    <w:rsid w:val="001F42A1"/>
    <w:rsid w:val="001F4348"/>
    <w:rsid w:val="001F7F0C"/>
    <w:rsid w:val="00200231"/>
    <w:rsid w:val="0020303A"/>
    <w:rsid w:val="0020549F"/>
    <w:rsid w:val="0021001B"/>
    <w:rsid w:val="00212CCB"/>
    <w:rsid w:val="00214344"/>
    <w:rsid w:val="00215C04"/>
    <w:rsid w:val="00216920"/>
    <w:rsid w:val="002207A6"/>
    <w:rsid w:val="00221B22"/>
    <w:rsid w:val="002220AD"/>
    <w:rsid w:val="0022281C"/>
    <w:rsid w:val="0022437E"/>
    <w:rsid w:val="00225479"/>
    <w:rsid w:val="00236645"/>
    <w:rsid w:val="002442CC"/>
    <w:rsid w:val="00244DD2"/>
    <w:rsid w:val="00244EAB"/>
    <w:rsid w:val="00246120"/>
    <w:rsid w:val="0024774E"/>
    <w:rsid w:val="00255ECE"/>
    <w:rsid w:val="00255F06"/>
    <w:rsid w:val="00256ADB"/>
    <w:rsid w:val="00260143"/>
    <w:rsid w:val="00261105"/>
    <w:rsid w:val="00261391"/>
    <w:rsid w:val="00261646"/>
    <w:rsid w:val="00262B97"/>
    <w:rsid w:val="00264DD8"/>
    <w:rsid w:val="0027150B"/>
    <w:rsid w:val="00271D45"/>
    <w:rsid w:val="002723AC"/>
    <w:rsid w:val="002727CC"/>
    <w:rsid w:val="00274309"/>
    <w:rsid w:val="00274C67"/>
    <w:rsid w:val="002754FA"/>
    <w:rsid w:val="002800B4"/>
    <w:rsid w:val="00282794"/>
    <w:rsid w:val="00282BA8"/>
    <w:rsid w:val="002832CB"/>
    <w:rsid w:val="002839A3"/>
    <w:rsid w:val="0028790B"/>
    <w:rsid w:val="00295974"/>
    <w:rsid w:val="002B31A7"/>
    <w:rsid w:val="002C058D"/>
    <w:rsid w:val="002C7276"/>
    <w:rsid w:val="002D1730"/>
    <w:rsid w:val="002D3280"/>
    <w:rsid w:val="002D489C"/>
    <w:rsid w:val="002D5CA6"/>
    <w:rsid w:val="002D70D1"/>
    <w:rsid w:val="002E48B7"/>
    <w:rsid w:val="002E5CEF"/>
    <w:rsid w:val="002E655C"/>
    <w:rsid w:val="002F3A85"/>
    <w:rsid w:val="002F7CAC"/>
    <w:rsid w:val="0030189F"/>
    <w:rsid w:val="003028FF"/>
    <w:rsid w:val="003035F7"/>
    <w:rsid w:val="003036A5"/>
    <w:rsid w:val="00304E28"/>
    <w:rsid w:val="00307410"/>
    <w:rsid w:val="00311104"/>
    <w:rsid w:val="00315D90"/>
    <w:rsid w:val="00316697"/>
    <w:rsid w:val="00325314"/>
    <w:rsid w:val="00325751"/>
    <w:rsid w:val="00327068"/>
    <w:rsid w:val="003319F7"/>
    <w:rsid w:val="0033286E"/>
    <w:rsid w:val="003343CD"/>
    <w:rsid w:val="00336214"/>
    <w:rsid w:val="003379BA"/>
    <w:rsid w:val="00341F6E"/>
    <w:rsid w:val="003471A9"/>
    <w:rsid w:val="00350958"/>
    <w:rsid w:val="0035095F"/>
    <w:rsid w:val="00351721"/>
    <w:rsid w:val="00352AED"/>
    <w:rsid w:val="00356E47"/>
    <w:rsid w:val="00357AB1"/>
    <w:rsid w:val="00357C3F"/>
    <w:rsid w:val="00360AF1"/>
    <w:rsid w:val="00366AA7"/>
    <w:rsid w:val="00366E2F"/>
    <w:rsid w:val="00367E8E"/>
    <w:rsid w:val="003704F5"/>
    <w:rsid w:val="0037231C"/>
    <w:rsid w:val="00372B88"/>
    <w:rsid w:val="00372F8D"/>
    <w:rsid w:val="0037398D"/>
    <w:rsid w:val="0038092A"/>
    <w:rsid w:val="0038112D"/>
    <w:rsid w:val="00391C5B"/>
    <w:rsid w:val="00392932"/>
    <w:rsid w:val="00392F26"/>
    <w:rsid w:val="00396BFB"/>
    <w:rsid w:val="003973C8"/>
    <w:rsid w:val="003A106A"/>
    <w:rsid w:val="003A20D1"/>
    <w:rsid w:val="003A6921"/>
    <w:rsid w:val="003A7413"/>
    <w:rsid w:val="003B171B"/>
    <w:rsid w:val="003B2176"/>
    <w:rsid w:val="003B6A1F"/>
    <w:rsid w:val="003B751B"/>
    <w:rsid w:val="003B7FA7"/>
    <w:rsid w:val="003C1A64"/>
    <w:rsid w:val="003C4A9E"/>
    <w:rsid w:val="003D4F36"/>
    <w:rsid w:val="003D6165"/>
    <w:rsid w:val="003E01A8"/>
    <w:rsid w:val="003E117C"/>
    <w:rsid w:val="003E2303"/>
    <w:rsid w:val="003E2E61"/>
    <w:rsid w:val="003E6979"/>
    <w:rsid w:val="003F0865"/>
    <w:rsid w:val="0040043A"/>
    <w:rsid w:val="00403401"/>
    <w:rsid w:val="00403F9D"/>
    <w:rsid w:val="00405F55"/>
    <w:rsid w:val="00406C68"/>
    <w:rsid w:val="00406C6E"/>
    <w:rsid w:val="004117A9"/>
    <w:rsid w:val="00413E73"/>
    <w:rsid w:val="00417C53"/>
    <w:rsid w:val="004212F7"/>
    <w:rsid w:val="00423274"/>
    <w:rsid w:val="0043060A"/>
    <w:rsid w:val="0043060F"/>
    <w:rsid w:val="00433AE6"/>
    <w:rsid w:val="00434EB0"/>
    <w:rsid w:val="00435AC3"/>
    <w:rsid w:val="00435BAB"/>
    <w:rsid w:val="00436B04"/>
    <w:rsid w:val="004372B4"/>
    <w:rsid w:val="00440A8C"/>
    <w:rsid w:val="00440CF2"/>
    <w:rsid w:val="004422B0"/>
    <w:rsid w:val="00442822"/>
    <w:rsid w:val="00442BA3"/>
    <w:rsid w:val="004445F0"/>
    <w:rsid w:val="00445F3F"/>
    <w:rsid w:val="00450B78"/>
    <w:rsid w:val="00452B82"/>
    <w:rsid w:val="00452F79"/>
    <w:rsid w:val="00455284"/>
    <w:rsid w:val="00457308"/>
    <w:rsid w:val="00457FCD"/>
    <w:rsid w:val="00460E58"/>
    <w:rsid w:val="00460FE7"/>
    <w:rsid w:val="00461CEA"/>
    <w:rsid w:val="0046379E"/>
    <w:rsid w:val="00476684"/>
    <w:rsid w:val="00477A16"/>
    <w:rsid w:val="00481ADD"/>
    <w:rsid w:val="00481DF1"/>
    <w:rsid w:val="00482519"/>
    <w:rsid w:val="0048398C"/>
    <w:rsid w:val="00485414"/>
    <w:rsid w:val="0049141C"/>
    <w:rsid w:val="00493033"/>
    <w:rsid w:val="00497B10"/>
    <w:rsid w:val="004A2A3D"/>
    <w:rsid w:val="004A317B"/>
    <w:rsid w:val="004A7638"/>
    <w:rsid w:val="004A7A09"/>
    <w:rsid w:val="004B14E9"/>
    <w:rsid w:val="004B7911"/>
    <w:rsid w:val="004B7E2B"/>
    <w:rsid w:val="004C44A7"/>
    <w:rsid w:val="004C4B01"/>
    <w:rsid w:val="004C6B97"/>
    <w:rsid w:val="004D32DF"/>
    <w:rsid w:val="004D64EC"/>
    <w:rsid w:val="004D6A21"/>
    <w:rsid w:val="004E0601"/>
    <w:rsid w:val="004E2F93"/>
    <w:rsid w:val="004E4139"/>
    <w:rsid w:val="004E449E"/>
    <w:rsid w:val="004E7E32"/>
    <w:rsid w:val="004F0E98"/>
    <w:rsid w:val="005016EF"/>
    <w:rsid w:val="0050426B"/>
    <w:rsid w:val="00505909"/>
    <w:rsid w:val="005079BA"/>
    <w:rsid w:val="005118C4"/>
    <w:rsid w:val="00512070"/>
    <w:rsid w:val="0051246C"/>
    <w:rsid w:val="00512FCE"/>
    <w:rsid w:val="00514661"/>
    <w:rsid w:val="0051765B"/>
    <w:rsid w:val="005207F6"/>
    <w:rsid w:val="00521E0D"/>
    <w:rsid w:val="00523A0C"/>
    <w:rsid w:val="00523C21"/>
    <w:rsid w:val="005277A1"/>
    <w:rsid w:val="0053094A"/>
    <w:rsid w:val="005361A1"/>
    <w:rsid w:val="005363CA"/>
    <w:rsid w:val="005420D9"/>
    <w:rsid w:val="00543CE1"/>
    <w:rsid w:val="00545CE8"/>
    <w:rsid w:val="00546CE4"/>
    <w:rsid w:val="00547212"/>
    <w:rsid w:val="00552602"/>
    <w:rsid w:val="00555938"/>
    <w:rsid w:val="00560E28"/>
    <w:rsid w:val="005639CB"/>
    <w:rsid w:val="0056441D"/>
    <w:rsid w:val="00566939"/>
    <w:rsid w:val="0057024C"/>
    <w:rsid w:val="00571ADB"/>
    <w:rsid w:val="00571BB4"/>
    <w:rsid w:val="00571E48"/>
    <w:rsid w:val="00572B15"/>
    <w:rsid w:val="00572D12"/>
    <w:rsid w:val="005734AE"/>
    <w:rsid w:val="00574237"/>
    <w:rsid w:val="00574574"/>
    <w:rsid w:val="005804B8"/>
    <w:rsid w:val="0058406F"/>
    <w:rsid w:val="00586C91"/>
    <w:rsid w:val="005874BC"/>
    <w:rsid w:val="005932B8"/>
    <w:rsid w:val="00596755"/>
    <w:rsid w:val="00597165"/>
    <w:rsid w:val="005A38AA"/>
    <w:rsid w:val="005A631F"/>
    <w:rsid w:val="005A7F1D"/>
    <w:rsid w:val="005B17E4"/>
    <w:rsid w:val="005B1856"/>
    <w:rsid w:val="005C0A6D"/>
    <w:rsid w:val="005C4E22"/>
    <w:rsid w:val="005C5447"/>
    <w:rsid w:val="005C5EB5"/>
    <w:rsid w:val="005D1993"/>
    <w:rsid w:val="005D270C"/>
    <w:rsid w:val="005D4167"/>
    <w:rsid w:val="005E03B5"/>
    <w:rsid w:val="005E23BC"/>
    <w:rsid w:val="005E4A5C"/>
    <w:rsid w:val="005E5A66"/>
    <w:rsid w:val="005E79A0"/>
    <w:rsid w:val="005F03BD"/>
    <w:rsid w:val="005F07D5"/>
    <w:rsid w:val="005F23E6"/>
    <w:rsid w:val="005F4C94"/>
    <w:rsid w:val="005F7338"/>
    <w:rsid w:val="005F7FC7"/>
    <w:rsid w:val="00607420"/>
    <w:rsid w:val="00607B42"/>
    <w:rsid w:val="006109BD"/>
    <w:rsid w:val="00611309"/>
    <w:rsid w:val="00614FF3"/>
    <w:rsid w:val="006161CD"/>
    <w:rsid w:val="00617898"/>
    <w:rsid w:val="00617AFE"/>
    <w:rsid w:val="00617C48"/>
    <w:rsid w:val="006209E0"/>
    <w:rsid w:val="00620B7F"/>
    <w:rsid w:val="00622F39"/>
    <w:rsid w:val="00624679"/>
    <w:rsid w:val="00624934"/>
    <w:rsid w:val="00625FDD"/>
    <w:rsid w:val="006301A0"/>
    <w:rsid w:val="00631629"/>
    <w:rsid w:val="00632CAE"/>
    <w:rsid w:val="00635C0A"/>
    <w:rsid w:val="00637712"/>
    <w:rsid w:val="00640224"/>
    <w:rsid w:val="00641DF9"/>
    <w:rsid w:val="00644887"/>
    <w:rsid w:val="00644E61"/>
    <w:rsid w:val="006458A9"/>
    <w:rsid w:val="006463C9"/>
    <w:rsid w:val="0065421A"/>
    <w:rsid w:val="0065441C"/>
    <w:rsid w:val="00657F9F"/>
    <w:rsid w:val="00660BCC"/>
    <w:rsid w:val="00662C13"/>
    <w:rsid w:val="00665E6A"/>
    <w:rsid w:val="00667267"/>
    <w:rsid w:val="006716D1"/>
    <w:rsid w:val="00676BA3"/>
    <w:rsid w:val="006811BB"/>
    <w:rsid w:val="0068272C"/>
    <w:rsid w:val="00683AE9"/>
    <w:rsid w:val="00684D85"/>
    <w:rsid w:val="006865A9"/>
    <w:rsid w:val="00687186"/>
    <w:rsid w:val="00687C69"/>
    <w:rsid w:val="0069057E"/>
    <w:rsid w:val="006906C5"/>
    <w:rsid w:val="00691E9E"/>
    <w:rsid w:val="0069378B"/>
    <w:rsid w:val="0069531B"/>
    <w:rsid w:val="00696340"/>
    <w:rsid w:val="00696774"/>
    <w:rsid w:val="006A0EEF"/>
    <w:rsid w:val="006A20B1"/>
    <w:rsid w:val="006A32D4"/>
    <w:rsid w:val="006A46D4"/>
    <w:rsid w:val="006A7837"/>
    <w:rsid w:val="006A7D3C"/>
    <w:rsid w:val="006B059B"/>
    <w:rsid w:val="006B220C"/>
    <w:rsid w:val="006B22E5"/>
    <w:rsid w:val="006B7619"/>
    <w:rsid w:val="006C04B4"/>
    <w:rsid w:val="006C111B"/>
    <w:rsid w:val="006C1667"/>
    <w:rsid w:val="006C1D2D"/>
    <w:rsid w:val="006C4327"/>
    <w:rsid w:val="006C4EA8"/>
    <w:rsid w:val="006C6822"/>
    <w:rsid w:val="006D0BC4"/>
    <w:rsid w:val="006D57DE"/>
    <w:rsid w:val="006D6CD5"/>
    <w:rsid w:val="006E02DD"/>
    <w:rsid w:val="006E132E"/>
    <w:rsid w:val="006E1AFF"/>
    <w:rsid w:val="006E1D15"/>
    <w:rsid w:val="006E2B20"/>
    <w:rsid w:val="006E6821"/>
    <w:rsid w:val="006E7C2E"/>
    <w:rsid w:val="006F0337"/>
    <w:rsid w:val="006F0982"/>
    <w:rsid w:val="006F2CCF"/>
    <w:rsid w:val="006F504F"/>
    <w:rsid w:val="006F5B31"/>
    <w:rsid w:val="006F5FC4"/>
    <w:rsid w:val="00706ECC"/>
    <w:rsid w:val="007076C0"/>
    <w:rsid w:val="0071027A"/>
    <w:rsid w:val="007115F6"/>
    <w:rsid w:val="00711F3C"/>
    <w:rsid w:val="00713796"/>
    <w:rsid w:val="007149D6"/>
    <w:rsid w:val="00715DE3"/>
    <w:rsid w:val="00715F57"/>
    <w:rsid w:val="00721333"/>
    <w:rsid w:val="00724CAE"/>
    <w:rsid w:val="0072557D"/>
    <w:rsid w:val="007262D4"/>
    <w:rsid w:val="00726B01"/>
    <w:rsid w:val="007307CA"/>
    <w:rsid w:val="007331E8"/>
    <w:rsid w:val="00733408"/>
    <w:rsid w:val="0073381F"/>
    <w:rsid w:val="007368AE"/>
    <w:rsid w:val="00736D60"/>
    <w:rsid w:val="0074350D"/>
    <w:rsid w:val="00745216"/>
    <w:rsid w:val="00747D94"/>
    <w:rsid w:val="00751C11"/>
    <w:rsid w:val="00756242"/>
    <w:rsid w:val="00756AEA"/>
    <w:rsid w:val="00765043"/>
    <w:rsid w:val="0076716A"/>
    <w:rsid w:val="007719B2"/>
    <w:rsid w:val="00773AE2"/>
    <w:rsid w:val="00777829"/>
    <w:rsid w:val="007802D9"/>
    <w:rsid w:val="00780468"/>
    <w:rsid w:val="007805A5"/>
    <w:rsid w:val="0078097B"/>
    <w:rsid w:val="007816C8"/>
    <w:rsid w:val="00782655"/>
    <w:rsid w:val="00783512"/>
    <w:rsid w:val="007835EE"/>
    <w:rsid w:val="007865A1"/>
    <w:rsid w:val="00786B8E"/>
    <w:rsid w:val="007877E4"/>
    <w:rsid w:val="00792AFF"/>
    <w:rsid w:val="007949C6"/>
    <w:rsid w:val="007A17FB"/>
    <w:rsid w:val="007A343A"/>
    <w:rsid w:val="007A3C56"/>
    <w:rsid w:val="007A6894"/>
    <w:rsid w:val="007B012E"/>
    <w:rsid w:val="007B1DBB"/>
    <w:rsid w:val="007B23DF"/>
    <w:rsid w:val="007B2CFD"/>
    <w:rsid w:val="007B54C6"/>
    <w:rsid w:val="007C46C4"/>
    <w:rsid w:val="007C7482"/>
    <w:rsid w:val="007D0531"/>
    <w:rsid w:val="007D5CA0"/>
    <w:rsid w:val="007D7922"/>
    <w:rsid w:val="007E0A3B"/>
    <w:rsid w:val="007E1236"/>
    <w:rsid w:val="007E23CB"/>
    <w:rsid w:val="007E28AA"/>
    <w:rsid w:val="007E2931"/>
    <w:rsid w:val="007E43F6"/>
    <w:rsid w:val="007E4DBF"/>
    <w:rsid w:val="007E68F3"/>
    <w:rsid w:val="007F1F48"/>
    <w:rsid w:val="007F2A02"/>
    <w:rsid w:val="007F2F06"/>
    <w:rsid w:val="007F3194"/>
    <w:rsid w:val="007F3B7E"/>
    <w:rsid w:val="007F4290"/>
    <w:rsid w:val="007F4468"/>
    <w:rsid w:val="007F5976"/>
    <w:rsid w:val="007F6A5F"/>
    <w:rsid w:val="007F6B4E"/>
    <w:rsid w:val="0080071B"/>
    <w:rsid w:val="00801A4B"/>
    <w:rsid w:val="008057D1"/>
    <w:rsid w:val="0080644D"/>
    <w:rsid w:val="008068FC"/>
    <w:rsid w:val="0081042F"/>
    <w:rsid w:val="00810B1C"/>
    <w:rsid w:val="008112C4"/>
    <w:rsid w:val="00812752"/>
    <w:rsid w:val="00812EFF"/>
    <w:rsid w:val="00813410"/>
    <w:rsid w:val="008202F3"/>
    <w:rsid w:val="00820C6B"/>
    <w:rsid w:val="00821E23"/>
    <w:rsid w:val="00822030"/>
    <w:rsid w:val="008226BD"/>
    <w:rsid w:val="00830E54"/>
    <w:rsid w:val="008327B8"/>
    <w:rsid w:val="008333FE"/>
    <w:rsid w:val="00834206"/>
    <w:rsid w:val="00841AAA"/>
    <w:rsid w:val="00841DAB"/>
    <w:rsid w:val="00841E59"/>
    <w:rsid w:val="008428BD"/>
    <w:rsid w:val="00843501"/>
    <w:rsid w:val="008435AA"/>
    <w:rsid w:val="008454F0"/>
    <w:rsid w:val="00850D72"/>
    <w:rsid w:val="00855B98"/>
    <w:rsid w:val="00856EAD"/>
    <w:rsid w:val="00857332"/>
    <w:rsid w:val="00862362"/>
    <w:rsid w:val="008653AE"/>
    <w:rsid w:val="00866FDE"/>
    <w:rsid w:val="00867076"/>
    <w:rsid w:val="00870051"/>
    <w:rsid w:val="008714DB"/>
    <w:rsid w:val="00873FF4"/>
    <w:rsid w:val="00874CDA"/>
    <w:rsid w:val="00875536"/>
    <w:rsid w:val="00883C73"/>
    <w:rsid w:val="00885C5C"/>
    <w:rsid w:val="00891C00"/>
    <w:rsid w:val="008946CF"/>
    <w:rsid w:val="00894F06"/>
    <w:rsid w:val="008958D7"/>
    <w:rsid w:val="0089752D"/>
    <w:rsid w:val="008A0BC4"/>
    <w:rsid w:val="008A14AE"/>
    <w:rsid w:val="008A3FBF"/>
    <w:rsid w:val="008A4A7E"/>
    <w:rsid w:val="008B0784"/>
    <w:rsid w:val="008B15DA"/>
    <w:rsid w:val="008B1EF6"/>
    <w:rsid w:val="008B3D34"/>
    <w:rsid w:val="008B53F2"/>
    <w:rsid w:val="008B69B3"/>
    <w:rsid w:val="008B6E85"/>
    <w:rsid w:val="008C179C"/>
    <w:rsid w:val="008C2862"/>
    <w:rsid w:val="008C6717"/>
    <w:rsid w:val="008D2065"/>
    <w:rsid w:val="008D220A"/>
    <w:rsid w:val="008D2757"/>
    <w:rsid w:val="008D594C"/>
    <w:rsid w:val="008E051F"/>
    <w:rsid w:val="008E067F"/>
    <w:rsid w:val="008E0743"/>
    <w:rsid w:val="008E0A70"/>
    <w:rsid w:val="008E2593"/>
    <w:rsid w:val="008E4E36"/>
    <w:rsid w:val="008E5AFA"/>
    <w:rsid w:val="008E7364"/>
    <w:rsid w:val="008E7FC7"/>
    <w:rsid w:val="008F1F56"/>
    <w:rsid w:val="008F539D"/>
    <w:rsid w:val="008F79D0"/>
    <w:rsid w:val="00901561"/>
    <w:rsid w:val="009055CC"/>
    <w:rsid w:val="009076C1"/>
    <w:rsid w:val="00910F61"/>
    <w:rsid w:val="0091141A"/>
    <w:rsid w:val="00913E86"/>
    <w:rsid w:val="0091519D"/>
    <w:rsid w:val="009243F8"/>
    <w:rsid w:val="0092561E"/>
    <w:rsid w:val="00936384"/>
    <w:rsid w:val="009366CF"/>
    <w:rsid w:val="00937C25"/>
    <w:rsid w:val="0094368C"/>
    <w:rsid w:val="00945D84"/>
    <w:rsid w:val="00950E30"/>
    <w:rsid w:val="00950F0C"/>
    <w:rsid w:val="0095153A"/>
    <w:rsid w:val="00955D33"/>
    <w:rsid w:val="00957074"/>
    <w:rsid w:val="0096264E"/>
    <w:rsid w:val="00967625"/>
    <w:rsid w:val="00972FAB"/>
    <w:rsid w:val="0097305D"/>
    <w:rsid w:val="0097534F"/>
    <w:rsid w:val="00977508"/>
    <w:rsid w:val="00980468"/>
    <w:rsid w:val="00981512"/>
    <w:rsid w:val="0098554F"/>
    <w:rsid w:val="0098629C"/>
    <w:rsid w:val="009901F7"/>
    <w:rsid w:val="009918F8"/>
    <w:rsid w:val="00992BBE"/>
    <w:rsid w:val="00993022"/>
    <w:rsid w:val="00996CD8"/>
    <w:rsid w:val="009972D8"/>
    <w:rsid w:val="009A0F25"/>
    <w:rsid w:val="009A1646"/>
    <w:rsid w:val="009A199B"/>
    <w:rsid w:val="009A2CE8"/>
    <w:rsid w:val="009A3FD8"/>
    <w:rsid w:val="009A43F7"/>
    <w:rsid w:val="009A5381"/>
    <w:rsid w:val="009A59CD"/>
    <w:rsid w:val="009A6999"/>
    <w:rsid w:val="009B03E3"/>
    <w:rsid w:val="009B2A30"/>
    <w:rsid w:val="009B3461"/>
    <w:rsid w:val="009B3782"/>
    <w:rsid w:val="009B61E8"/>
    <w:rsid w:val="009C10CC"/>
    <w:rsid w:val="009C3F89"/>
    <w:rsid w:val="009C4B25"/>
    <w:rsid w:val="009C5223"/>
    <w:rsid w:val="009C5880"/>
    <w:rsid w:val="009C5CC8"/>
    <w:rsid w:val="009C6FEF"/>
    <w:rsid w:val="009C7548"/>
    <w:rsid w:val="009C75EB"/>
    <w:rsid w:val="009D0DB8"/>
    <w:rsid w:val="009D3CBC"/>
    <w:rsid w:val="009D43D4"/>
    <w:rsid w:val="009D64A9"/>
    <w:rsid w:val="009E465A"/>
    <w:rsid w:val="009F4710"/>
    <w:rsid w:val="009F6381"/>
    <w:rsid w:val="00A05C03"/>
    <w:rsid w:val="00A069FF"/>
    <w:rsid w:val="00A0782B"/>
    <w:rsid w:val="00A104E2"/>
    <w:rsid w:val="00A12D91"/>
    <w:rsid w:val="00A150D9"/>
    <w:rsid w:val="00A17213"/>
    <w:rsid w:val="00A2286D"/>
    <w:rsid w:val="00A235A4"/>
    <w:rsid w:val="00A23A5B"/>
    <w:rsid w:val="00A250F9"/>
    <w:rsid w:val="00A255B1"/>
    <w:rsid w:val="00A30734"/>
    <w:rsid w:val="00A33771"/>
    <w:rsid w:val="00A35029"/>
    <w:rsid w:val="00A35B69"/>
    <w:rsid w:val="00A36144"/>
    <w:rsid w:val="00A36499"/>
    <w:rsid w:val="00A4399D"/>
    <w:rsid w:val="00A441FC"/>
    <w:rsid w:val="00A52D2C"/>
    <w:rsid w:val="00A55F35"/>
    <w:rsid w:val="00A56B0A"/>
    <w:rsid w:val="00A6277B"/>
    <w:rsid w:val="00A6375D"/>
    <w:rsid w:val="00A6586E"/>
    <w:rsid w:val="00A707F6"/>
    <w:rsid w:val="00A722DC"/>
    <w:rsid w:val="00A74768"/>
    <w:rsid w:val="00A74E8D"/>
    <w:rsid w:val="00A76117"/>
    <w:rsid w:val="00A77070"/>
    <w:rsid w:val="00A80540"/>
    <w:rsid w:val="00A82EA4"/>
    <w:rsid w:val="00A831BE"/>
    <w:rsid w:val="00A83E65"/>
    <w:rsid w:val="00A85F40"/>
    <w:rsid w:val="00A86EB2"/>
    <w:rsid w:val="00A92813"/>
    <w:rsid w:val="00A97982"/>
    <w:rsid w:val="00AA0474"/>
    <w:rsid w:val="00AA0676"/>
    <w:rsid w:val="00AA20B8"/>
    <w:rsid w:val="00AA34C9"/>
    <w:rsid w:val="00AA3F67"/>
    <w:rsid w:val="00AB0DF2"/>
    <w:rsid w:val="00AB163F"/>
    <w:rsid w:val="00AB29E1"/>
    <w:rsid w:val="00AB3CC4"/>
    <w:rsid w:val="00AB59DB"/>
    <w:rsid w:val="00AB614D"/>
    <w:rsid w:val="00AC1CA0"/>
    <w:rsid w:val="00AC2DAA"/>
    <w:rsid w:val="00AC3944"/>
    <w:rsid w:val="00AC49DC"/>
    <w:rsid w:val="00AC71FD"/>
    <w:rsid w:val="00AD1894"/>
    <w:rsid w:val="00AD5783"/>
    <w:rsid w:val="00AE2775"/>
    <w:rsid w:val="00AE5BD3"/>
    <w:rsid w:val="00AE6F1A"/>
    <w:rsid w:val="00AF1496"/>
    <w:rsid w:val="00AF16D1"/>
    <w:rsid w:val="00AF2AA4"/>
    <w:rsid w:val="00AF349B"/>
    <w:rsid w:val="00B00D49"/>
    <w:rsid w:val="00B01089"/>
    <w:rsid w:val="00B029BA"/>
    <w:rsid w:val="00B02E4E"/>
    <w:rsid w:val="00B034C2"/>
    <w:rsid w:val="00B03B30"/>
    <w:rsid w:val="00B07449"/>
    <w:rsid w:val="00B12D74"/>
    <w:rsid w:val="00B131BA"/>
    <w:rsid w:val="00B16EDF"/>
    <w:rsid w:val="00B20C24"/>
    <w:rsid w:val="00B2113B"/>
    <w:rsid w:val="00B2490F"/>
    <w:rsid w:val="00B3017C"/>
    <w:rsid w:val="00B3057E"/>
    <w:rsid w:val="00B344F8"/>
    <w:rsid w:val="00B34585"/>
    <w:rsid w:val="00B40E57"/>
    <w:rsid w:val="00B44437"/>
    <w:rsid w:val="00B44BB7"/>
    <w:rsid w:val="00B50697"/>
    <w:rsid w:val="00B52B00"/>
    <w:rsid w:val="00B55915"/>
    <w:rsid w:val="00B602F1"/>
    <w:rsid w:val="00B6062A"/>
    <w:rsid w:val="00B61EE1"/>
    <w:rsid w:val="00B626F1"/>
    <w:rsid w:val="00B7003C"/>
    <w:rsid w:val="00B7159A"/>
    <w:rsid w:val="00B72DD0"/>
    <w:rsid w:val="00B738C5"/>
    <w:rsid w:val="00B73C15"/>
    <w:rsid w:val="00B74650"/>
    <w:rsid w:val="00B80DF6"/>
    <w:rsid w:val="00B80E1C"/>
    <w:rsid w:val="00B81164"/>
    <w:rsid w:val="00B851FF"/>
    <w:rsid w:val="00B85677"/>
    <w:rsid w:val="00B85C4E"/>
    <w:rsid w:val="00B94718"/>
    <w:rsid w:val="00B95B57"/>
    <w:rsid w:val="00B961D1"/>
    <w:rsid w:val="00B96C0D"/>
    <w:rsid w:val="00BA0403"/>
    <w:rsid w:val="00BA068A"/>
    <w:rsid w:val="00BA20B6"/>
    <w:rsid w:val="00BA2D2D"/>
    <w:rsid w:val="00BA4C84"/>
    <w:rsid w:val="00BA6B65"/>
    <w:rsid w:val="00BA6BAC"/>
    <w:rsid w:val="00BA6F36"/>
    <w:rsid w:val="00BA7825"/>
    <w:rsid w:val="00BB2EDE"/>
    <w:rsid w:val="00BB4DBE"/>
    <w:rsid w:val="00BB6490"/>
    <w:rsid w:val="00BC01D8"/>
    <w:rsid w:val="00BC132E"/>
    <w:rsid w:val="00BC5A40"/>
    <w:rsid w:val="00BC7945"/>
    <w:rsid w:val="00BD15F4"/>
    <w:rsid w:val="00BD2120"/>
    <w:rsid w:val="00BD4FD1"/>
    <w:rsid w:val="00BD6370"/>
    <w:rsid w:val="00BE60FC"/>
    <w:rsid w:val="00BE7FD8"/>
    <w:rsid w:val="00BF18A0"/>
    <w:rsid w:val="00BF2EB2"/>
    <w:rsid w:val="00BF301E"/>
    <w:rsid w:val="00BF7E46"/>
    <w:rsid w:val="00C013F8"/>
    <w:rsid w:val="00C0220F"/>
    <w:rsid w:val="00C07E3D"/>
    <w:rsid w:val="00C114D5"/>
    <w:rsid w:val="00C14F6F"/>
    <w:rsid w:val="00C15A53"/>
    <w:rsid w:val="00C16C99"/>
    <w:rsid w:val="00C2683E"/>
    <w:rsid w:val="00C27D28"/>
    <w:rsid w:val="00C310F8"/>
    <w:rsid w:val="00C33E4C"/>
    <w:rsid w:val="00C41974"/>
    <w:rsid w:val="00C51705"/>
    <w:rsid w:val="00C55FC7"/>
    <w:rsid w:val="00C62BD0"/>
    <w:rsid w:val="00C62DAD"/>
    <w:rsid w:val="00C63C92"/>
    <w:rsid w:val="00C80D58"/>
    <w:rsid w:val="00C844FF"/>
    <w:rsid w:val="00C85152"/>
    <w:rsid w:val="00C87139"/>
    <w:rsid w:val="00C9158F"/>
    <w:rsid w:val="00C9377C"/>
    <w:rsid w:val="00C93E36"/>
    <w:rsid w:val="00C97C1A"/>
    <w:rsid w:val="00CA1AAA"/>
    <w:rsid w:val="00CA1BAA"/>
    <w:rsid w:val="00CA1D61"/>
    <w:rsid w:val="00CA5D6F"/>
    <w:rsid w:val="00CA6C2F"/>
    <w:rsid w:val="00CB04D8"/>
    <w:rsid w:val="00CB368F"/>
    <w:rsid w:val="00CB3937"/>
    <w:rsid w:val="00CB5530"/>
    <w:rsid w:val="00CB6E8E"/>
    <w:rsid w:val="00CC091C"/>
    <w:rsid w:val="00CC1E7F"/>
    <w:rsid w:val="00CC3E81"/>
    <w:rsid w:val="00CC493C"/>
    <w:rsid w:val="00CD16BC"/>
    <w:rsid w:val="00CD5681"/>
    <w:rsid w:val="00CD6D17"/>
    <w:rsid w:val="00CD7BFD"/>
    <w:rsid w:val="00CE21CD"/>
    <w:rsid w:val="00CE4D25"/>
    <w:rsid w:val="00CE5185"/>
    <w:rsid w:val="00CE5229"/>
    <w:rsid w:val="00CE6427"/>
    <w:rsid w:val="00CF5DB6"/>
    <w:rsid w:val="00D015B9"/>
    <w:rsid w:val="00D04835"/>
    <w:rsid w:val="00D04BEC"/>
    <w:rsid w:val="00D053CF"/>
    <w:rsid w:val="00D053FB"/>
    <w:rsid w:val="00D0601C"/>
    <w:rsid w:val="00D141D6"/>
    <w:rsid w:val="00D14567"/>
    <w:rsid w:val="00D15DE4"/>
    <w:rsid w:val="00D17F25"/>
    <w:rsid w:val="00D2423C"/>
    <w:rsid w:val="00D251E7"/>
    <w:rsid w:val="00D252E6"/>
    <w:rsid w:val="00D25E88"/>
    <w:rsid w:val="00D267E3"/>
    <w:rsid w:val="00D26B50"/>
    <w:rsid w:val="00D340C5"/>
    <w:rsid w:val="00D34D6A"/>
    <w:rsid w:val="00D374FE"/>
    <w:rsid w:val="00D37D73"/>
    <w:rsid w:val="00D40E91"/>
    <w:rsid w:val="00D41B8B"/>
    <w:rsid w:val="00D41E35"/>
    <w:rsid w:val="00D42C3A"/>
    <w:rsid w:val="00D44235"/>
    <w:rsid w:val="00D45A2C"/>
    <w:rsid w:val="00D45AFF"/>
    <w:rsid w:val="00D45FE7"/>
    <w:rsid w:val="00D46512"/>
    <w:rsid w:val="00D522BD"/>
    <w:rsid w:val="00D53F97"/>
    <w:rsid w:val="00D55A30"/>
    <w:rsid w:val="00D57A72"/>
    <w:rsid w:val="00D60E91"/>
    <w:rsid w:val="00D62D6A"/>
    <w:rsid w:val="00D66D4B"/>
    <w:rsid w:val="00D70729"/>
    <w:rsid w:val="00D726AA"/>
    <w:rsid w:val="00D735CF"/>
    <w:rsid w:val="00D73CD5"/>
    <w:rsid w:val="00D75627"/>
    <w:rsid w:val="00D85695"/>
    <w:rsid w:val="00D856D1"/>
    <w:rsid w:val="00D909A6"/>
    <w:rsid w:val="00D90F1C"/>
    <w:rsid w:val="00D91274"/>
    <w:rsid w:val="00D91935"/>
    <w:rsid w:val="00D96D50"/>
    <w:rsid w:val="00D976DC"/>
    <w:rsid w:val="00DA19D3"/>
    <w:rsid w:val="00DA43C8"/>
    <w:rsid w:val="00DA4842"/>
    <w:rsid w:val="00DA67EF"/>
    <w:rsid w:val="00DA72B8"/>
    <w:rsid w:val="00DB51B3"/>
    <w:rsid w:val="00DB6011"/>
    <w:rsid w:val="00DB67CB"/>
    <w:rsid w:val="00DB6F1D"/>
    <w:rsid w:val="00DC436A"/>
    <w:rsid w:val="00DC4A4F"/>
    <w:rsid w:val="00DC5E55"/>
    <w:rsid w:val="00DC6C3E"/>
    <w:rsid w:val="00DC7C2E"/>
    <w:rsid w:val="00DD3A6E"/>
    <w:rsid w:val="00DD3AB0"/>
    <w:rsid w:val="00DD55FC"/>
    <w:rsid w:val="00DD5673"/>
    <w:rsid w:val="00DE0A6F"/>
    <w:rsid w:val="00DE0DD7"/>
    <w:rsid w:val="00DE11A9"/>
    <w:rsid w:val="00DE2501"/>
    <w:rsid w:val="00DF1097"/>
    <w:rsid w:val="00DF352A"/>
    <w:rsid w:val="00E0641F"/>
    <w:rsid w:val="00E1265F"/>
    <w:rsid w:val="00E14AF3"/>
    <w:rsid w:val="00E14D53"/>
    <w:rsid w:val="00E1528B"/>
    <w:rsid w:val="00E15577"/>
    <w:rsid w:val="00E15995"/>
    <w:rsid w:val="00E16B20"/>
    <w:rsid w:val="00E20C7B"/>
    <w:rsid w:val="00E20E79"/>
    <w:rsid w:val="00E24CC7"/>
    <w:rsid w:val="00E261BD"/>
    <w:rsid w:val="00E3060F"/>
    <w:rsid w:val="00E31897"/>
    <w:rsid w:val="00E32637"/>
    <w:rsid w:val="00E33D7D"/>
    <w:rsid w:val="00E33D98"/>
    <w:rsid w:val="00E343AF"/>
    <w:rsid w:val="00E35638"/>
    <w:rsid w:val="00E378E7"/>
    <w:rsid w:val="00E40A2D"/>
    <w:rsid w:val="00E43D1B"/>
    <w:rsid w:val="00E450F3"/>
    <w:rsid w:val="00E45B37"/>
    <w:rsid w:val="00E508A1"/>
    <w:rsid w:val="00E50EDE"/>
    <w:rsid w:val="00E50EF7"/>
    <w:rsid w:val="00E51369"/>
    <w:rsid w:val="00E56077"/>
    <w:rsid w:val="00E60AC0"/>
    <w:rsid w:val="00E615CF"/>
    <w:rsid w:val="00E6188F"/>
    <w:rsid w:val="00E61F3D"/>
    <w:rsid w:val="00E62E6E"/>
    <w:rsid w:val="00E64852"/>
    <w:rsid w:val="00E66429"/>
    <w:rsid w:val="00E705AB"/>
    <w:rsid w:val="00E71160"/>
    <w:rsid w:val="00E7250D"/>
    <w:rsid w:val="00E73A52"/>
    <w:rsid w:val="00E8491E"/>
    <w:rsid w:val="00E852F1"/>
    <w:rsid w:val="00E85643"/>
    <w:rsid w:val="00E8718B"/>
    <w:rsid w:val="00E9025A"/>
    <w:rsid w:val="00E91228"/>
    <w:rsid w:val="00E91490"/>
    <w:rsid w:val="00E929C4"/>
    <w:rsid w:val="00E95DF7"/>
    <w:rsid w:val="00E9671A"/>
    <w:rsid w:val="00E97BB0"/>
    <w:rsid w:val="00EA01B1"/>
    <w:rsid w:val="00EA1FF4"/>
    <w:rsid w:val="00EA54F7"/>
    <w:rsid w:val="00EA5730"/>
    <w:rsid w:val="00EA70A5"/>
    <w:rsid w:val="00EB3077"/>
    <w:rsid w:val="00EB5848"/>
    <w:rsid w:val="00EB7127"/>
    <w:rsid w:val="00EB790F"/>
    <w:rsid w:val="00EC302F"/>
    <w:rsid w:val="00EC3A5C"/>
    <w:rsid w:val="00EC5D75"/>
    <w:rsid w:val="00ED3EF6"/>
    <w:rsid w:val="00ED5090"/>
    <w:rsid w:val="00EE269E"/>
    <w:rsid w:val="00EE3471"/>
    <w:rsid w:val="00EE5F5C"/>
    <w:rsid w:val="00EE63C1"/>
    <w:rsid w:val="00EE7094"/>
    <w:rsid w:val="00EF0254"/>
    <w:rsid w:val="00EF09CA"/>
    <w:rsid w:val="00EF4063"/>
    <w:rsid w:val="00EF549F"/>
    <w:rsid w:val="00EF7813"/>
    <w:rsid w:val="00EF7F5B"/>
    <w:rsid w:val="00F01124"/>
    <w:rsid w:val="00F04371"/>
    <w:rsid w:val="00F05F17"/>
    <w:rsid w:val="00F06ECF"/>
    <w:rsid w:val="00F10E95"/>
    <w:rsid w:val="00F1134F"/>
    <w:rsid w:val="00F11F1E"/>
    <w:rsid w:val="00F12CA2"/>
    <w:rsid w:val="00F15B13"/>
    <w:rsid w:val="00F16BD7"/>
    <w:rsid w:val="00F33D23"/>
    <w:rsid w:val="00F34720"/>
    <w:rsid w:val="00F34A95"/>
    <w:rsid w:val="00F34C92"/>
    <w:rsid w:val="00F40BC6"/>
    <w:rsid w:val="00F43842"/>
    <w:rsid w:val="00F46D68"/>
    <w:rsid w:val="00F51168"/>
    <w:rsid w:val="00F51F8B"/>
    <w:rsid w:val="00F52F22"/>
    <w:rsid w:val="00F546CE"/>
    <w:rsid w:val="00F56B38"/>
    <w:rsid w:val="00F57BCD"/>
    <w:rsid w:val="00F63D59"/>
    <w:rsid w:val="00F6486D"/>
    <w:rsid w:val="00F67E1E"/>
    <w:rsid w:val="00F71253"/>
    <w:rsid w:val="00F71E60"/>
    <w:rsid w:val="00F7220B"/>
    <w:rsid w:val="00F77CD3"/>
    <w:rsid w:val="00F81690"/>
    <w:rsid w:val="00F8205F"/>
    <w:rsid w:val="00F823F8"/>
    <w:rsid w:val="00F825B8"/>
    <w:rsid w:val="00F8430B"/>
    <w:rsid w:val="00F84CCE"/>
    <w:rsid w:val="00F84F60"/>
    <w:rsid w:val="00F858C1"/>
    <w:rsid w:val="00F923C2"/>
    <w:rsid w:val="00F93204"/>
    <w:rsid w:val="00F93585"/>
    <w:rsid w:val="00F93BA7"/>
    <w:rsid w:val="00F943C6"/>
    <w:rsid w:val="00F955D3"/>
    <w:rsid w:val="00F96D59"/>
    <w:rsid w:val="00F97D0A"/>
    <w:rsid w:val="00FA072F"/>
    <w:rsid w:val="00FA1483"/>
    <w:rsid w:val="00FA39CA"/>
    <w:rsid w:val="00FA5D43"/>
    <w:rsid w:val="00FA70A2"/>
    <w:rsid w:val="00FA7C81"/>
    <w:rsid w:val="00FB2E0F"/>
    <w:rsid w:val="00FB374D"/>
    <w:rsid w:val="00FB3F75"/>
    <w:rsid w:val="00FB4F27"/>
    <w:rsid w:val="00FB7835"/>
    <w:rsid w:val="00FC199F"/>
    <w:rsid w:val="00FC29ED"/>
    <w:rsid w:val="00FC5AC0"/>
    <w:rsid w:val="00FD12A2"/>
    <w:rsid w:val="00FD1E55"/>
    <w:rsid w:val="00FD2C2B"/>
    <w:rsid w:val="00FD68CB"/>
    <w:rsid w:val="00FF0690"/>
    <w:rsid w:val="00FF0F39"/>
    <w:rsid w:val="00FF3AF2"/>
    <w:rsid w:val="00FF57B5"/>
    <w:rsid w:val="00FF60A6"/>
    <w:rsid w:val="2C0E010C"/>
    <w:rsid w:val="2F484B21"/>
    <w:rsid w:val="46C42D0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Calibri" w:hAnsi="Calibri" w:eastAsia="仿宋_GB2312" w:cs="Times New Roman"/>
      <w:kern w:val="2"/>
      <w:sz w:val="28"/>
      <w:szCs w:val="22"/>
      <w:lang w:val="en-US" w:eastAsia="zh-CN" w:bidi="ar-SA"/>
    </w:rPr>
  </w:style>
  <w:style w:type="paragraph" w:styleId="2">
    <w:name w:val="heading 1"/>
    <w:basedOn w:val="1"/>
    <w:next w:val="1"/>
    <w:link w:val="20"/>
    <w:qFormat/>
    <w:uiPriority w:val="9"/>
    <w:pPr>
      <w:keepNext/>
      <w:keepLines/>
      <w:spacing w:before="340" w:after="330" w:line="578" w:lineRule="auto"/>
      <w:ind w:firstLine="480"/>
      <w:outlineLvl w:val="0"/>
    </w:pPr>
    <w:rPr>
      <w:rFonts w:ascii="Times New Roman" w:hAnsi="仿宋" w:eastAsia="仿宋"/>
      <w:b/>
      <w:bCs/>
      <w:kern w:val="44"/>
      <w:sz w:val="44"/>
      <w:szCs w:val="44"/>
    </w:rPr>
  </w:style>
  <w:style w:type="paragraph" w:styleId="3">
    <w:name w:val="heading 2"/>
    <w:basedOn w:val="1"/>
    <w:next w:val="1"/>
    <w:link w:val="21"/>
    <w:semiHidden/>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22"/>
    <w:semiHidden/>
    <w:unhideWhenUsed/>
    <w:qFormat/>
    <w:uiPriority w:val="9"/>
    <w:pPr>
      <w:keepNext/>
      <w:keepLines/>
      <w:spacing w:before="260" w:after="260" w:line="416" w:lineRule="auto"/>
      <w:outlineLvl w:val="2"/>
    </w:pPr>
    <w:rPr>
      <w:b/>
      <w:bCs/>
      <w:sz w:val="32"/>
      <w:szCs w:val="32"/>
    </w:rPr>
  </w:style>
  <w:style w:type="character" w:default="1" w:styleId="17">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5">
    <w:name w:val="annotation text"/>
    <w:basedOn w:val="1"/>
    <w:link w:val="40"/>
    <w:semiHidden/>
    <w:unhideWhenUsed/>
    <w:qFormat/>
    <w:uiPriority w:val="99"/>
    <w:pPr>
      <w:jc w:val="left"/>
    </w:pPr>
  </w:style>
  <w:style w:type="paragraph" w:styleId="6">
    <w:name w:val="Body Text"/>
    <w:basedOn w:val="1"/>
    <w:link w:val="39"/>
    <w:qFormat/>
    <w:uiPriority w:val="1"/>
    <w:pPr>
      <w:autoSpaceDE w:val="0"/>
      <w:autoSpaceDN w:val="0"/>
      <w:spacing w:line="240" w:lineRule="auto"/>
      <w:ind w:firstLine="0" w:firstLineChars="0"/>
      <w:jc w:val="left"/>
    </w:pPr>
    <w:rPr>
      <w:rFonts w:ascii="宋体" w:hAnsi="宋体" w:eastAsia="宋体" w:cs="宋体"/>
      <w:kern w:val="0"/>
      <w:szCs w:val="28"/>
      <w:lang w:eastAsia="en-US"/>
    </w:rPr>
  </w:style>
  <w:style w:type="paragraph" w:styleId="7">
    <w:name w:val="toc 3"/>
    <w:basedOn w:val="1"/>
    <w:next w:val="1"/>
    <w:unhideWhenUsed/>
    <w:qFormat/>
    <w:uiPriority w:val="39"/>
    <w:pPr>
      <w:tabs>
        <w:tab w:val="right" w:leader="dot" w:pos="8302"/>
      </w:tabs>
      <w:ind w:left="1120" w:leftChars="400" w:firstLine="0" w:firstLineChars="0"/>
      <w:jc w:val="left"/>
    </w:pPr>
    <w:rPr>
      <w:rFonts w:ascii="宋体" w:hAnsi="宋体" w:eastAsia="仿宋"/>
      <w:spacing w:val="-2"/>
      <w:sz w:val="24"/>
      <w:szCs w:val="24"/>
    </w:rPr>
  </w:style>
  <w:style w:type="paragraph" w:styleId="8">
    <w:name w:val="Balloon Text"/>
    <w:basedOn w:val="1"/>
    <w:link w:val="32"/>
    <w:semiHidden/>
    <w:unhideWhenUsed/>
    <w:qFormat/>
    <w:uiPriority w:val="99"/>
    <w:pPr>
      <w:spacing w:line="240" w:lineRule="auto"/>
    </w:pPr>
    <w:rPr>
      <w:sz w:val="18"/>
      <w:szCs w:val="18"/>
    </w:rPr>
  </w:style>
  <w:style w:type="paragraph" w:styleId="9">
    <w:name w:val="footer"/>
    <w:basedOn w:val="1"/>
    <w:link w:val="24"/>
    <w:unhideWhenUsed/>
    <w:qFormat/>
    <w:uiPriority w:val="99"/>
    <w:pPr>
      <w:tabs>
        <w:tab w:val="center" w:pos="4153"/>
        <w:tab w:val="right" w:pos="8306"/>
      </w:tabs>
      <w:snapToGrid w:val="0"/>
      <w:jc w:val="left"/>
    </w:pPr>
    <w:rPr>
      <w:sz w:val="18"/>
      <w:szCs w:val="18"/>
    </w:rPr>
  </w:style>
  <w:style w:type="paragraph" w:styleId="10">
    <w:name w:val="header"/>
    <w:basedOn w:val="1"/>
    <w:link w:val="23"/>
    <w:unhideWhenUsed/>
    <w:qFormat/>
    <w:uiPriority w:val="99"/>
    <w:pPr>
      <w:pBdr>
        <w:bottom w:val="single" w:color="auto" w:sz="6" w:space="1"/>
      </w:pBdr>
      <w:tabs>
        <w:tab w:val="center" w:pos="4153"/>
        <w:tab w:val="right" w:pos="8306"/>
      </w:tabs>
      <w:snapToGrid w:val="0"/>
      <w:jc w:val="center"/>
    </w:pPr>
    <w:rPr>
      <w:sz w:val="18"/>
      <w:szCs w:val="18"/>
    </w:rPr>
  </w:style>
  <w:style w:type="paragraph" w:styleId="11">
    <w:name w:val="toc 1"/>
    <w:basedOn w:val="1"/>
    <w:next w:val="1"/>
    <w:unhideWhenUsed/>
    <w:qFormat/>
    <w:uiPriority w:val="39"/>
    <w:pPr>
      <w:tabs>
        <w:tab w:val="right" w:leader="dot" w:pos="8296"/>
      </w:tabs>
      <w:ind w:firstLine="0" w:firstLineChars="0"/>
      <w:jc w:val="left"/>
    </w:pPr>
    <w:rPr>
      <w:rFonts w:ascii="宋体" w:hAnsi="宋体" w:eastAsia="仿宋"/>
      <w:spacing w:val="-2"/>
      <w:sz w:val="24"/>
      <w:szCs w:val="24"/>
    </w:rPr>
  </w:style>
  <w:style w:type="paragraph" w:styleId="12">
    <w:name w:val="toc 2"/>
    <w:basedOn w:val="1"/>
    <w:next w:val="1"/>
    <w:unhideWhenUsed/>
    <w:qFormat/>
    <w:uiPriority w:val="39"/>
    <w:pPr>
      <w:tabs>
        <w:tab w:val="right" w:leader="dot" w:pos="8302"/>
      </w:tabs>
      <w:ind w:left="560" w:leftChars="200" w:firstLine="0" w:firstLineChars="0"/>
      <w:jc w:val="left"/>
    </w:pPr>
    <w:rPr>
      <w:rFonts w:ascii="宋体" w:hAnsi="宋体" w:eastAsia="仿宋"/>
      <w:spacing w:val="-2"/>
      <w:sz w:val="24"/>
      <w:szCs w:val="24"/>
    </w:rPr>
  </w:style>
  <w:style w:type="paragraph" w:styleId="13">
    <w:name w:val="Normal (Web)"/>
    <w:basedOn w:val="1"/>
    <w:semiHidden/>
    <w:unhideWhenUsed/>
    <w:qFormat/>
    <w:uiPriority w:val="99"/>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styleId="14">
    <w:name w:val="annotation subject"/>
    <w:basedOn w:val="5"/>
    <w:next w:val="5"/>
    <w:link w:val="41"/>
    <w:semiHidden/>
    <w:unhideWhenUsed/>
    <w:qFormat/>
    <w:uiPriority w:val="99"/>
    <w:rPr>
      <w:b/>
      <w:bCs/>
    </w:rPr>
  </w:style>
  <w:style w:type="table" w:styleId="16">
    <w:name w:val="Table Grid"/>
    <w:basedOn w:val="1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Hyperlink"/>
    <w:basedOn w:val="17"/>
    <w:unhideWhenUsed/>
    <w:qFormat/>
    <w:uiPriority w:val="99"/>
    <w:rPr>
      <w:color w:val="0000FF"/>
      <w:u w:val="single"/>
    </w:rPr>
  </w:style>
  <w:style w:type="character" w:styleId="19">
    <w:name w:val="annotation reference"/>
    <w:basedOn w:val="17"/>
    <w:semiHidden/>
    <w:unhideWhenUsed/>
    <w:qFormat/>
    <w:uiPriority w:val="99"/>
    <w:rPr>
      <w:sz w:val="21"/>
      <w:szCs w:val="21"/>
    </w:rPr>
  </w:style>
  <w:style w:type="character" w:customStyle="1" w:styleId="20">
    <w:name w:val="标题 1 字符"/>
    <w:basedOn w:val="17"/>
    <w:link w:val="2"/>
    <w:qFormat/>
    <w:uiPriority w:val="9"/>
    <w:rPr>
      <w:rFonts w:ascii="Times New Roman" w:hAnsi="仿宋" w:eastAsia="仿宋" w:cs="Times New Roman"/>
      <w:b/>
      <w:bCs/>
      <w:kern w:val="44"/>
      <w:sz w:val="44"/>
      <w:szCs w:val="44"/>
    </w:rPr>
  </w:style>
  <w:style w:type="character" w:customStyle="1" w:styleId="21">
    <w:name w:val="标题 2 字符"/>
    <w:basedOn w:val="17"/>
    <w:link w:val="3"/>
    <w:semiHidden/>
    <w:qFormat/>
    <w:uiPriority w:val="9"/>
    <w:rPr>
      <w:rFonts w:asciiTheme="majorHAnsi" w:hAnsiTheme="majorHAnsi" w:eastAsiaTheme="majorEastAsia" w:cstheme="majorBidi"/>
      <w:b/>
      <w:bCs/>
      <w:sz w:val="32"/>
      <w:szCs w:val="32"/>
    </w:rPr>
  </w:style>
  <w:style w:type="character" w:customStyle="1" w:styleId="22">
    <w:name w:val="标题 3 字符"/>
    <w:basedOn w:val="17"/>
    <w:link w:val="4"/>
    <w:semiHidden/>
    <w:qFormat/>
    <w:uiPriority w:val="9"/>
    <w:rPr>
      <w:rFonts w:ascii="Calibri" w:hAnsi="Calibri" w:eastAsia="仿宋_GB2312" w:cs="Times New Roman"/>
      <w:b/>
      <w:bCs/>
      <w:sz w:val="32"/>
      <w:szCs w:val="32"/>
    </w:rPr>
  </w:style>
  <w:style w:type="character" w:customStyle="1" w:styleId="23">
    <w:name w:val="页眉 字符"/>
    <w:basedOn w:val="17"/>
    <w:link w:val="10"/>
    <w:qFormat/>
    <w:uiPriority w:val="99"/>
    <w:rPr>
      <w:sz w:val="18"/>
      <w:szCs w:val="18"/>
    </w:rPr>
  </w:style>
  <w:style w:type="character" w:customStyle="1" w:styleId="24">
    <w:name w:val="页脚 字符"/>
    <w:basedOn w:val="17"/>
    <w:link w:val="9"/>
    <w:qFormat/>
    <w:uiPriority w:val="99"/>
    <w:rPr>
      <w:sz w:val="18"/>
      <w:szCs w:val="18"/>
    </w:rPr>
  </w:style>
  <w:style w:type="paragraph" w:customStyle="1" w:styleId="25">
    <w:name w:val="指南标题3"/>
    <w:basedOn w:val="4"/>
    <w:next w:val="1"/>
    <w:link w:val="26"/>
    <w:qFormat/>
    <w:uiPriority w:val="0"/>
    <w:pPr>
      <w:numPr>
        <w:ilvl w:val="2"/>
        <w:numId w:val="1"/>
      </w:numPr>
      <w:snapToGrid w:val="0"/>
      <w:spacing w:before="156" w:beforeLines="50" w:after="156" w:afterLines="50" w:line="360" w:lineRule="auto"/>
      <w:ind w:firstLineChars="0"/>
    </w:pPr>
    <w:rPr>
      <w:rFonts w:ascii="Times New Roman" w:hAnsi="Times New Roman"/>
      <w:spacing w:val="-2"/>
      <w:kern w:val="0"/>
      <w:sz w:val="28"/>
      <w:szCs w:val="24"/>
    </w:rPr>
  </w:style>
  <w:style w:type="character" w:customStyle="1" w:styleId="26">
    <w:name w:val="指南标题3 Char"/>
    <w:link w:val="25"/>
    <w:qFormat/>
    <w:uiPriority w:val="0"/>
    <w:rPr>
      <w:rFonts w:ascii="Times New Roman" w:hAnsi="Times New Roman" w:eastAsia="仿宋_GB2312" w:cs="Times New Roman"/>
      <w:b/>
      <w:bCs/>
      <w:spacing w:val="-2"/>
      <w:kern w:val="0"/>
      <w:sz w:val="28"/>
      <w:szCs w:val="24"/>
    </w:rPr>
  </w:style>
  <w:style w:type="paragraph" w:customStyle="1" w:styleId="27">
    <w:name w:val="标题2"/>
    <w:basedOn w:val="3"/>
    <w:link w:val="28"/>
    <w:qFormat/>
    <w:uiPriority w:val="0"/>
    <w:pPr>
      <w:numPr>
        <w:ilvl w:val="1"/>
        <w:numId w:val="1"/>
      </w:numPr>
      <w:spacing w:before="156" w:beforeLines="50" w:after="156" w:afterLines="50" w:line="360" w:lineRule="auto"/>
      <w:ind w:firstLineChars="0"/>
    </w:pPr>
    <w:rPr>
      <w:rFonts w:ascii="Times New Roman" w:hAnsi="Times New Roman" w:eastAsia="黑体" w:cs="Times New Roman"/>
      <w:spacing w:val="-2"/>
      <w:kern w:val="0"/>
    </w:rPr>
  </w:style>
  <w:style w:type="character" w:customStyle="1" w:styleId="28">
    <w:name w:val="标题2 Char"/>
    <w:link w:val="27"/>
    <w:qFormat/>
    <w:uiPriority w:val="0"/>
    <w:rPr>
      <w:rFonts w:ascii="Times New Roman" w:hAnsi="Times New Roman" w:eastAsia="黑体" w:cs="Times New Roman"/>
      <w:b/>
      <w:bCs/>
      <w:spacing w:val="-2"/>
      <w:kern w:val="0"/>
      <w:sz w:val="32"/>
      <w:szCs w:val="32"/>
    </w:rPr>
  </w:style>
  <w:style w:type="paragraph" w:customStyle="1" w:styleId="29">
    <w:name w:val="标题1"/>
    <w:basedOn w:val="2"/>
    <w:next w:val="1"/>
    <w:qFormat/>
    <w:uiPriority w:val="0"/>
    <w:pPr>
      <w:spacing w:before="360" w:after="240" w:line="480" w:lineRule="exact"/>
      <w:ind w:left="2693" w:firstLine="0" w:firstLineChars="0"/>
      <w:jc w:val="center"/>
    </w:pPr>
    <w:rPr>
      <w:rFonts w:ascii="黑体" w:hAnsi="黑体" w:eastAsia="黑体"/>
      <w:spacing w:val="-2"/>
      <w:kern w:val="0"/>
      <w:sz w:val="36"/>
      <w:szCs w:val="24"/>
    </w:rPr>
  </w:style>
  <w:style w:type="paragraph" w:styleId="30">
    <w:name w:val="List Paragraph"/>
    <w:basedOn w:val="1"/>
    <w:qFormat/>
    <w:uiPriority w:val="34"/>
    <w:pPr>
      <w:ind w:firstLine="420"/>
    </w:pPr>
  </w:style>
  <w:style w:type="paragraph" w:customStyle="1" w:styleId="31">
    <w:name w:val="TOC Heading"/>
    <w:basedOn w:val="2"/>
    <w:next w:val="1"/>
    <w:unhideWhenUsed/>
    <w:qFormat/>
    <w:uiPriority w:val="39"/>
    <w:pPr>
      <w:widowControl/>
      <w:spacing w:before="240" w:after="0" w:line="259" w:lineRule="auto"/>
      <w:ind w:firstLine="0" w:firstLineChars="0"/>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32">
    <w:name w:val="批注框文本 字符"/>
    <w:basedOn w:val="17"/>
    <w:link w:val="8"/>
    <w:semiHidden/>
    <w:qFormat/>
    <w:uiPriority w:val="99"/>
    <w:rPr>
      <w:rFonts w:ascii="Calibri" w:hAnsi="Calibri" w:eastAsia="仿宋_GB2312" w:cs="Times New Roman"/>
      <w:sz w:val="18"/>
      <w:szCs w:val="18"/>
    </w:rPr>
  </w:style>
  <w:style w:type="character" w:customStyle="1" w:styleId="33">
    <w:name w:val="fontstyle01"/>
    <w:basedOn w:val="17"/>
    <w:qFormat/>
    <w:uiPriority w:val="0"/>
    <w:rPr>
      <w:rFonts w:hint="eastAsia" w:ascii="宋体" w:hAnsi="宋体" w:eastAsia="宋体"/>
      <w:color w:val="000000"/>
      <w:sz w:val="24"/>
      <w:szCs w:val="24"/>
    </w:rPr>
  </w:style>
  <w:style w:type="character" w:customStyle="1" w:styleId="34">
    <w:name w:val="fontstyle11"/>
    <w:basedOn w:val="17"/>
    <w:qFormat/>
    <w:uiPriority w:val="0"/>
    <w:rPr>
      <w:rFonts w:hint="eastAsia" w:ascii="宋体" w:hAnsi="宋体" w:eastAsia="宋体"/>
      <w:color w:val="000000"/>
      <w:sz w:val="24"/>
      <w:szCs w:val="24"/>
    </w:rPr>
  </w:style>
  <w:style w:type="character" w:customStyle="1" w:styleId="35">
    <w:name w:val="fontstyle21"/>
    <w:basedOn w:val="17"/>
    <w:qFormat/>
    <w:uiPriority w:val="0"/>
    <w:rPr>
      <w:rFonts w:hint="default" w:ascii="TimesNewRoman" w:hAnsi="TimesNewRoman"/>
      <w:color w:val="000000"/>
      <w:sz w:val="28"/>
      <w:szCs w:val="28"/>
    </w:rPr>
  </w:style>
  <w:style w:type="character" w:customStyle="1" w:styleId="36">
    <w:name w:val="fontstyle31"/>
    <w:basedOn w:val="17"/>
    <w:qFormat/>
    <w:uiPriority w:val="0"/>
    <w:rPr>
      <w:rFonts w:hint="eastAsia" w:ascii="宋体" w:hAnsi="宋体" w:eastAsia="宋体"/>
      <w:color w:val="000000"/>
      <w:sz w:val="18"/>
      <w:szCs w:val="18"/>
    </w:rPr>
  </w:style>
  <w:style w:type="character" w:customStyle="1" w:styleId="37">
    <w:name w:val="fontstyle51"/>
    <w:basedOn w:val="17"/>
    <w:qFormat/>
    <w:uiPriority w:val="0"/>
    <w:rPr>
      <w:rFonts w:hint="default" w:ascii="Calibri" w:hAnsi="Calibri" w:cs="Calibri"/>
      <w:color w:val="000000"/>
      <w:sz w:val="18"/>
      <w:szCs w:val="18"/>
    </w:rPr>
  </w:style>
  <w:style w:type="table" w:customStyle="1" w:styleId="38">
    <w:name w:val="Table Normal"/>
    <w:semiHidden/>
    <w:unhideWhenUsed/>
    <w:qFormat/>
    <w:uiPriority w:val="2"/>
    <w:pPr>
      <w:widowControl w:val="0"/>
      <w:autoSpaceDE w:val="0"/>
      <w:autoSpaceDN w:val="0"/>
    </w:pPr>
    <w:rPr>
      <w:kern w:val="0"/>
      <w:sz w:val="22"/>
      <w:lang w:eastAsia="en-US"/>
    </w:rPr>
    <w:tblPr>
      <w:tblCellMar>
        <w:top w:w="0" w:type="dxa"/>
        <w:left w:w="0" w:type="dxa"/>
        <w:bottom w:w="0" w:type="dxa"/>
        <w:right w:w="0" w:type="dxa"/>
      </w:tblCellMar>
    </w:tblPr>
  </w:style>
  <w:style w:type="character" w:customStyle="1" w:styleId="39">
    <w:name w:val="正文文本 字符"/>
    <w:basedOn w:val="17"/>
    <w:link w:val="6"/>
    <w:qFormat/>
    <w:uiPriority w:val="1"/>
    <w:rPr>
      <w:rFonts w:ascii="宋体" w:hAnsi="宋体" w:eastAsia="宋体" w:cs="宋体"/>
      <w:kern w:val="0"/>
      <w:sz w:val="28"/>
      <w:szCs w:val="28"/>
      <w:lang w:eastAsia="en-US"/>
    </w:rPr>
  </w:style>
  <w:style w:type="character" w:customStyle="1" w:styleId="40">
    <w:name w:val="批注文字 字符"/>
    <w:basedOn w:val="17"/>
    <w:link w:val="5"/>
    <w:semiHidden/>
    <w:qFormat/>
    <w:uiPriority w:val="99"/>
    <w:rPr>
      <w:rFonts w:ascii="Calibri" w:hAnsi="Calibri" w:eastAsia="仿宋_GB2312" w:cs="Times New Roman"/>
      <w:sz w:val="28"/>
    </w:rPr>
  </w:style>
  <w:style w:type="character" w:customStyle="1" w:styleId="41">
    <w:name w:val="批注主题 字符"/>
    <w:basedOn w:val="40"/>
    <w:link w:val="14"/>
    <w:semiHidden/>
    <w:qFormat/>
    <w:uiPriority w:val="99"/>
    <w:rPr>
      <w:rFonts w:ascii="Calibri" w:hAnsi="Calibri" w:eastAsia="仿宋_GB2312" w:cs="Times New Roman"/>
      <w:b/>
      <w:bCs/>
      <w:sz w:val="28"/>
    </w:rPr>
  </w:style>
  <w:style w:type="paragraph" w:customStyle="1" w:styleId="42">
    <w:name w:val="Table Paragraph"/>
    <w:basedOn w:val="1"/>
    <w:qFormat/>
    <w:uiPriority w:val="1"/>
    <w:pPr>
      <w:autoSpaceDE w:val="0"/>
      <w:autoSpaceDN w:val="0"/>
      <w:spacing w:line="240" w:lineRule="auto"/>
      <w:ind w:firstLine="0" w:firstLineChars="0"/>
      <w:jc w:val="center"/>
    </w:pPr>
    <w:rPr>
      <w:rFonts w:ascii="Times New Roman" w:hAnsi="Times New Roman" w:eastAsia="Times New Roman"/>
      <w:kern w:val="0"/>
      <w:sz w:val="22"/>
      <w:lang w:eastAsia="en-US"/>
    </w:rPr>
  </w:style>
  <w:style w:type="character" w:styleId="43">
    <w:name w:val="Placeholder Text"/>
    <w:basedOn w:val="17"/>
    <w:semiHidden/>
    <w:qFormat/>
    <w:uiPriority w:val="99"/>
    <w:rPr>
      <w:color w:val="808080"/>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4" Type="http://schemas.openxmlformats.org/officeDocument/2006/relationships/fontTable" Target="fontTable.xml"/><Relationship Id="rId43" Type="http://schemas.openxmlformats.org/officeDocument/2006/relationships/customXml" Target="../customXml/item2.xml"/><Relationship Id="rId42" Type="http://schemas.openxmlformats.org/officeDocument/2006/relationships/numbering" Target="numbering.xml"/><Relationship Id="rId41" Type="http://schemas.openxmlformats.org/officeDocument/2006/relationships/customXml" Target="../customXml/item1.xml"/><Relationship Id="rId40" Type="http://schemas.openxmlformats.org/officeDocument/2006/relationships/image" Target="media/image26.jpeg"/><Relationship Id="rId4" Type="http://schemas.openxmlformats.org/officeDocument/2006/relationships/header" Target="header2.xml"/><Relationship Id="rId39" Type="http://schemas.openxmlformats.org/officeDocument/2006/relationships/image" Target="media/image25.jpe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jpeg"/><Relationship Id="rId35" Type="http://schemas.openxmlformats.org/officeDocument/2006/relationships/image" Target="media/image21.jpeg"/><Relationship Id="rId34" Type="http://schemas.openxmlformats.org/officeDocument/2006/relationships/image" Target="media/image20.jpeg"/><Relationship Id="rId33" Type="http://schemas.openxmlformats.org/officeDocument/2006/relationships/image" Target="media/image19.jpeg"/><Relationship Id="rId32" Type="http://schemas.openxmlformats.org/officeDocument/2006/relationships/image" Target="media/image18.jpeg"/><Relationship Id="rId31" Type="http://schemas.openxmlformats.org/officeDocument/2006/relationships/image" Target="media/image17.jpeg"/><Relationship Id="rId30" Type="http://schemas.openxmlformats.org/officeDocument/2006/relationships/image" Target="media/image16.png"/><Relationship Id="rId3" Type="http://schemas.openxmlformats.org/officeDocument/2006/relationships/header" Target="header1.xml"/><Relationship Id="rId29" Type="http://schemas.openxmlformats.org/officeDocument/2006/relationships/image" Target="media/image15.png"/><Relationship Id="rId28" Type="http://schemas.openxmlformats.org/officeDocument/2006/relationships/image" Target="media/image14.jpe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jpeg"/><Relationship Id="rId24" Type="http://schemas.openxmlformats.org/officeDocument/2006/relationships/image" Target="media/image10.jpeg"/><Relationship Id="rId23" Type="http://schemas.openxmlformats.org/officeDocument/2006/relationships/image" Target="media/image9.jpeg"/><Relationship Id="rId22" Type="http://schemas.openxmlformats.org/officeDocument/2006/relationships/image" Target="media/image8.jpeg"/><Relationship Id="rId21" Type="http://schemas.openxmlformats.org/officeDocument/2006/relationships/image" Target="media/image7.jpe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jpe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emf"/><Relationship Id="rId14" Type="http://schemas.openxmlformats.org/officeDocument/2006/relationships/theme" Target="theme/theme1.xml"/><Relationship Id="rId13" Type="http://schemas.openxmlformats.org/officeDocument/2006/relationships/footer" Target="footer6.xml"/><Relationship Id="rId12" Type="http://schemas.openxmlformats.org/officeDocument/2006/relationships/header" Target="header5.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noFill/>
          <a:miter lim="800000"/>
        </a:ln>
      </a:spPr>
      <a:bodyPr rot="0" vert="horz" wrap="square" lIns="91440" tIns="45720" rIns="91440" bIns="45720" anchor="t" anchorCtr="0">
        <a:noAutofit/>
      </a:bodyPr>
      <a:lst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9D27E64-5992-4D54-B8D5-A5CB462320CD}">
  <ds:schemaRefs/>
</ds:datastoreItem>
</file>

<file path=docProps/app.xml><?xml version="1.0" encoding="utf-8"?>
<Properties xmlns="http://schemas.openxmlformats.org/officeDocument/2006/extended-properties" xmlns:vt="http://schemas.openxmlformats.org/officeDocument/2006/docPropsVTypes">
  <Template>Normal</Template>
  <Pages>85</Pages>
  <Words>6803</Words>
  <Characters>38780</Characters>
  <Lines>323</Lines>
  <Paragraphs>90</Paragraphs>
  <TotalTime>2238</TotalTime>
  <ScaleCrop>false</ScaleCrop>
  <LinksUpToDate>false</LinksUpToDate>
  <CharactersWithSpaces>45493</CharactersWithSpaces>
  <Application>WPS Office_11.1.0.9440_F1E327BC-269C-435d-A152-05C5408002CA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2020-02-16T18:40:00Z</dcterms:created>
  <dc:creator>user</dc:creator>
  <cp:lastModifiedBy>Administrator</cp:lastModifiedBy>
  <cp:lastPrinted>2018-10-14T09:06:00Z</cp:lastPrinted>
  <dcterms:modified xsi:type="dcterms:W3CDTF">2020-03-27T01:49:25Z</dcterms:modified>
  <cp:revision>44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2052-11.1.0.9440</vt:lpwstr>
  </property>
</Properties>
</file>