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200"/>
        <w:jc w:val="right"/>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方正小标宋简体" w:eastAsia="方正小标宋简体"/>
          <w:spacing w:val="60"/>
          <w:sz w:val="74"/>
        </w:rPr>
      </w:pPr>
      <w:r>
        <w:rPr>
          <w:rFonts w:hint="eastAsia" w:ascii="方正小标宋简体" w:eastAsia="方正小标宋简体"/>
          <w:spacing w:val="60"/>
          <w:sz w:val="74"/>
        </w:rPr>
        <w:t>2020年度</w:t>
      </w:r>
    </w:p>
    <w:p>
      <w:pPr>
        <w:jc w:val="center"/>
        <w:rPr>
          <w:rFonts w:ascii="方正小标宋简体" w:eastAsia="方正小标宋简体"/>
          <w:spacing w:val="60"/>
          <w:sz w:val="74"/>
        </w:rPr>
      </w:pPr>
      <w:r>
        <w:rPr>
          <w:rFonts w:hint="eastAsia" w:ascii="方正小标宋简体" w:eastAsia="方正小标宋简体"/>
          <w:spacing w:val="60"/>
          <w:sz w:val="74"/>
        </w:rPr>
        <w:t>淄博市博山区石马水库管理所决算</w:t>
      </w:r>
    </w:p>
    <w:p>
      <w:pPr>
        <w:jc w:val="center"/>
        <w:rPr>
          <w:rFonts w:ascii="方正小标宋简体" w:eastAsia="方正小标宋简体"/>
          <w:spacing w:val="60"/>
          <w:sz w:val="74"/>
        </w:rPr>
      </w:pPr>
    </w:p>
    <w:p>
      <w:pPr>
        <w:jc w:val="center"/>
        <w:rPr>
          <w:rFonts w:ascii="楷体_GB2312" w:eastAsia="楷体_GB2312"/>
          <w:b/>
          <w:sz w:val="42"/>
        </w:rPr>
      </w:pPr>
    </w:p>
    <w:p>
      <w:pPr>
        <w:jc w:val="center"/>
        <w:rPr>
          <w:rFonts w:ascii="楷体_GB2312" w:eastAsia="楷体_GB2312"/>
          <w:b/>
          <w:sz w:val="42"/>
        </w:rPr>
      </w:pPr>
    </w:p>
    <w:p>
      <w:pPr>
        <w:jc w:val="center"/>
        <w:rPr>
          <w:rFonts w:ascii="仿宋_GB2312" w:eastAsia="仿宋_GB2312"/>
        </w:rPr>
      </w:pPr>
    </w:p>
    <w:p>
      <w:pPr>
        <w:rPr>
          <w:rFonts w:ascii="仿宋_GB2312" w:eastAsia="仿宋_GB2312"/>
        </w:rPr>
      </w:pPr>
    </w:p>
    <w:p>
      <w:pPr>
        <w:spacing w:afterLines="50" w:line="580" w:lineRule="exact"/>
        <w:jc w:val="center"/>
        <w:rPr>
          <w:rFonts w:ascii="方正小标宋简体" w:eastAsia="方正小标宋简体"/>
          <w:sz w:val="44"/>
          <w:szCs w:val="44"/>
        </w:rPr>
      </w:pPr>
    </w:p>
    <w:p>
      <w:pPr>
        <w:spacing w:afterLines="50" w:line="580" w:lineRule="exact"/>
        <w:jc w:val="center"/>
        <w:rPr>
          <w:rFonts w:ascii="方正小标宋简体" w:eastAsia="方正小标宋简体"/>
          <w:sz w:val="44"/>
          <w:szCs w:val="44"/>
        </w:rPr>
      </w:pPr>
    </w:p>
    <w:p>
      <w:pPr>
        <w:spacing w:afterLines="50" w:line="580" w:lineRule="exact"/>
        <w:jc w:val="center"/>
        <w:rPr>
          <w:rFonts w:ascii="方正小标宋简体" w:eastAsia="方正小标宋简体"/>
          <w:sz w:val="44"/>
          <w:szCs w:val="44"/>
        </w:rPr>
      </w:pPr>
    </w:p>
    <w:p>
      <w:pPr>
        <w:spacing w:afterLines="50" w:line="580" w:lineRule="exact"/>
        <w:jc w:val="center"/>
        <w:rPr>
          <w:rFonts w:ascii="方正小标宋简体" w:eastAsia="方正小标宋简体"/>
          <w:sz w:val="44"/>
          <w:szCs w:val="44"/>
        </w:rPr>
      </w:pPr>
    </w:p>
    <w:p>
      <w:pPr>
        <w:spacing w:afterLines="50" w:line="580" w:lineRule="exact"/>
        <w:jc w:val="center"/>
        <w:rPr>
          <w:rFonts w:ascii="方正小标宋简体" w:eastAsia="方正小标宋简体"/>
          <w:sz w:val="44"/>
          <w:szCs w:val="44"/>
        </w:rPr>
      </w:pPr>
    </w:p>
    <w:p>
      <w:pPr>
        <w:spacing w:afterLines="50" w:line="580" w:lineRule="exact"/>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ind w:firstLine="316" w:firstLineChars="100"/>
        <w:rPr>
          <w:rFonts w:ascii="黑体" w:hAnsi="黑体" w:eastAsia="黑体"/>
        </w:rPr>
      </w:pPr>
      <w:r>
        <w:rPr>
          <w:rFonts w:hint="eastAsia" w:ascii="黑体" w:hAnsi="黑体" w:eastAsia="黑体"/>
        </w:rPr>
        <w:t>第一部分  单位概况</w:t>
      </w:r>
    </w:p>
    <w:p>
      <w:pPr>
        <w:spacing w:line="580" w:lineRule="exact"/>
        <w:ind w:firstLine="632" w:firstLineChars="200"/>
        <w:rPr>
          <w:rFonts w:ascii="仿宋_GB2312" w:eastAsia="仿宋_GB2312"/>
        </w:rPr>
      </w:pPr>
      <w:r>
        <w:rPr>
          <w:rFonts w:hint="eastAsia" w:ascii="仿宋_GB2312" w:eastAsia="仿宋_GB2312"/>
        </w:rPr>
        <w:t>一、单位职责</w:t>
      </w:r>
    </w:p>
    <w:p>
      <w:pPr>
        <w:spacing w:line="580" w:lineRule="exact"/>
        <w:ind w:firstLine="632" w:firstLineChars="200"/>
        <w:rPr>
          <w:rFonts w:ascii="仿宋_GB2312" w:eastAsia="仿宋_GB2312"/>
        </w:rPr>
      </w:pPr>
      <w:r>
        <w:rPr>
          <w:rFonts w:hint="eastAsia" w:ascii="仿宋_GB2312" w:eastAsia="仿宋_GB2312"/>
        </w:rPr>
        <w:t>二、机构设置</w:t>
      </w:r>
    </w:p>
    <w:p>
      <w:pPr>
        <w:spacing w:line="580" w:lineRule="exact"/>
        <w:ind w:firstLine="316" w:firstLineChars="100"/>
        <w:rPr>
          <w:rFonts w:ascii="黑体" w:hAnsi="黑体" w:eastAsia="黑体"/>
        </w:rPr>
      </w:pPr>
      <w:r>
        <w:rPr>
          <w:rFonts w:hint="eastAsia" w:ascii="黑体" w:hAnsi="黑体" w:eastAsia="黑体"/>
        </w:rPr>
        <w:t>第二部分  2020年度单位决算表</w:t>
      </w:r>
    </w:p>
    <w:p>
      <w:pPr>
        <w:spacing w:line="580" w:lineRule="exact"/>
        <w:ind w:firstLine="632" w:firstLineChars="200"/>
        <w:rPr>
          <w:rFonts w:ascii="仿宋_GB2312" w:eastAsia="仿宋_GB2312"/>
        </w:rPr>
      </w:pPr>
      <w:r>
        <w:rPr>
          <w:rFonts w:hint="eastAsia" w:ascii="仿宋_GB2312" w:eastAsia="仿宋_GB2312"/>
        </w:rPr>
        <w:t>一、收入支出决算总表</w:t>
      </w:r>
    </w:p>
    <w:p>
      <w:pPr>
        <w:spacing w:line="580" w:lineRule="exact"/>
        <w:ind w:firstLine="632" w:firstLineChars="200"/>
        <w:rPr>
          <w:rFonts w:ascii="仿宋_GB2312" w:eastAsia="仿宋_GB2312"/>
        </w:rPr>
      </w:pPr>
      <w:r>
        <w:rPr>
          <w:rFonts w:hint="eastAsia" w:ascii="仿宋_GB2312" w:eastAsia="仿宋_GB2312"/>
        </w:rPr>
        <w:t>二、收入决算表</w:t>
      </w:r>
    </w:p>
    <w:p>
      <w:pPr>
        <w:spacing w:line="580" w:lineRule="exact"/>
        <w:ind w:firstLine="632" w:firstLineChars="200"/>
        <w:rPr>
          <w:rFonts w:ascii="仿宋_GB2312" w:eastAsia="仿宋_GB2312"/>
        </w:rPr>
      </w:pPr>
      <w:r>
        <w:rPr>
          <w:rFonts w:hint="eastAsia" w:ascii="仿宋_GB2312" w:eastAsia="仿宋_GB2312"/>
        </w:rPr>
        <w:t>三、支出决算表</w:t>
      </w:r>
    </w:p>
    <w:p>
      <w:pPr>
        <w:spacing w:line="580" w:lineRule="exact"/>
        <w:ind w:firstLine="632" w:firstLineChars="200"/>
        <w:rPr>
          <w:rFonts w:ascii="仿宋_GB2312" w:eastAsia="仿宋_GB2312"/>
        </w:rPr>
      </w:pPr>
      <w:r>
        <w:rPr>
          <w:rFonts w:hint="eastAsia" w:ascii="仿宋_GB2312" w:eastAsia="仿宋_GB2312"/>
        </w:rPr>
        <w:t>四、财政拨款收入支出决算总表</w:t>
      </w:r>
    </w:p>
    <w:p>
      <w:pPr>
        <w:spacing w:line="580" w:lineRule="exact"/>
        <w:ind w:firstLine="632" w:firstLineChars="200"/>
        <w:rPr>
          <w:rFonts w:ascii="仿宋_GB2312" w:eastAsia="仿宋_GB2312"/>
        </w:rPr>
      </w:pPr>
      <w:r>
        <w:rPr>
          <w:rFonts w:hint="eastAsia" w:ascii="仿宋_GB2312" w:eastAsia="仿宋_GB2312"/>
        </w:rPr>
        <w:t>五、一般公共预算财政拨款支出决算表</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六、一般公共预算财政拨款基本支出决算表</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七、一般公共预算财政拨款“三公”经费支出决算表</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八、政府性基金预算财政拨款收入支出决算表</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九、国有资本经营预算财政拨款支出决算表</w:t>
      </w:r>
    </w:p>
    <w:p>
      <w:pPr>
        <w:spacing w:line="580" w:lineRule="exact"/>
        <w:ind w:firstLine="316" w:firstLineChars="100"/>
        <w:rPr>
          <w:rFonts w:ascii="黑体" w:hAnsi="黑体" w:eastAsia="黑体"/>
        </w:rPr>
      </w:pPr>
      <w:r>
        <w:rPr>
          <w:rFonts w:hint="eastAsia" w:ascii="黑体" w:hAnsi="黑体" w:eastAsia="黑体"/>
        </w:rPr>
        <w:t>第三部分  2020年度单位决算情况说明</w:t>
      </w:r>
    </w:p>
    <w:p>
      <w:pPr>
        <w:spacing w:line="580" w:lineRule="exact"/>
        <w:ind w:firstLine="632" w:firstLineChars="200"/>
        <w:rPr>
          <w:rFonts w:ascii="仿宋_GB2312" w:eastAsia="仿宋_GB2312"/>
        </w:rPr>
      </w:pPr>
      <w:r>
        <w:rPr>
          <w:rFonts w:hint="eastAsia" w:ascii="仿宋_GB2312" w:eastAsia="仿宋_GB2312"/>
        </w:rPr>
        <w:t>一、收入支出决算总体情况说明</w:t>
      </w:r>
    </w:p>
    <w:p>
      <w:pPr>
        <w:spacing w:line="580" w:lineRule="exact"/>
        <w:ind w:firstLine="632" w:firstLineChars="200"/>
        <w:rPr>
          <w:rFonts w:ascii="仿宋_GB2312" w:eastAsia="仿宋_GB2312"/>
        </w:rPr>
      </w:pPr>
      <w:r>
        <w:rPr>
          <w:rFonts w:hint="eastAsia" w:ascii="仿宋_GB2312" w:eastAsia="仿宋_GB2312"/>
        </w:rPr>
        <w:t>二、收入决算情况说明</w:t>
      </w:r>
    </w:p>
    <w:p>
      <w:pPr>
        <w:spacing w:line="580" w:lineRule="exact"/>
        <w:ind w:firstLine="632" w:firstLineChars="200"/>
        <w:rPr>
          <w:rFonts w:ascii="仿宋_GB2312" w:eastAsia="仿宋_GB2312"/>
        </w:rPr>
      </w:pPr>
      <w:r>
        <w:rPr>
          <w:rFonts w:hint="eastAsia" w:ascii="仿宋_GB2312" w:eastAsia="仿宋_GB2312"/>
        </w:rPr>
        <w:t>三、支出决算情况说明</w:t>
      </w:r>
    </w:p>
    <w:p>
      <w:pPr>
        <w:spacing w:line="580" w:lineRule="exact"/>
        <w:ind w:firstLine="632" w:firstLineChars="200"/>
        <w:rPr>
          <w:rFonts w:ascii="仿宋_GB2312" w:eastAsia="仿宋_GB2312"/>
        </w:rPr>
      </w:pPr>
      <w:r>
        <w:rPr>
          <w:rFonts w:hint="eastAsia" w:ascii="仿宋_GB2312" w:eastAsia="仿宋_GB2312"/>
        </w:rPr>
        <w:t>四、财政拨款收入支出决算总体情况说明</w:t>
      </w:r>
    </w:p>
    <w:p>
      <w:pPr>
        <w:spacing w:line="580" w:lineRule="exact"/>
        <w:ind w:firstLine="632" w:firstLineChars="200"/>
        <w:rPr>
          <w:rFonts w:ascii="仿宋_GB2312" w:eastAsia="仿宋_GB2312"/>
        </w:rPr>
      </w:pPr>
      <w:r>
        <w:rPr>
          <w:rFonts w:hint="eastAsia" w:ascii="仿宋_GB2312" w:eastAsia="仿宋_GB2312"/>
        </w:rPr>
        <w:t>五、一般公共预算财政拨款支出决算情况说明</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六、一般公共预算财政拨款基本支出决算情况说明</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七、一般公共预算财政拨款“三公”经费支出决算情况说明</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八、政府性基金预算财政拨款收入支出决算情况说明</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九、国有资本经营预算财政拨款支出决算情况说明</w:t>
      </w:r>
    </w:p>
    <w:p>
      <w:pPr>
        <w:spacing w:line="580" w:lineRule="exact"/>
        <w:ind w:firstLine="632" w:firstLineChars="200"/>
        <w:rPr>
          <w:rFonts w:ascii="仿宋_GB2312" w:eastAsia="仿宋_GB2312"/>
        </w:rPr>
      </w:pPr>
      <w:r>
        <w:rPr>
          <w:rFonts w:hint="eastAsia" w:ascii="仿宋_GB2312" w:eastAsia="仿宋_GB2312"/>
        </w:rPr>
        <w:t>十、其他重要事项情况说明</w:t>
      </w:r>
    </w:p>
    <w:p>
      <w:pPr>
        <w:spacing w:line="580" w:lineRule="exact"/>
        <w:ind w:firstLine="632" w:firstLineChars="200"/>
        <w:rPr>
          <w:rFonts w:ascii="仿宋_GB2312" w:eastAsia="仿宋_GB2312"/>
        </w:rPr>
      </w:pPr>
      <w:r>
        <w:rPr>
          <w:rFonts w:hint="eastAsia" w:ascii="仿宋_GB2312" w:eastAsia="仿宋_GB2312"/>
        </w:rPr>
        <w:t>十一、预算绩效情况说明</w:t>
      </w:r>
    </w:p>
    <w:p>
      <w:pPr>
        <w:spacing w:line="580" w:lineRule="exact"/>
        <w:ind w:firstLine="316" w:firstLineChars="100"/>
        <w:rPr>
          <w:rFonts w:ascii="黑体" w:hAnsi="黑体" w:eastAsia="黑体"/>
        </w:rPr>
      </w:pPr>
      <w:r>
        <w:rPr>
          <w:rFonts w:hint="eastAsia" w:ascii="黑体" w:hAnsi="黑体" w:eastAsia="黑体"/>
        </w:rPr>
        <w:t>第四部分  名词解释</w:t>
      </w:r>
    </w:p>
    <w:p>
      <w:pPr>
        <w:spacing w:line="580" w:lineRule="exact"/>
        <w:ind w:firstLine="316" w:firstLineChars="100"/>
        <w:rPr>
          <w:rFonts w:ascii="黑体" w:hAnsi="黑体" w:eastAsia="黑体"/>
        </w:rPr>
      </w:pPr>
      <w:r>
        <w:rPr>
          <w:rFonts w:hint="eastAsia" w:ascii="黑体" w:hAnsi="黑体" w:eastAsia="黑体"/>
        </w:rPr>
        <w:t xml:space="preserve">   </w:t>
      </w:r>
    </w:p>
    <w:p>
      <w:pPr>
        <w:spacing w:line="580" w:lineRule="exact"/>
        <w:ind w:firstLine="316" w:firstLineChars="100"/>
        <w:rPr>
          <w:rFonts w:ascii="黑体" w:hAnsi="黑体" w:eastAsia="黑体"/>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hint="eastAsia"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第一部分</w:t>
      </w:r>
    </w:p>
    <w:p>
      <w:pPr>
        <w:jc w:val="center"/>
        <w:rPr>
          <w:rFonts w:ascii="方正小标宋简体" w:eastAsia="方正小标宋简体"/>
          <w:spacing w:val="60"/>
          <w:sz w:val="48"/>
        </w:rPr>
      </w:pPr>
    </w:p>
    <w:p>
      <w:pPr>
        <w:jc w:val="center"/>
        <w:rPr>
          <w:rFonts w:ascii="方正小标宋简体" w:eastAsia="方正小标宋简体"/>
          <w:spacing w:val="60"/>
          <w:sz w:val="48"/>
        </w:rPr>
      </w:pPr>
      <w:r>
        <w:rPr>
          <w:rFonts w:hint="eastAsia" w:ascii="方正小标宋简体" w:eastAsia="方正小标宋简体"/>
          <w:spacing w:val="60"/>
          <w:sz w:val="48"/>
        </w:rPr>
        <w:t>单位概况</w:t>
      </w:r>
    </w:p>
    <w:p>
      <w:pPr>
        <w:jc w:val="center"/>
        <w:rPr>
          <w:rFonts w:ascii="仿宋_GB2312" w:eastAsia="仿宋_GB2312"/>
        </w:rPr>
        <w:sectPr>
          <w:headerReference r:id="rId3" w:type="default"/>
          <w:footerReference r:id="rId4" w:type="default"/>
          <w:footerReference r:id="rId5" w:type="even"/>
          <w:pgSz w:w="11906" w:h="16838"/>
          <w:pgMar w:top="1701" w:right="1531" w:bottom="1701" w:left="1531" w:header="0" w:footer="1418" w:gutter="0"/>
          <w:cols w:space="720" w:num="1"/>
          <w:docGrid w:type="linesAndChars" w:linePitch="610" w:charSpace="-849"/>
        </w:sectPr>
      </w:pPr>
    </w:p>
    <w:p>
      <w:pPr>
        <w:spacing w:line="580" w:lineRule="exact"/>
        <w:ind w:firstLine="632" w:firstLineChars="200"/>
        <w:rPr>
          <w:rFonts w:ascii="黑体" w:hAnsi="黑体" w:eastAsia="黑体"/>
        </w:rPr>
      </w:pPr>
      <w:r>
        <w:rPr>
          <w:rFonts w:hint="eastAsia" w:ascii="黑体" w:hAnsi="黑体" w:eastAsia="黑体"/>
        </w:rPr>
        <w:t>一、单位职责</w:t>
      </w:r>
    </w:p>
    <w:p>
      <w:pPr>
        <w:ind w:left="1106" w:leftChars="350" w:firstLine="316" w:firstLineChars="100"/>
        <w:rPr>
          <w:rFonts w:hint="eastAsia" w:ascii="仿宋_GB2312" w:eastAsia="仿宋_GB2312"/>
        </w:rPr>
      </w:pPr>
      <w:r>
        <w:rPr>
          <w:rFonts w:hint="eastAsia" w:ascii="仿宋_GB2312" w:eastAsia="仿宋_GB2312"/>
        </w:rPr>
        <w:t>1.为重点水利工程正常运行提供管理保障。</w:t>
      </w:r>
    </w:p>
    <w:p>
      <w:pPr>
        <w:ind w:left="1106" w:leftChars="350" w:firstLine="316" w:firstLineChars="100"/>
        <w:rPr>
          <w:rFonts w:hint="eastAsia" w:ascii="仿宋_GB2312" w:eastAsia="仿宋_GB2312"/>
        </w:rPr>
      </w:pPr>
      <w:r>
        <w:rPr>
          <w:rFonts w:hint="eastAsia" w:ascii="仿宋_GB2312" w:eastAsia="仿宋_GB2312"/>
        </w:rPr>
        <w:t>2.水利工程的日常维护、</w:t>
      </w:r>
    </w:p>
    <w:p>
      <w:pPr>
        <w:ind w:left="1106" w:leftChars="350" w:firstLine="316" w:firstLineChars="100"/>
        <w:rPr>
          <w:rFonts w:hint="eastAsia" w:ascii="仿宋_GB2312" w:eastAsia="仿宋_GB2312"/>
        </w:rPr>
      </w:pPr>
      <w:r>
        <w:rPr>
          <w:rFonts w:hint="eastAsia" w:ascii="仿宋_GB2312" w:eastAsia="仿宋_GB2312"/>
        </w:rPr>
        <w:t>3.水利机械设备的运行管理</w:t>
      </w:r>
    </w:p>
    <w:p>
      <w:pPr>
        <w:ind w:left="1106" w:leftChars="350" w:firstLine="316" w:firstLineChars="100"/>
        <w:rPr>
          <w:rFonts w:hint="eastAsia" w:ascii="仿宋_GB2312" w:eastAsia="仿宋_GB2312"/>
        </w:rPr>
      </w:pPr>
      <w:r>
        <w:rPr>
          <w:rFonts w:hint="eastAsia" w:ascii="仿宋_GB2312" w:eastAsia="仿宋_GB2312"/>
        </w:rPr>
        <w:t>4.水利工程运行安全监测、</w:t>
      </w:r>
    </w:p>
    <w:p>
      <w:pPr>
        <w:ind w:left="1106" w:leftChars="350" w:firstLine="316" w:firstLineChars="100"/>
        <w:rPr>
          <w:rFonts w:hint="eastAsia" w:ascii="仿宋_GB2312" w:eastAsia="仿宋_GB2312"/>
        </w:rPr>
      </w:pPr>
      <w:r>
        <w:rPr>
          <w:rFonts w:hint="eastAsia" w:ascii="仿宋_GB2312" w:eastAsia="仿宋_GB2312"/>
        </w:rPr>
        <w:t>5.农用供水、防汛抗灾等。</w:t>
      </w:r>
    </w:p>
    <w:p>
      <w:pPr>
        <w:ind w:left="1106" w:leftChars="350" w:firstLine="632" w:firstLineChars="200"/>
        <w:rPr>
          <w:rFonts w:ascii="仿宋_GB2312" w:eastAsia="仿宋_GB2312"/>
        </w:rPr>
      </w:pPr>
      <w:r>
        <w:rPr>
          <w:rFonts w:hint="eastAsia" w:ascii="仿宋_GB2312" w:eastAsia="仿宋_GB2312"/>
        </w:rPr>
        <w:t>淄博市博山区石马水库管理所为副科级全额预算管理单位，核定编制11人，在岗8人，下设科室：办公室、财务室、工程科。</w:t>
      </w:r>
    </w:p>
    <w:p>
      <w:pPr>
        <w:spacing w:line="580" w:lineRule="exact"/>
        <w:ind w:firstLine="632" w:firstLineChars="200"/>
        <w:rPr>
          <w:rFonts w:ascii="黑体" w:hAnsi="黑体" w:eastAsia="黑体"/>
        </w:rPr>
      </w:pPr>
      <w:r>
        <w:rPr>
          <w:rFonts w:hint="eastAsia" w:ascii="黑体" w:hAnsi="黑体" w:eastAsia="黑体"/>
        </w:rPr>
        <w:t>二、机构设置</w:t>
      </w:r>
    </w:p>
    <w:p>
      <w:pPr>
        <w:snapToGrid w:val="0"/>
        <w:spacing w:line="580" w:lineRule="exact"/>
        <w:ind w:left="1106" w:leftChars="350" w:firstLine="416" w:firstLineChars="100"/>
        <w:rPr>
          <w:rFonts w:hint="eastAsia" w:ascii="仿宋_GB2312" w:eastAsia="仿宋_GB2312" w:cs="Courier New"/>
          <w:szCs w:val="32"/>
        </w:rPr>
      </w:pPr>
      <w:r>
        <w:rPr>
          <w:rFonts w:hint="eastAsia" w:ascii="方正小标宋简体" w:eastAsia="方正小标宋简体"/>
          <w:sz w:val="42"/>
        </w:rPr>
        <w:t xml:space="preserve"> </w:t>
      </w:r>
      <w:r>
        <w:rPr>
          <w:rFonts w:hint="eastAsia" w:ascii="仿宋_GB2312" w:hAnsi="宋体" w:eastAsia="仿宋_GB2312" w:cs="Courier New"/>
          <w:szCs w:val="32"/>
        </w:rPr>
        <w:t>从决算单位构成看，淄博市博山区石马水库管理所部门决算包括淄博市博山区石马水库管理所一个单位。</w:t>
      </w:r>
    </w:p>
    <w:p>
      <w:pPr>
        <w:spacing w:line="580" w:lineRule="exact"/>
        <w:ind w:left="1106" w:leftChars="350" w:firstLine="632" w:firstLineChars="200"/>
        <w:rPr>
          <w:rFonts w:ascii="文星简仿宋" w:eastAsia="文星简仿宋"/>
          <w:b/>
          <w:szCs w:val="32"/>
          <w:highlight w:val="yellow"/>
        </w:rPr>
      </w:pPr>
      <w:r>
        <w:rPr>
          <w:rFonts w:hint="eastAsia" w:ascii="仿宋_GB2312" w:hAnsi="宋体" w:eastAsia="仿宋_GB2312" w:cs="Courier New"/>
          <w:szCs w:val="32"/>
        </w:rPr>
        <w:t>纳入20</w:t>
      </w:r>
      <w:r>
        <w:rPr>
          <w:rFonts w:hint="eastAsia" w:ascii="仿宋_GB2312" w:hAnsi="宋体" w:eastAsia="仿宋_GB2312" w:cs="Courier New"/>
          <w:szCs w:val="32"/>
          <w:lang w:val="en-US" w:eastAsia="zh-CN"/>
        </w:rPr>
        <w:t>20</w:t>
      </w:r>
      <w:r>
        <w:rPr>
          <w:rFonts w:hint="eastAsia" w:ascii="仿宋_GB2312" w:hAnsi="宋体" w:eastAsia="仿宋_GB2312" w:cs="Courier New"/>
          <w:szCs w:val="32"/>
        </w:rPr>
        <w:t>年部门决算范围的预算单位包括淄博市博山区石马水库管理所一个单位。</w:t>
      </w:r>
    </w:p>
    <w:p>
      <w:pPr>
        <w:adjustRightInd w:val="0"/>
        <w:snapToGrid w:val="0"/>
        <w:spacing w:line="580" w:lineRule="exact"/>
        <w:ind w:firstLine="592" w:firstLineChars="200"/>
        <w:jc w:val="left"/>
        <w:rPr>
          <w:rFonts w:ascii="文星简仿宋" w:eastAsia="文星简仿宋"/>
          <w:b/>
          <w:sz w:val="30"/>
          <w:szCs w:val="30"/>
          <w:highlight w:val="yellow"/>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第二部分</w:t>
      </w:r>
    </w:p>
    <w:p>
      <w:pPr>
        <w:jc w:val="center"/>
        <w:rPr>
          <w:rFonts w:ascii="方正小标宋简体" w:eastAsia="方正小标宋简体"/>
          <w:spacing w:val="60"/>
          <w:sz w:val="42"/>
        </w:rPr>
      </w:pPr>
    </w:p>
    <w:p>
      <w:pPr>
        <w:jc w:val="center"/>
        <w:rPr>
          <w:rFonts w:ascii="方正小标宋简体" w:eastAsia="方正小标宋简体"/>
          <w:spacing w:val="60"/>
          <w:sz w:val="42"/>
        </w:rPr>
      </w:pPr>
      <w:r>
        <w:rPr>
          <w:rFonts w:hint="eastAsia" w:ascii="方正小标宋简体" w:eastAsia="方正小标宋简体"/>
          <w:spacing w:val="60"/>
          <w:sz w:val="48"/>
        </w:rPr>
        <w:t>2020年度单位决算表</w:t>
      </w:r>
    </w:p>
    <w:p>
      <w:pPr>
        <w:spacing w:line="520" w:lineRule="exact"/>
        <w:rPr>
          <w:rFonts w:ascii="仿宋_GB2312" w:eastAsia="仿宋_GB2312"/>
          <w:b/>
          <w:sz w:val="28"/>
          <w:szCs w:val="28"/>
          <w:highlight w:val="yellow"/>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hint="eastAsia"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收入支出决算总表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公开01表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 淄博市博山区石马水库管理所                金额单位：万元</w:t>
      </w:r>
    </w:p>
    <w:tbl>
      <w:tblPr>
        <w:tblStyle w:val="9"/>
        <w:tblW w:w="0" w:type="auto"/>
        <w:tblInd w:w="0" w:type="dxa"/>
        <w:tblLayout w:type="fixed"/>
        <w:tblCellMar>
          <w:top w:w="0" w:type="dxa"/>
          <w:left w:w="108" w:type="dxa"/>
          <w:bottom w:w="0" w:type="dxa"/>
          <w:right w:w="108" w:type="dxa"/>
        </w:tblCellMar>
      </w:tblPr>
      <w:tblGrid>
        <w:gridCol w:w="3045"/>
        <w:gridCol w:w="667"/>
        <w:gridCol w:w="1022"/>
        <w:gridCol w:w="2287"/>
        <w:gridCol w:w="732"/>
        <w:gridCol w:w="1302"/>
      </w:tblGrid>
      <w:tr>
        <w:tblPrEx>
          <w:tblCellMar>
            <w:top w:w="0" w:type="dxa"/>
            <w:left w:w="108" w:type="dxa"/>
            <w:bottom w:w="0" w:type="dxa"/>
            <w:right w:w="108" w:type="dxa"/>
          </w:tblCellMar>
        </w:tblPrEx>
        <w:trPr>
          <w:trHeight w:val="329" w:hRule="exact"/>
        </w:trPr>
        <w:tc>
          <w:tcPr>
            <w:tcW w:w="4734"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收 入</w:t>
            </w:r>
          </w:p>
        </w:tc>
        <w:tc>
          <w:tcPr>
            <w:tcW w:w="4321"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支 出</w:t>
            </w:r>
          </w:p>
        </w:tc>
      </w:tr>
      <w:tr>
        <w:tblPrEx>
          <w:tblCellMar>
            <w:top w:w="0" w:type="dxa"/>
            <w:left w:w="108" w:type="dxa"/>
            <w:bottom w:w="0" w:type="dxa"/>
            <w:right w:w="108" w:type="dxa"/>
          </w:tblCellMar>
        </w:tblPrEx>
        <w:trPr>
          <w:trHeight w:val="37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项  目</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行次</w:t>
            </w:r>
          </w:p>
        </w:tc>
        <w:tc>
          <w:tcPr>
            <w:tcW w:w="102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决算数</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项  目</w:t>
            </w: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行次</w:t>
            </w:r>
          </w:p>
        </w:tc>
        <w:tc>
          <w:tcPr>
            <w:tcW w:w="1302"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决算数</w:t>
            </w:r>
          </w:p>
        </w:tc>
      </w:tr>
      <w:tr>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栏  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p>
        </w:tc>
        <w:tc>
          <w:tcPr>
            <w:tcW w:w="102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1</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栏  次</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p>
        </w:tc>
        <w:tc>
          <w:tcPr>
            <w:tcW w:w="130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一、一般公共预算财政拨款收入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217.80</w:t>
            </w: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（按全部支出功能科目）</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31</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二、政府性基金预算财政拨款收入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eastAsia="zh-CN"/>
              </w:rPr>
              <w:t>社会保障和就业支出</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32</w:t>
            </w:r>
          </w:p>
        </w:tc>
        <w:tc>
          <w:tcPr>
            <w:tcW w:w="130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26.42</w:t>
            </w:r>
          </w:p>
        </w:tc>
      </w:tr>
      <w:tr>
        <w:tblPrEx>
          <w:tblCellMar>
            <w:top w:w="0" w:type="dxa"/>
            <w:left w:w="108" w:type="dxa"/>
            <w:bottom w:w="0" w:type="dxa"/>
            <w:right w:w="108" w:type="dxa"/>
          </w:tblCellMar>
        </w:tblPrEx>
        <w:trPr>
          <w:trHeight w:val="334"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三、国有资本经营预算财政拨款收入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lang w:eastAsia="zh-CN"/>
              </w:rPr>
            </w:pPr>
            <w:r>
              <w:rPr>
                <w:rFonts w:hint="eastAsia" w:ascii="仿宋_GB2312" w:eastAsia="仿宋_GB2312"/>
                <w:sz w:val="18"/>
                <w:szCs w:val="18"/>
                <w:lang w:eastAsia="zh-CN"/>
              </w:rPr>
              <w:t>卫生健康支出</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33</w:t>
            </w:r>
          </w:p>
        </w:tc>
        <w:tc>
          <w:tcPr>
            <w:tcW w:w="1302" w:type="dxa"/>
            <w:tcBorders>
              <w:top w:val="nil"/>
              <w:left w:val="nil"/>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6.78</w:t>
            </w:r>
          </w:p>
        </w:tc>
      </w:tr>
      <w:tr>
        <w:tblPrEx>
          <w:tblCellMar>
            <w:top w:w="0" w:type="dxa"/>
            <w:left w:w="108" w:type="dxa"/>
            <w:bottom w:w="0" w:type="dxa"/>
            <w:right w:w="108" w:type="dxa"/>
          </w:tblCellMar>
        </w:tblPrEx>
        <w:trPr>
          <w:trHeight w:val="302"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四、上级补助收入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hint="eastAsia" w:ascii="仿宋_GB2312" w:eastAsia="仿宋_GB2312"/>
                <w:sz w:val="18"/>
                <w:szCs w:val="18"/>
                <w:lang w:eastAsia="zh-CN"/>
              </w:rPr>
            </w:pPr>
            <w:r>
              <w:rPr>
                <w:rFonts w:hint="eastAsia" w:ascii="仿宋_GB2312" w:eastAsia="仿宋_GB2312"/>
                <w:sz w:val="18"/>
                <w:szCs w:val="18"/>
                <w:lang w:eastAsia="zh-CN"/>
              </w:rPr>
              <w:t>农林水支出</w:t>
            </w: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34</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hint="default" w:ascii="仿宋_GB2312" w:eastAsia="仿宋_GB2312"/>
                <w:sz w:val="18"/>
                <w:szCs w:val="18"/>
                <w:lang w:val="en-US" w:eastAsia="zh-CN"/>
              </w:rPr>
            </w:pPr>
            <w:r>
              <w:rPr>
                <w:rFonts w:hint="eastAsia" w:ascii="仿宋_GB2312" w:eastAsia="仿宋_GB2312"/>
                <w:sz w:val="18"/>
                <w:szCs w:val="18"/>
                <w:lang w:val="en-US" w:eastAsia="zh-CN"/>
              </w:rPr>
              <w:t>178.65</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五、事业收入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35</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六、经营收入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36</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七、附属单位上缴收入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7</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37</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八、其他收入</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38</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39</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10</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40</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11</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41</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42</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single" w:color="auto" w:sz="4" w:space="0"/>
              <w:bottom w:val="single" w:color="auto" w:sz="4" w:space="0"/>
              <w:right w:val="nil"/>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43</w:t>
            </w:r>
          </w:p>
        </w:tc>
        <w:tc>
          <w:tcPr>
            <w:tcW w:w="1302"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44</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45</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46</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17</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47</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48</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19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49</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20</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50</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21</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51</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22</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52</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23</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53</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24</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54</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25</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55</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26</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ascii="仿宋_GB2312" w:eastAsia="仿宋_GB2312"/>
                <w:sz w:val="18"/>
                <w:szCs w:val="18"/>
              </w:rPr>
              <w:t>56</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b/>
                <w:bCs/>
                <w:sz w:val="18"/>
                <w:szCs w:val="18"/>
              </w:rPr>
              <w:t>本年收入合计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sz w:val="18"/>
                <w:szCs w:val="18"/>
              </w:rPr>
              <w:t>27</w:t>
            </w:r>
          </w:p>
        </w:tc>
        <w:tc>
          <w:tcPr>
            <w:tcW w:w="102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b/>
                <w:bCs/>
                <w:sz w:val="18"/>
                <w:szCs w:val="18"/>
              </w:rPr>
              <w:t>217.80</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b/>
                <w:bCs/>
                <w:sz w:val="18"/>
                <w:szCs w:val="18"/>
              </w:rPr>
            </w:pPr>
            <w:r>
              <w:rPr>
                <w:rFonts w:hint="eastAsia" w:ascii="仿宋_GB2312" w:eastAsia="仿宋_GB2312"/>
                <w:b/>
                <w:bCs/>
                <w:sz w:val="18"/>
                <w:szCs w:val="18"/>
              </w:rPr>
              <w:t>本年支出合计</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57</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211.84</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使用非财政拨款结余</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28</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结余分配</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58</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年初结转和结余</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29</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11.66</w:t>
            </w:r>
          </w:p>
        </w:tc>
        <w:tc>
          <w:tcPr>
            <w:tcW w:w="2287"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年末结转和结余</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59</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17.63</w:t>
            </w:r>
          </w:p>
        </w:tc>
      </w:tr>
      <w:tr>
        <w:tblPrEx>
          <w:tblCellMar>
            <w:top w:w="0" w:type="dxa"/>
            <w:left w:w="108" w:type="dxa"/>
            <w:bottom w:w="0" w:type="dxa"/>
            <w:right w:w="108" w:type="dxa"/>
          </w:tblCellMar>
        </w:tblPrEx>
        <w:trPr>
          <w:trHeight w:val="329" w:hRule="exact"/>
        </w:trPr>
        <w:tc>
          <w:tcPr>
            <w:tcW w:w="3045"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b/>
                <w:bCs/>
                <w:sz w:val="18"/>
                <w:szCs w:val="18"/>
              </w:rPr>
              <w:t>总计</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30</w:t>
            </w:r>
          </w:p>
        </w:tc>
        <w:tc>
          <w:tcPr>
            <w:tcW w:w="102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229.47</w:t>
            </w:r>
          </w:p>
        </w:tc>
        <w:tc>
          <w:tcPr>
            <w:tcW w:w="2287"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b/>
                <w:bCs/>
                <w:sz w:val="18"/>
                <w:szCs w:val="18"/>
              </w:rPr>
              <w:t>总计</w:t>
            </w:r>
          </w:p>
        </w:tc>
        <w:tc>
          <w:tcPr>
            <w:tcW w:w="732" w:type="dxa"/>
            <w:tcBorders>
              <w:top w:val="nil"/>
              <w:left w:val="nil"/>
              <w:bottom w:val="single" w:color="auto" w:sz="4" w:space="0"/>
              <w:right w:val="single" w:color="auto" w:sz="4" w:space="0"/>
            </w:tcBorders>
            <w:vAlign w:val="center"/>
          </w:tcPr>
          <w:p>
            <w:pPr>
              <w:spacing w:line="240" w:lineRule="exact"/>
              <w:jc w:val="center"/>
              <w:rPr>
                <w:rFonts w:ascii="仿宋_GB2312" w:eastAsia="仿宋_GB2312"/>
                <w:sz w:val="18"/>
                <w:szCs w:val="18"/>
              </w:rPr>
            </w:pPr>
            <w:r>
              <w:rPr>
                <w:rFonts w:hint="eastAsia" w:ascii="仿宋_GB2312" w:eastAsia="仿宋_GB2312"/>
                <w:sz w:val="18"/>
                <w:szCs w:val="18"/>
              </w:rPr>
              <w:t>60</w:t>
            </w:r>
          </w:p>
        </w:tc>
        <w:tc>
          <w:tcPr>
            <w:tcW w:w="1302" w:type="dxa"/>
            <w:tcBorders>
              <w:top w:val="nil"/>
              <w:left w:val="nil"/>
              <w:bottom w:val="single" w:color="auto" w:sz="4" w:space="0"/>
              <w:right w:val="single" w:color="auto" w:sz="4" w:space="0"/>
            </w:tcBorders>
            <w:vAlign w:val="center"/>
          </w:tcPr>
          <w:p>
            <w:pPr>
              <w:spacing w:line="240" w:lineRule="exact"/>
              <w:rPr>
                <w:rFonts w:ascii="仿宋_GB2312" w:eastAsia="仿宋_GB2312"/>
                <w:sz w:val="18"/>
                <w:szCs w:val="18"/>
              </w:rPr>
            </w:pPr>
            <w:r>
              <w:rPr>
                <w:rFonts w:hint="eastAsia" w:ascii="仿宋_GB2312" w:eastAsia="仿宋_GB2312"/>
                <w:sz w:val="18"/>
                <w:szCs w:val="18"/>
              </w:rPr>
              <w:t>229.47</w:t>
            </w:r>
          </w:p>
        </w:tc>
      </w:tr>
    </w:tbl>
    <w:p>
      <w:pPr>
        <w:ind w:firstLine="88" w:firstLineChars="50"/>
        <w:rPr>
          <w:rFonts w:ascii="楷体_GB2312" w:eastAsia="楷体_GB2312"/>
          <w:sz w:val="28"/>
          <w:szCs w:val="28"/>
        </w:rPr>
        <w:sectPr>
          <w:pgSz w:w="11906" w:h="16838"/>
          <w:pgMar w:top="1701" w:right="1531" w:bottom="1701" w:left="1531" w:header="0" w:footer="1418" w:gutter="0"/>
          <w:cols w:space="720" w:num="1"/>
          <w:docGrid w:type="linesAndChars" w:linePitch="610" w:charSpace="-849"/>
        </w:sectPr>
      </w:pPr>
      <w:r>
        <w:rPr>
          <w:rFonts w:hint="eastAsia" w:ascii="仿宋_GB2312" w:hAnsi="宋体" w:eastAsia="仿宋_GB2312"/>
          <w:sz w:val="18"/>
          <w:szCs w:val="18"/>
        </w:rPr>
        <w:t>注：1.本表反映单位本年度的总收支和年末结转结余情况。2.本套报表金额单位转换时可能存在尾数误差。</w:t>
      </w:r>
    </w:p>
    <w:p>
      <w:pPr>
        <w:jc w:val="center"/>
        <w:rPr>
          <w:rFonts w:ascii="方正小标宋简体" w:eastAsia="方正小标宋简体"/>
          <w:sz w:val="44"/>
          <w:szCs w:val="44"/>
        </w:rPr>
      </w:pPr>
      <w:r>
        <w:rPr>
          <w:rFonts w:hint="eastAsia" w:ascii="方正小标宋简体" w:eastAsia="方正小标宋简体"/>
          <w:sz w:val="44"/>
          <w:szCs w:val="44"/>
        </w:rPr>
        <w:t>收入决算表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公开02表 </w:t>
      </w:r>
    </w:p>
    <w:p>
      <w:pPr>
        <w:tabs>
          <w:tab w:val="left" w:pos="13467"/>
        </w:tabs>
        <w:wordWrap w:val="0"/>
        <w:spacing w:line="400" w:lineRule="exact"/>
        <w:ind w:right="107"/>
        <w:jc w:val="right"/>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 xml:space="preserve">  淄博市博山区石马水库管理所                              </w:t>
      </w:r>
      <w:r>
        <w:rPr>
          <w:rFonts w:ascii="楷体_GB2312" w:eastAsia="楷体_GB2312"/>
          <w:sz w:val="28"/>
          <w:szCs w:val="28"/>
        </w:rPr>
        <w:t xml:space="preserve">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金额单位：万元</w:t>
      </w:r>
    </w:p>
    <w:tbl>
      <w:tblPr>
        <w:tblStyle w:val="9"/>
        <w:tblW w:w="13640" w:type="dxa"/>
        <w:tblInd w:w="93" w:type="dxa"/>
        <w:tblLayout w:type="autofit"/>
        <w:tblCellMar>
          <w:top w:w="0" w:type="dxa"/>
          <w:left w:w="108" w:type="dxa"/>
          <w:bottom w:w="0" w:type="dxa"/>
          <w:right w:w="108" w:type="dxa"/>
        </w:tblCellMar>
      </w:tblPr>
      <w:tblGrid>
        <w:gridCol w:w="972"/>
        <w:gridCol w:w="3770"/>
        <w:gridCol w:w="1315"/>
        <w:gridCol w:w="1315"/>
        <w:gridCol w:w="1288"/>
        <w:gridCol w:w="1288"/>
        <w:gridCol w:w="1288"/>
        <w:gridCol w:w="1288"/>
        <w:gridCol w:w="1288"/>
      </w:tblGrid>
      <w:tr>
        <w:tblPrEx>
          <w:tblCellMar>
            <w:top w:w="0" w:type="dxa"/>
            <w:left w:w="108" w:type="dxa"/>
            <w:bottom w:w="0" w:type="dxa"/>
            <w:right w:w="108" w:type="dxa"/>
          </w:tblCellMar>
        </w:tblPrEx>
        <w:trPr>
          <w:trHeight w:val="237" w:hRule="atLeast"/>
        </w:trPr>
        <w:tc>
          <w:tcPr>
            <w:tcW w:w="45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315"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本年收入合计</w:t>
            </w:r>
          </w:p>
        </w:tc>
        <w:tc>
          <w:tcPr>
            <w:tcW w:w="1315"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财政拨款收入</w:t>
            </w:r>
          </w:p>
        </w:tc>
        <w:tc>
          <w:tcPr>
            <w:tcW w:w="128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上级补助收入</w:t>
            </w:r>
          </w:p>
        </w:tc>
        <w:tc>
          <w:tcPr>
            <w:tcW w:w="128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事业收入</w:t>
            </w:r>
          </w:p>
        </w:tc>
        <w:tc>
          <w:tcPr>
            <w:tcW w:w="128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经营收入</w:t>
            </w:r>
          </w:p>
        </w:tc>
        <w:tc>
          <w:tcPr>
            <w:tcW w:w="128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附属单位上缴收入</w:t>
            </w:r>
          </w:p>
        </w:tc>
        <w:tc>
          <w:tcPr>
            <w:tcW w:w="128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其他收入</w:t>
            </w:r>
          </w:p>
        </w:tc>
      </w:tr>
      <w:tr>
        <w:tblPrEx>
          <w:tblCellMar>
            <w:top w:w="0" w:type="dxa"/>
            <w:left w:w="108" w:type="dxa"/>
            <w:bottom w:w="0" w:type="dxa"/>
            <w:right w:w="108" w:type="dxa"/>
          </w:tblCellMar>
        </w:tblPrEx>
        <w:trPr>
          <w:trHeight w:val="610" w:hRule="atLeast"/>
        </w:trPr>
        <w:tc>
          <w:tcPr>
            <w:tcW w:w="80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功能分类科目编码</w:t>
            </w:r>
          </w:p>
        </w:tc>
        <w:tc>
          <w:tcPr>
            <w:tcW w:w="3770" w:type="dxa"/>
            <w:vMerge w:val="restar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10" w:hRule="atLeast"/>
        </w:trPr>
        <w:tc>
          <w:tcPr>
            <w:tcW w:w="80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770"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10" w:hRule="atLeast"/>
        </w:trPr>
        <w:tc>
          <w:tcPr>
            <w:tcW w:w="80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770"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315"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288" w:type="dxa"/>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37" w:hRule="atLeast"/>
        </w:trPr>
        <w:tc>
          <w:tcPr>
            <w:tcW w:w="457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315"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315"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288"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288"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288"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288"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288"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7</w:t>
            </w:r>
          </w:p>
        </w:tc>
      </w:tr>
      <w:tr>
        <w:tblPrEx>
          <w:tblCellMar>
            <w:top w:w="0" w:type="dxa"/>
            <w:left w:w="108" w:type="dxa"/>
            <w:bottom w:w="0" w:type="dxa"/>
            <w:right w:w="108" w:type="dxa"/>
          </w:tblCellMar>
        </w:tblPrEx>
        <w:trPr>
          <w:trHeight w:val="237" w:hRule="atLeast"/>
        </w:trPr>
        <w:tc>
          <w:tcPr>
            <w:tcW w:w="457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217.80</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217.80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2101103</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公务员医疗补助</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农林水支出</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184.61</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184.61</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水利</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184.61</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184.61</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2130301</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800"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2130306</w:t>
            </w:r>
          </w:p>
        </w:tc>
        <w:tc>
          <w:tcPr>
            <w:tcW w:w="377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水利工程运行与维护</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87.25</w:t>
            </w:r>
          </w:p>
        </w:tc>
        <w:tc>
          <w:tcPr>
            <w:tcW w:w="1315"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87.25</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288"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本年度取得的各项收入情况。</w:t>
      </w:r>
    </w:p>
    <w:p>
      <w:pPr>
        <w:jc w:val="center"/>
        <w:rPr>
          <w:rFonts w:hint="eastAsia" w:ascii="方正小标宋简体" w:eastAsia="方正小标宋简体"/>
          <w:sz w:val="44"/>
          <w:szCs w:val="44"/>
        </w:rPr>
      </w:pPr>
    </w:p>
    <w:p>
      <w:pPr>
        <w:jc w:val="center"/>
        <w:rPr>
          <w:rFonts w:ascii="方正小标宋简体" w:eastAsia="方正小标宋简体"/>
          <w:sz w:val="44"/>
          <w:szCs w:val="44"/>
        </w:rPr>
      </w:pPr>
      <w:r>
        <w:rPr>
          <w:rFonts w:hint="eastAsia" w:ascii="方正小标宋简体" w:eastAsia="方正小标宋简体"/>
          <w:sz w:val="44"/>
          <w:szCs w:val="44"/>
        </w:rPr>
        <w:t>支出决算表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公开03表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 xml:space="preserve">淄博市博山区石马水库管理所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9"/>
        <w:tblW w:w="5000" w:type="pct"/>
        <w:tblInd w:w="0" w:type="dxa"/>
        <w:tblLayout w:type="autofit"/>
        <w:tblCellMar>
          <w:top w:w="0" w:type="dxa"/>
          <w:left w:w="108" w:type="dxa"/>
          <w:bottom w:w="0" w:type="dxa"/>
          <w:right w:w="108" w:type="dxa"/>
        </w:tblCellMar>
      </w:tblPr>
      <w:tblGrid>
        <w:gridCol w:w="1070"/>
        <w:gridCol w:w="4147"/>
        <w:gridCol w:w="1425"/>
        <w:gridCol w:w="1425"/>
        <w:gridCol w:w="1409"/>
        <w:gridCol w:w="1393"/>
        <w:gridCol w:w="1393"/>
        <w:gridCol w:w="1390"/>
      </w:tblGrid>
      <w:tr>
        <w:tblPrEx>
          <w:tblCellMar>
            <w:top w:w="0" w:type="dxa"/>
            <w:left w:w="108" w:type="dxa"/>
            <w:bottom w:w="0" w:type="dxa"/>
            <w:right w:w="108" w:type="dxa"/>
          </w:tblCellMar>
        </w:tblPrEx>
        <w:trPr>
          <w:trHeight w:val="237" w:hRule="atLeast"/>
        </w:trPr>
        <w:tc>
          <w:tcPr>
            <w:tcW w:w="19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522"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本年支出合计</w:t>
            </w:r>
          </w:p>
        </w:tc>
        <w:tc>
          <w:tcPr>
            <w:tcW w:w="522"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516"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51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上缴上级支出</w:t>
            </w:r>
          </w:p>
        </w:tc>
        <w:tc>
          <w:tcPr>
            <w:tcW w:w="51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经营支出</w:t>
            </w:r>
          </w:p>
        </w:tc>
        <w:tc>
          <w:tcPr>
            <w:tcW w:w="51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对附属单位补助支出</w:t>
            </w:r>
          </w:p>
        </w:tc>
      </w:tr>
      <w:tr>
        <w:tblPrEx>
          <w:tblCellMar>
            <w:top w:w="0" w:type="dxa"/>
            <w:left w:w="108" w:type="dxa"/>
            <w:bottom w:w="0" w:type="dxa"/>
            <w:right w:w="108" w:type="dxa"/>
          </w:tblCellMar>
        </w:tblPrEx>
        <w:trPr>
          <w:trHeight w:val="610" w:hRule="atLeast"/>
        </w:trPr>
        <w:tc>
          <w:tcPr>
            <w:tcW w:w="392"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功能分类科目编码</w:t>
            </w:r>
          </w:p>
        </w:tc>
        <w:tc>
          <w:tcPr>
            <w:tcW w:w="1519" w:type="pct"/>
            <w:vMerge w:val="restar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6"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10"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519"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6"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10" w:hRule="atLeast"/>
        </w:trPr>
        <w:tc>
          <w:tcPr>
            <w:tcW w:w="392" w:type="pct"/>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519"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22"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6"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510" w:type="pct"/>
            <w:vMerge w:val="continue"/>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37" w:hRule="atLeast"/>
        </w:trPr>
        <w:tc>
          <w:tcPr>
            <w:tcW w:w="1910" w:type="pct"/>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522"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522"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516"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510"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510"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510" w:type="pc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w:t>
            </w:r>
          </w:p>
        </w:tc>
      </w:tr>
      <w:tr>
        <w:tblPrEx>
          <w:tblCellMar>
            <w:top w:w="0" w:type="dxa"/>
            <w:left w:w="108" w:type="dxa"/>
            <w:bottom w:w="0" w:type="dxa"/>
            <w:right w:w="108" w:type="dxa"/>
          </w:tblCellMar>
        </w:tblPrEx>
        <w:trPr>
          <w:trHeight w:val="237" w:hRule="atLeast"/>
        </w:trPr>
        <w:tc>
          <w:tcPr>
            <w:tcW w:w="1910" w:type="pct"/>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211.84</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130.55</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81.29</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2101103</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公务员医疗补助</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农林水支出</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水利</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2130301</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392"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2130306</w:t>
            </w:r>
          </w:p>
        </w:tc>
        <w:tc>
          <w:tcPr>
            <w:tcW w:w="151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水利工程运行与维护</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c>
          <w:tcPr>
            <w:tcW w:w="522"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51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本年度各项支出情况。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财政拨款收入支出决算总表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公开04表</w:t>
      </w:r>
    </w:p>
    <w:p>
      <w:pPr>
        <w:spacing w:line="400" w:lineRule="exact"/>
        <w:jc w:val="left"/>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淄博市博山区石马水库管理所                                                  金额单位：万元</w:t>
      </w:r>
    </w:p>
    <w:tbl>
      <w:tblPr>
        <w:tblStyle w:val="9"/>
        <w:tblW w:w="5000" w:type="pct"/>
        <w:tblInd w:w="0" w:type="dxa"/>
        <w:tblLayout w:type="autofit"/>
        <w:tblCellMar>
          <w:top w:w="0" w:type="dxa"/>
          <w:left w:w="108" w:type="dxa"/>
          <w:bottom w:w="0" w:type="dxa"/>
          <w:right w:w="108" w:type="dxa"/>
        </w:tblCellMar>
      </w:tblPr>
      <w:tblGrid>
        <w:gridCol w:w="3246"/>
        <w:gridCol w:w="450"/>
        <w:gridCol w:w="904"/>
        <w:gridCol w:w="4168"/>
        <w:gridCol w:w="451"/>
        <w:gridCol w:w="904"/>
        <w:gridCol w:w="1243"/>
        <w:gridCol w:w="1109"/>
        <w:gridCol w:w="1177"/>
      </w:tblGrid>
      <w:tr>
        <w:tblPrEx>
          <w:tblCellMar>
            <w:top w:w="0" w:type="dxa"/>
            <w:left w:w="108" w:type="dxa"/>
            <w:bottom w:w="0" w:type="dxa"/>
            <w:right w:w="108" w:type="dxa"/>
          </w:tblCellMar>
        </w:tblPrEx>
        <w:trPr>
          <w:trHeight w:val="237" w:hRule="atLeast"/>
        </w:trPr>
        <w:tc>
          <w:tcPr>
            <w:tcW w:w="168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收     入</w:t>
            </w:r>
          </w:p>
        </w:tc>
        <w:tc>
          <w:tcPr>
            <w:tcW w:w="3314" w:type="pct"/>
            <w:gridSpan w:val="6"/>
            <w:tcBorders>
              <w:top w:val="single" w:color="000000"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支     出</w:t>
            </w:r>
          </w:p>
        </w:tc>
      </w:tr>
      <w:tr>
        <w:tblPrEx>
          <w:tblCellMar>
            <w:top w:w="0" w:type="dxa"/>
            <w:left w:w="108" w:type="dxa"/>
            <w:bottom w:w="0" w:type="dxa"/>
            <w:right w:w="108" w:type="dxa"/>
          </w:tblCellMar>
        </w:tblPrEx>
        <w:trPr>
          <w:trHeight w:val="610" w:hRule="atLeast"/>
        </w:trPr>
        <w:tc>
          <w:tcPr>
            <w:tcW w:w="1189"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65"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331"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1526"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65"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331" w:type="pct"/>
            <w:vMerge w:val="restar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455"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w:t>
            </w:r>
          </w:p>
        </w:tc>
        <w:tc>
          <w:tcPr>
            <w:tcW w:w="406"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政府性基金预算财政拨款</w:t>
            </w:r>
          </w:p>
        </w:tc>
        <w:tc>
          <w:tcPr>
            <w:tcW w:w="428"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国有资本经营预算财政拨款</w:t>
            </w:r>
          </w:p>
        </w:tc>
      </w:tr>
      <w:tr>
        <w:tblPrEx>
          <w:tblCellMar>
            <w:top w:w="0" w:type="dxa"/>
            <w:left w:w="108" w:type="dxa"/>
            <w:bottom w:w="0" w:type="dxa"/>
            <w:right w:w="108" w:type="dxa"/>
          </w:tblCellMar>
        </w:tblPrEx>
        <w:trPr>
          <w:trHeight w:val="610" w:hRule="atLeast"/>
        </w:trPr>
        <w:tc>
          <w:tcPr>
            <w:tcW w:w="1189" w:type="pct"/>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65"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3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526"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65"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3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55"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06"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28"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217.80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一、一般公共服务支出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二、外交支出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三、国有资本经营预算财政拨款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三、国防支出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四、公共安全支出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五、教育支出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六、科学技术支出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七、文化旅游体育与传媒支出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八、社会保障和就业支出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九、卫生健康支出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十、节能环保支出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十一、城乡社区支出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十二、农林水支出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十三、交通运输支出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十四、资源勘探工业信息等支出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十五、商业服务业等支出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十六、金融支出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十七、援助其他地区支出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十八、自然资源海洋气象等支出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十九、住房保障支出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685" w:type="pct"/>
            <w:gridSpan w:val="3"/>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收     入</w:t>
            </w:r>
          </w:p>
        </w:tc>
        <w:tc>
          <w:tcPr>
            <w:tcW w:w="3314" w:type="pct"/>
            <w:gridSpan w:val="6"/>
            <w:tcBorders>
              <w:top w:val="single" w:color="000000" w:sz="4" w:space="0"/>
              <w:left w:val="nil"/>
              <w:bottom w:val="single" w:color="auto"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支     出</w:t>
            </w:r>
          </w:p>
        </w:tc>
      </w:tr>
      <w:tr>
        <w:tblPrEx>
          <w:tblCellMar>
            <w:top w:w="0" w:type="dxa"/>
            <w:left w:w="108" w:type="dxa"/>
            <w:bottom w:w="0" w:type="dxa"/>
            <w:right w:w="108" w:type="dxa"/>
          </w:tblCellMar>
        </w:tblPrEx>
        <w:trPr>
          <w:trHeight w:val="610" w:hRule="atLeast"/>
        </w:trPr>
        <w:tc>
          <w:tcPr>
            <w:tcW w:w="11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152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4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w:t>
            </w:r>
          </w:p>
        </w:tc>
        <w:tc>
          <w:tcPr>
            <w:tcW w:w="4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政府性基金预算财政拨款</w:t>
            </w:r>
          </w:p>
        </w:tc>
        <w:tc>
          <w:tcPr>
            <w:tcW w:w="42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国有资本经营预算财政拨款</w:t>
            </w:r>
          </w:p>
        </w:tc>
      </w:tr>
      <w:tr>
        <w:tblPrEx>
          <w:tblCellMar>
            <w:top w:w="0" w:type="dxa"/>
            <w:left w:w="108" w:type="dxa"/>
            <w:bottom w:w="0" w:type="dxa"/>
            <w:right w:w="108" w:type="dxa"/>
          </w:tblCellMar>
        </w:tblPrEx>
        <w:trPr>
          <w:trHeight w:val="610" w:hRule="atLeast"/>
        </w:trPr>
        <w:tc>
          <w:tcPr>
            <w:tcW w:w="1189" w:type="pct"/>
            <w:vMerge w:val="continue"/>
            <w:tcBorders>
              <w:top w:val="single" w:color="auto" w:sz="4" w:space="0"/>
              <w:left w:val="single" w:color="auto" w:sz="4" w:space="0"/>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65"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31"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526"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165"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331"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55"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06" w:type="pct"/>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428" w:type="pct"/>
            <w:vMerge w:val="continue"/>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37" w:hRule="atLeast"/>
        </w:trPr>
        <w:tc>
          <w:tcPr>
            <w:tcW w:w="1189"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65"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331"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526"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65"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331"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455"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406"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428" w:type="pct"/>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二十、粮油物资储备支出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二十一、国有资本经营预算支出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二十二、灾害防治及应急管理支出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二十三、其他支出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b/>
                <w:bCs/>
                <w:color w:val="000000"/>
                <w:kern w:val="0"/>
                <w:sz w:val="20"/>
                <w:szCs w:val="20"/>
              </w:rPr>
            </w:pPr>
            <w:r>
              <w:rPr>
                <w:rFonts w:hint="eastAsia" w:ascii="宋体" w:hAnsi="宋体" w:cs="Arial"/>
                <w:b/>
                <w:bCs/>
                <w:color w:val="000000"/>
                <w:kern w:val="0"/>
                <w:sz w:val="20"/>
                <w:szCs w:val="20"/>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二十四、债务还本支出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25</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二十五、债务付息支出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26</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二十六、抗疫特别国债安排的支出</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b/>
                <w:bCs/>
                <w:color w:val="000000"/>
                <w:kern w:val="0"/>
                <w:sz w:val="22"/>
                <w:szCs w:val="22"/>
              </w:rPr>
            </w:pPr>
            <w:r>
              <w:rPr>
                <w:rFonts w:hint="eastAsia" w:ascii="宋体" w:hAnsi="宋体" w:cs="Arial"/>
                <w:b/>
                <w:bCs/>
                <w:color w:val="000000"/>
                <w:kern w:val="0"/>
                <w:sz w:val="22"/>
                <w:szCs w:val="22"/>
              </w:rPr>
              <w:t>本年收入合计</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27</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217.80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b/>
                <w:bCs/>
                <w:color w:val="000000"/>
                <w:kern w:val="0"/>
                <w:sz w:val="22"/>
                <w:szCs w:val="22"/>
              </w:rPr>
            </w:pPr>
            <w:r>
              <w:rPr>
                <w:rFonts w:hint="eastAsia" w:ascii="宋体" w:hAnsi="宋体" w:cs="Arial"/>
                <w:b/>
                <w:bCs/>
                <w:color w:val="000000"/>
                <w:kern w:val="0"/>
                <w:sz w:val="22"/>
                <w:szCs w:val="22"/>
              </w:rPr>
              <w:t>本年支出合计</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59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211.84</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211.84</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年初财政拨款结转和结余</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28</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11.66</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年末财政拨款结转和结余</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17.63</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17.63</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一般公共预算财政拨款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29</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11.66</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政府性基金预算财政拨款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30</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国有资本经营预算财政拨款</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31</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63</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37" w:hRule="atLeast"/>
        </w:trPr>
        <w:tc>
          <w:tcPr>
            <w:tcW w:w="1189"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165" w:type="pct"/>
            <w:tcBorders>
              <w:top w:val="nil"/>
              <w:left w:val="nil"/>
              <w:bottom w:val="single" w:color="000000" w:sz="8"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32</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229.47</w:t>
            </w:r>
          </w:p>
        </w:tc>
        <w:tc>
          <w:tcPr>
            <w:tcW w:w="152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16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64</w:t>
            </w:r>
          </w:p>
        </w:tc>
        <w:tc>
          <w:tcPr>
            <w:tcW w:w="33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229.47</w:t>
            </w:r>
          </w:p>
        </w:tc>
        <w:tc>
          <w:tcPr>
            <w:tcW w:w="4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229.47</w:t>
            </w:r>
          </w:p>
        </w:tc>
        <w:tc>
          <w:tcPr>
            <w:tcW w:w="406"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428"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bl>
    <w:p>
      <w:pPr>
        <w:ind w:firstLine="108" w:firstLineChars="50"/>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r>
        <w:rPr>
          <w:rFonts w:hint="eastAsia" w:ascii="仿宋_GB2312" w:hAnsi="宋体" w:eastAsia="仿宋_GB2312"/>
          <w:sz w:val="22"/>
          <w:szCs w:val="22"/>
        </w:rPr>
        <w:t>注：本表反映单位</w:t>
      </w:r>
      <w:r>
        <w:rPr>
          <w:rFonts w:hint="eastAsia" w:ascii="仿宋_GB2312" w:hAnsi="宋体" w:eastAsia="仿宋_GB2312"/>
          <w:sz w:val="22"/>
          <w:szCs w:val="22"/>
        </w:rPr>
        <w:t>本年度一般公共预算财政拨款、政府性基金预算财政拨款和国有资本经营预算财政拨款的总收支和年末结转结余情况。</w:t>
      </w: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公开05表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 xml:space="preserve">  淄博市博山区石马水库管理所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9"/>
        <w:tblW w:w="5000" w:type="pct"/>
        <w:tblInd w:w="0" w:type="dxa"/>
        <w:tblLayout w:type="autofit"/>
        <w:tblCellMar>
          <w:top w:w="0" w:type="dxa"/>
          <w:left w:w="108" w:type="dxa"/>
          <w:bottom w:w="0" w:type="dxa"/>
          <w:right w:w="108" w:type="dxa"/>
        </w:tblCellMar>
      </w:tblPr>
      <w:tblGrid>
        <w:gridCol w:w="1427"/>
        <w:gridCol w:w="5540"/>
        <w:gridCol w:w="2242"/>
        <w:gridCol w:w="2242"/>
        <w:gridCol w:w="2201"/>
      </w:tblGrid>
      <w:tr>
        <w:tblPrEx>
          <w:tblCellMar>
            <w:top w:w="0" w:type="dxa"/>
            <w:left w:w="108" w:type="dxa"/>
            <w:bottom w:w="0" w:type="dxa"/>
            <w:right w:w="108" w:type="dxa"/>
          </w:tblCellMar>
        </w:tblPrEx>
        <w:trPr>
          <w:trHeight w:val="237" w:hRule="atLeast"/>
        </w:trPr>
        <w:tc>
          <w:tcPr>
            <w:tcW w:w="255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2448" w:type="pct"/>
            <w:gridSpan w:val="3"/>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r>
      <w:tr>
        <w:tblPrEx>
          <w:tblCellMar>
            <w:top w:w="0" w:type="dxa"/>
            <w:left w:w="108" w:type="dxa"/>
            <w:bottom w:w="0" w:type="dxa"/>
            <w:right w:w="108" w:type="dxa"/>
          </w:tblCellMar>
        </w:tblPrEx>
        <w:trPr>
          <w:trHeight w:val="610" w:hRule="atLeast"/>
        </w:trPr>
        <w:tc>
          <w:tcPr>
            <w:tcW w:w="523"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功能分类科目编码</w:t>
            </w:r>
          </w:p>
        </w:tc>
        <w:tc>
          <w:tcPr>
            <w:tcW w:w="2029" w:type="pct"/>
            <w:vMerge w:val="restar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821"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821"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807" w:type="pct"/>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610" w:hRule="atLeast"/>
        </w:trPr>
        <w:tc>
          <w:tcPr>
            <w:tcW w:w="523" w:type="pct"/>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2029"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2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2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07"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10" w:hRule="atLeast"/>
        </w:trPr>
        <w:tc>
          <w:tcPr>
            <w:tcW w:w="523" w:type="pct"/>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2029"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2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21"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c>
          <w:tcPr>
            <w:tcW w:w="807" w:type="pct"/>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37" w:hRule="atLeast"/>
        </w:trPr>
        <w:tc>
          <w:tcPr>
            <w:tcW w:w="2552" w:type="pct"/>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3</w:t>
            </w:r>
          </w:p>
        </w:tc>
      </w:tr>
      <w:tr>
        <w:tblPrEx>
          <w:tblCellMar>
            <w:top w:w="0" w:type="dxa"/>
            <w:left w:w="108" w:type="dxa"/>
            <w:bottom w:w="0" w:type="dxa"/>
            <w:right w:w="108" w:type="dxa"/>
          </w:tblCellMar>
        </w:tblPrEx>
        <w:trPr>
          <w:trHeight w:val="237" w:hRule="atLeast"/>
        </w:trPr>
        <w:tc>
          <w:tcPr>
            <w:tcW w:w="2552" w:type="pct"/>
            <w:gridSpan w:val="2"/>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211.84</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130.55</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b/>
                <w:bCs/>
                <w:color w:val="000000"/>
                <w:kern w:val="0"/>
                <w:sz w:val="22"/>
                <w:szCs w:val="22"/>
              </w:rPr>
            </w:pPr>
            <w:r>
              <w:rPr>
                <w:rFonts w:hint="eastAsia" w:ascii="宋体" w:hAnsi="宋体" w:cs="Arial"/>
                <w:b/>
                <w:bCs/>
                <w:color w:val="000000"/>
                <w:kern w:val="0"/>
                <w:sz w:val="22"/>
                <w:szCs w:val="22"/>
              </w:rPr>
              <w:t>81.29</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社会保障和就业支出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行政事业单位养老支出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26.42</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2080502</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事业单位离退休</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14.22</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机关事业单位基本养老保险缴费支出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8.41</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2080506</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机关事业单位职业年金缴费支出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3.78</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卫生健康支出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行政事业单位医疗</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6.78</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事业单位医疗</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3.35</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2101103</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公务员医疗补助</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3.43</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农林水支出</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水利</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178.65</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2130301</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行政运行</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97.36</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r>
      <w:tr>
        <w:tblPrEx>
          <w:tblCellMar>
            <w:top w:w="0" w:type="dxa"/>
            <w:left w:w="108" w:type="dxa"/>
            <w:bottom w:w="0" w:type="dxa"/>
            <w:right w:w="108" w:type="dxa"/>
          </w:tblCellMar>
        </w:tblPrEx>
        <w:trPr>
          <w:trHeight w:val="237" w:hRule="atLeast"/>
        </w:trPr>
        <w:tc>
          <w:tcPr>
            <w:tcW w:w="523"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2130306</w:t>
            </w:r>
          </w:p>
        </w:tc>
        <w:tc>
          <w:tcPr>
            <w:tcW w:w="2029"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22"/>
                <w:szCs w:val="22"/>
              </w:rPr>
            </w:pPr>
            <w:r>
              <w:rPr>
                <w:rFonts w:hint="eastAsia" w:ascii="宋体" w:hAnsi="宋体" w:cs="Arial"/>
                <w:color w:val="000000"/>
                <w:kern w:val="0"/>
                <w:sz w:val="22"/>
                <w:szCs w:val="22"/>
              </w:rPr>
              <w:t xml:space="preserve">  水利工程运行与维护</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c>
          <w:tcPr>
            <w:tcW w:w="82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0.00</w:t>
            </w:r>
          </w:p>
        </w:tc>
        <w:tc>
          <w:tcPr>
            <w:tcW w:w="807"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22"/>
                <w:szCs w:val="22"/>
              </w:rPr>
            </w:pPr>
            <w:r>
              <w:rPr>
                <w:rFonts w:hint="eastAsia" w:ascii="宋体" w:hAnsi="宋体" w:cs="Arial"/>
                <w:color w:val="000000"/>
                <w:kern w:val="0"/>
                <w:sz w:val="22"/>
                <w:szCs w:val="22"/>
              </w:rPr>
              <w:t>81.29</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注：本表反映单位本年度一般公共预算财政拨款支出情况。</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一般公共预算财政拨款基本支出决算表</w:t>
      </w:r>
    </w:p>
    <w:p>
      <w:pPr>
        <w:spacing w:line="400" w:lineRule="exact"/>
        <w:ind w:right="552"/>
        <w:jc w:val="center"/>
        <w:rPr>
          <w:rFonts w:ascii="楷体_GB2312" w:eastAsia="楷体_GB2312"/>
          <w:sz w:val="28"/>
          <w:szCs w:val="28"/>
        </w:rPr>
      </w:pPr>
      <w:r>
        <w:rPr>
          <w:rFonts w:hint="eastAsia" w:ascii="楷体_GB2312" w:eastAsia="楷体_GB2312"/>
          <w:sz w:val="28"/>
          <w:szCs w:val="28"/>
        </w:rPr>
        <w:t xml:space="preserve">                                                               公开06表</w:t>
      </w:r>
    </w:p>
    <w:p>
      <w:pPr>
        <w:spacing w:line="400" w:lineRule="exact"/>
        <w:ind w:right="552" w:firstLine="108" w:firstLineChars="50"/>
        <w:rPr>
          <w:rFonts w:ascii="仿宋_GB2312" w:hAnsi="宋体" w:eastAsia="仿宋_GB2312"/>
          <w:sz w:val="22"/>
          <w:szCs w:val="22"/>
        </w:rPr>
      </w:pPr>
      <w:r>
        <w:rPr>
          <w:rFonts w:hint="eastAsia" w:ascii="仿宋_GB2312" w:hAnsi="宋体" w:eastAsia="仿宋_GB2312"/>
          <w:sz w:val="22"/>
          <w:szCs w:val="22"/>
        </w:rPr>
        <w:t>单位：淄博市博山区石马水库管理所                                                               金额单位：万元</w:t>
      </w:r>
    </w:p>
    <w:tbl>
      <w:tblPr>
        <w:tblStyle w:val="9"/>
        <w:tblW w:w="13931" w:type="dxa"/>
        <w:tblInd w:w="93" w:type="dxa"/>
        <w:tblLayout w:type="autofit"/>
        <w:tblCellMar>
          <w:top w:w="0" w:type="dxa"/>
          <w:left w:w="108" w:type="dxa"/>
          <w:bottom w:w="0" w:type="dxa"/>
          <w:right w:w="108" w:type="dxa"/>
        </w:tblCellMar>
      </w:tblPr>
      <w:tblGrid>
        <w:gridCol w:w="656"/>
        <w:gridCol w:w="3330"/>
        <w:gridCol w:w="757"/>
        <w:gridCol w:w="656"/>
        <w:gridCol w:w="2361"/>
        <w:gridCol w:w="659"/>
        <w:gridCol w:w="656"/>
        <w:gridCol w:w="4210"/>
        <w:gridCol w:w="646"/>
      </w:tblGrid>
      <w:tr>
        <w:tblPrEx>
          <w:tblCellMar>
            <w:top w:w="0" w:type="dxa"/>
            <w:left w:w="108" w:type="dxa"/>
            <w:bottom w:w="0" w:type="dxa"/>
            <w:right w:w="108" w:type="dxa"/>
          </w:tblCellMar>
        </w:tblPrEx>
        <w:trPr>
          <w:trHeight w:val="360" w:hRule="atLeast"/>
        </w:trPr>
        <w:tc>
          <w:tcPr>
            <w:tcW w:w="4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ascii="宋体" w:hAnsi="宋体" w:cs="Arial"/>
                <w:color w:val="000000"/>
                <w:kern w:val="0"/>
                <w:sz w:val="18"/>
                <w:szCs w:val="18"/>
              </w:rPr>
            </w:pPr>
            <w:r>
              <w:rPr>
                <w:rFonts w:hint="eastAsia" w:ascii="宋体" w:hAnsi="宋体" w:cs="Arial"/>
                <w:color w:val="000000"/>
                <w:kern w:val="0"/>
                <w:sz w:val="18"/>
                <w:szCs w:val="18"/>
              </w:rPr>
              <w:t>人员经费</w:t>
            </w:r>
          </w:p>
        </w:tc>
        <w:tc>
          <w:tcPr>
            <w:tcW w:w="9188" w:type="dxa"/>
            <w:gridSpan w:val="6"/>
            <w:tcBorders>
              <w:top w:val="single" w:color="000000" w:sz="4" w:space="0"/>
              <w:left w:val="nil"/>
              <w:bottom w:val="single" w:color="000000" w:sz="4" w:space="0"/>
              <w:right w:val="single" w:color="000000" w:sz="8"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公用经费</w:t>
            </w:r>
          </w:p>
        </w:tc>
      </w:tr>
      <w:tr>
        <w:tblPrEx>
          <w:tblCellMar>
            <w:top w:w="0" w:type="dxa"/>
            <w:left w:w="108" w:type="dxa"/>
            <w:bottom w:w="0" w:type="dxa"/>
            <w:right w:w="108" w:type="dxa"/>
          </w:tblCellMar>
        </w:tblPrEx>
        <w:trPr>
          <w:trHeight w:val="610" w:hRule="atLeast"/>
        </w:trPr>
        <w:tc>
          <w:tcPr>
            <w:tcW w:w="65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3330"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757"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c>
          <w:tcPr>
            <w:tcW w:w="656"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2361"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659"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c>
          <w:tcPr>
            <w:tcW w:w="656"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4210" w:type="dxa"/>
            <w:vMerge w:val="restart"/>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646" w:type="dxa"/>
            <w:vMerge w:val="restart"/>
            <w:tcBorders>
              <w:top w:val="nil"/>
              <w:left w:val="nil"/>
              <w:bottom w:val="single" w:color="000000" w:sz="4" w:space="0"/>
              <w:right w:val="single" w:color="000000" w:sz="8"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r>
      <w:tr>
        <w:tblPrEx>
          <w:tblCellMar>
            <w:top w:w="0" w:type="dxa"/>
            <w:left w:w="108" w:type="dxa"/>
            <w:bottom w:w="0" w:type="dxa"/>
            <w:right w:w="108" w:type="dxa"/>
          </w:tblCellMar>
        </w:tblPrEx>
        <w:trPr>
          <w:trHeight w:val="610" w:hRule="atLeast"/>
        </w:trPr>
        <w:tc>
          <w:tcPr>
            <w:tcW w:w="656"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3330"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757"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6"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2361"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9"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6"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4210" w:type="dxa"/>
            <w:vMerge w:val="continue"/>
            <w:tcBorders>
              <w:top w:val="nil"/>
              <w:left w:val="nil"/>
              <w:bottom w:val="single" w:color="000000"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46" w:type="dxa"/>
            <w:vMerge w:val="continue"/>
            <w:tcBorders>
              <w:top w:val="nil"/>
              <w:left w:val="nil"/>
              <w:bottom w:val="single" w:color="000000" w:sz="4" w:space="0"/>
              <w:right w:val="single" w:color="000000" w:sz="8" w:space="0"/>
            </w:tcBorders>
            <w:vAlign w:val="center"/>
          </w:tcPr>
          <w:p>
            <w:pPr>
              <w:widowControl/>
              <w:spacing w:line="240" w:lineRule="exact"/>
              <w:jc w:val="left"/>
              <w:rPr>
                <w:rFonts w:ascii="宋体" w:hAnsi="宋体" w:cs="Arial"/>
                <w:color w:val="000000"/>
                <w:kern w:val="0"/>
                <w:sz w:val="18"/>
                <w:szCs w:val="18"/>
              </w:rPr>
            </w:pP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工资福利支出</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106.47</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商品和服务支出</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7.97</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307</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债务利息及费用支出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30101</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基本工资</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27.31</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30201</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办公费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2.56</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30701</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国内债务付息</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30102</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津贴补贴</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15.96</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30202</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印刷费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30702</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国外债务付息</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30103</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奖金</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2.26</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30203</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咨询费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30703</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国内债务发行费用</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30106</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伙食补助费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30204</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手续费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30704</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国外债务发行费用</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30107</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绩效工资</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21.94</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30205</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水费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资本性支出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30108</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机关事业单位基本养老保险缴费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8.41</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30206</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电费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31001</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房屋建筑物购建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30109</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职业年金缴费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3.78</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30207</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邮电费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0.14</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31002</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办公设备购置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30110</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职工基本医疗保险缴费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3.35</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30208</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取暖费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3.75</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31003</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专用设备购置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30111</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公务员医疗补助缴费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3.43</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30209</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物业管理费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31005</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基础设施建设</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30112</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其他社会保障缴费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0.47</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30211</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差旅费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31006</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大型修缮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30113</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住房公积金</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7.13</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30212</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因公出国（境）费用</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31007</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信息网络及软件购置更新</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30114</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医疗费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30213</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维修（护）费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31008</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物资储备</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30199</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其他工资福利支出</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12.43</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30214</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租赁费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31009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土地补偿</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对个人和家庭的补助</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16.12</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30215</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会议费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31010</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安置补助</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30301</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离休费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30216</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培训费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31011</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地上附着物和青苗补偿</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30302</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退休费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12.03</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30217</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公务接待费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31012</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拆迁补偿</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59"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30303</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退职（役）费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30218</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专用材料费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31013</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公务用车购置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30304</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抚恤金</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30224</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被装购置费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31019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其他交通工具购置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30305</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生活补助</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2.16</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30225</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专用燃料费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31021</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文物和陈列品购置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360" w:hRule="atLeast"/>
        </w:trPr>
        <w:tc>
          <w:tcPr>
            <w:tcW w:w="4743"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人员经费</w:t>
            </w:r>
          </w:p>
        </w:tc>
        <w:tc>
          <w:tcPr>
            <w:tcW w:w="9188" w:type="dxa"/>
            <w:gridSpan w:val="6"/>
            <w:tcBorders>
              <w:top w:val="single" w:color="000000" w:sz="4" w:space="0"/>
              <w:left w:val="nil"/>
              <w:bottom w:val="single" w:color="auto" w:sz="4" w:space="0"/>
              <w:right w:val="single" w:color="000000" w:sz="8"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公用经费</w:t>
            </w:r>
          </w:p>
        </w:tc>
      </w:tr>
      <w:tr>
        <w:tblPrEx>
          <w:tblCellMar>
            <w:top w:w="0" w:type="dxa"/>
            <w:left w:w="108" w:type="dxa"/>
            <w:bottom w:w="0" w:type="dxa"/>
            <w:right w:w="108" w:type="dxa"/>
          </w:tblCellMar>
        </w:tblPrEx>
        <w:trPr>
          <w:trHeight w:val="610" w:hRule="atLeast"/>
        </w:trPr>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33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7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23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6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经济分类科目编码</w:t>
            </w:r>
          </w:p>
        </w:tc>
        <w:tc>
          <w:tcPr>
            <w:tcW w:w="4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科目名称</w:t>
            </w:r>
          </w:p>
        </w:tc>
        <w:tc>
          <w:tcPr>
            <w:tcW w:w="6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金额</w:t>
            </w:r>
          </w:p>
        </w:tc>
      </w:tr>
      <w:tr>
        <w:tblPrEx>
          <w:tblCellMar>
            <w:top w:w="0" w:type="dxa"/>
            <w:left w:w="108" w:type="dxa"/>
            <w:bottom w:w="0" w:type="dxa"/>
            <w:right w:w="108" w:type="dxa"/>
          </w:tblCellMar>
        </w:tblPrEx>
        <w:trPr>
          <w:trHeight w:val="610" w:hRule="atLeast"/>
        </w:trPr>
        <w:tc>
          <w:tcPr>
            <w:tcW w:w="656" w:type="dxa"/>
            <w:vMerge w:val="continue"/>
            <w:tcBorders>
              <w:top w:val="single" w:color="auto" w:sz="4" w:space="0"/>
              <w:left w:val="single" w:color="auto" w:sz="4" w:space="0"/>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3330"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757"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6"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2361"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9"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56"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4210" w:type="dxa"/>
            <w:vMerge w:val="continue"/>
            <w:tcBorders>
              <w:top w:val="single" w:color="auto" w:sz="4" w:space="0"/>
              <w:left w:val="nil"/>
              <w:bottom w:val="single" w:color="auto" w:sz="4" w:space="0"/>
              <w:right w:val="single" w:color="000000" w:sz="4" w:space="0"/>
            </w:tcBorders>
            <w:vAlign w:val="center"/>
          </w:tcPr>
          <w:p>
            <w:pPr>
              <w:widowControl/>
              <w:spacing w:line="240" w:lineRule="exact"/>
              <w:jc w:val="left"/>
              <w:rPr>
                <w:rFonts w:ascii="宋体" w:hAnsi="宋体" w:cs="Arial"/>
                <w:color w:val="000000"/>
                <w:kern w:val="0"/>
                <w:sz w:val="18"/>
                <w:szCs w:val="18"/>
              </w:rPr>
            </w:pPr>
          </w:p>
        </w:tc>
        <w:tc>
          <w:tcPr>
            <w:tcW w:w="646"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Arial"/>
                <w:color w:val="000000"/>
                <w:kern w:val="0"/>
                <w:sz w:val="18"/>
                <w:szCs w:val="18"/>
              </w:rPr>
            </w:pPr>
          </w:p>
        </w:tc>
      </w:tr>
      <w:tr>
        <w:tblPrEx>
          <w:tblCellMar>
            <w:top w:w="0" w:type="dxa"/>
            <w:left w:w="108" w:type="dxa"/>
            <w:bottom w:w="0" w:type="dxa"/>
            <w:right w:w="108" w:type="dxa"/>
          </w:tblCellMar>
        </w:tblPrEx>
        <w:trPr>
          <w:trHeight w:val="237" w:hRule="atLeast"/>
        </w:trPr>
        <w:tc>
          <w:tcPr>
            <w:tcW w:w="6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3330"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757"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right"/>
              <w:rPr>
                <w:rFonts w:hint="eastAsia" w:ascii="宋体" w:hAnsi="宋体" w:cs="Arial"/>
                <w:color w:val="000000"/>
                <w:kern w:val="0"/>
                <w:sz w:val="18"/>
                <w:szCs w:val="18"/>
              </w:rPr>
            </w:pPr>
          </w:p>
        </w:tc>
        <w:tc>
          <w:tcPr>
            <w:tcW w:w="656"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2361"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659"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right"/>
              <w:rPr>
                <w:rFonts w:hint="eastAsia" w:ascii="宋体" w:hAnsi="宋体" w:cs="Arial"/>
                <w:color w:val="000000"/>
                <w:kern w:val="0"/>
                <w:sz w:val="18"/>
                <w:szCs w:val="18"/>
              </w:rPr>
            </w:pPr>
          </w:p>
        </w:tc>
        <w:tc>
          <w:tcPr>
            <w:tcW w:w="656"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4210" w:type="dxa"/>
            <w:tcBorders>
              <w:top w:val="single" w:color="auto" w:sz="4" w:space="0"/>
              <w:left w:val="nil"/>
              <w:bottom w:val="single" w:color="000000" w:sz="4" w:space="0"/>
              <w:right w:val="single" w:color="000000" w:sz="4" w:space="0"/>
            </w:tcBorders>
            <w:shd w:val="clear" w:color="auto" w:fill="auto"/>
            <w:noWrap/>
            <w:vAlign w:val="center"/>
          </w:tcPr>
          <w:p>
            <w:pPr>
              <w:widowControl/>
              <w:spacing w:line="240" w:lineRule="exact"/>
              <w:jc w:val="left"/>
              <w:rPr>
                <w:rFonts w:hint="eastAsia" w:ascii="宋体" w:hAnsi="宋体" w:cs="Arial"/>
                <w:color w:val="000000"/>
                <w:kern w:val="0"/>
                <w:sz w:val="18"/>
                <w:szCs w:val="18"/>
              </w:rPr>
            </w:pPr>
          </w:p>
        </w:tc>
        <w:tc>
          <w:tcPr>
            <w:tcW w:w="646" w:type="dxa"/>
            <w:tcBorders>
              <w:top w:val="single" w:color="auto" w:sz="4" w:space="0"/>
              <w:left w:val="nil"/>
              <w:bottom w:val="single" w:color="000000" w:sz="4" w:space="0"/>
              <w:right w:val="single" w:color="000000" w:sz="8" w:space="0"/>
            </w:tcBorders>
            <w:shd w:val="clear" w:color="auto" w:fill="auto"/>
            <w:noWrap/>
            <w:vAlign w:val="center"/>
          </w:tcPr>
          <w:p>
            <w:pPr>
              <w:widowControl/>
              <w:spacing w:line="240" w:lineRule="exact"/>
              <w:jc w:val="right"/>
              <w:rPr>
                <w:rFonts w:hint="eastAsia" w:ascii="宋体" w:hAnsi="宋体" w:cs="Arial"/>
                <w:color w:val="000000"/>
                <w:kern w:val="0"/>
                <w:sz w:val="18"/>
                <w:szCs w:val="18"/>
              </w:rPr>
            </w:pP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30306</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救济费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30226</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劳务费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31022</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无形资产购置</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30307</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医疗费补助</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30227</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委托业务费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31099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其他资本性支出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30308</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助学金</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30228</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工会经费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0.80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对企业补助</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30309</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奖励金</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1.92</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30229</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福利费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31201</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资本金注入</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30310</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个人农业生产补贴</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30231</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公务用车运行维护费</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31203</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政府投资基金股权投资</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30311</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代缴社会保险费</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30239</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其他交通费用</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0.72</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31204</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费用补贴</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30399</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其他对个人和家庭的补助</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30240</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税金及附加费用</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31205</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利息补贴</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30299</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其他商品和服务支出</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31299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其他对企业补助</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399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其他支出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39906</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赠与</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39907</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国家赔偿费用支出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39908</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对民间非营利组织和群众性自治组织补贴</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37" w:hRule="atLeast"/>
        </w:trPr>
        <w:tc>
          <w:tcPr>
            <w:tcW w:w="656"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333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57"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2361"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9"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56"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39999</w:t>
            </w:r>
          </w:p>
        </w:tc>
        <w:tc>
          <w:tcPr>
            <w:tcW w:w="4210" w:type="dxa"/>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cs="Arial"/>
                <w:color w:val="000000"/>
                <w:kern w:val="0"/>
                <w:sz w:val="18"/>
                <w:szCs w:val="18"/>
              </w:rPr>
            </w:pPr>
            <w:r>
              <w:rPr>
                <w:rFonts w:hint="eastAsia" w:ascii="宋体" w:hAnsi="宋体" w:cs="Arial"/>
                <w:color w:val="000000"/>
                <w:kern w:val="0"/>
                <w:sz w:val="18"/>
                <w:szCs w:val="18"/>
              </w:rPr>
              <w:t xml:space="preserve">  其他支出</w:t>
            </w:r>
          </w:p>
        </w:tc>
        <w:tc>
          <w:tcPr>
            <w:tcW w:w="646" w:type="dxa"/>
            <w:tcBorders>
              <w:top w:val="nil"/>
              <w:left w:val="nil"/>
              <w:bottom w:val="single" w:color="000000" w:sz="4"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0.00</w:t>
            </w:r>
          </w:p>
        </w:tc>
      </w:tr>
      <w:tr>
        <w:tblPrEx>
          <w:tblCellMar>
            <w:top w:w="0" w:type="dxa"/>
            <w:left w:w="108" w:type="dxa"/>
            <w:bottom w:w="0" w:type="dxa"/>
            <w:right w:w="108" w:type="dxa"/>
          </w:tblCellMar>
        </w:tblPrEx>
        <w:trPr>
          <w:trHeight w:val="270" w:hRule="atLeast"/>
        </w:trPr>
        <w:tc>
          <w:tcPr>
            <w:tcW w:w="3986" w:type="dxa"/>
            <w:gridSpan w:val="2"/>
            <w:tcBorders>
              <w:top w:val="nil"/>
              <w:left w:val="single" w:color="000000" w:sz="4" w:space="0"/>
              <w:bottom w:val="single" w:color="000000" w:sz="8"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人员经费合计</w:t>
            </w:r>
          </w:p>
        </w:tc>
        <w:tc>
          <w:tcPr>
            <w:tcW w:w="757" w:type="dxa"/>
            <w:tcBorders>
              <w:top w:val="nil"/>
              <w:left w:val="nil"/>
              <w:bottom w:val="single" w:color="000000" w:sz="8" w:space="0"/>
              <w:right w:val="single" w:color="000000" w:sz="4"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122.58</w:t>
            </w:r>
          </w:p>
        </w:tc>
        <w:tc>
          <w:tcPr>
            <w:tcW w:w="8542" w:type="dxa"/>
            <w:gridSpan w:val="5"/>
            <w:tcBorders>
              <w:top w:val="nil"/>
              <w:left w:val="nil"/>
              <w:bottom w:val="single" w:color="000000" w:sz="8" w:space="0"/>
              <w:right w:val="single" w:color="000000" w:sz="4" w:space="0"/>
            </w:tcBorders>
            <w:shd w:val="clear" w:color="auto" w:fill="auto"/>
            <w:noWrap/>
            <w:vAlign w:val="center"/>
          </w:tcPr>
          <w:p>
            <w:pPr>
              <w:widowControl/>
              <w:spacing w:line="240" w:lineRule="exact"/>
              <w:jc w:val="center"/>
              <w:rPr>
                <w:rFonts w:ascii="宋体" w:hAnsi="宋体" w:cs="Arial"/>
                <w:color w:val="000000"/>
                <w:kern w:val="0"/>
                <w:sz w:val="18"/>
                <w:szCs w:val="18"/>
              </w:rPr>
            </w:pPr>
            <w:r>
              <w:rPr>
                <w:rFonts w:hint="eastAsia" w:ascii="宋体" w:hAnsi="宋体" w:cs="Arial"/>
                <w:color w:val="000000"/>
                <w:kern w:val="0"/>
                <w:sz w:val="18"/>
                <w:szCs w:val="18"/>
              </w:rPr>
              <w:t>公用经费合计</w:t>
            </w:r>
          </w:p>
        </w:tc>
        <w:tc>
          <w:tcPr>
            <w:tcW w:w="646" w:type="dxa"/>
            <w:tcBorders>
              <w:top w:val="nil"/>
              <w:left w:val="nil"/>
              <w:bottom w:val="single" w:color="000000" w:sz="8" w:space="0"/>
              <w:right w:val="single" w:color="000000" w:sz="8" w:space="0"/>
            </w:tcBorders>
            <w:shd w:val="clear" w:color="auto" w:fill="auto"/>
            <w:noWrap/>
            <w:vAlign w:val="center"/>
          </w:tcPr>
          <w:p>
            <w:pPr>
              <w:widowControl/>
              <w:spacing w:line="240" w:lineRule="exact"/>
              <w:jc w:val="right"/>
              <w:rPr>
                <w:rFonts w:ascii="宋体" w:hAnsi="宋体" w:cs="Arial"/>
                <w:color w:val="000000"/>
                <w:kern w:val="0"/>
                <w:sz w:val="18"/>
                <w:szCs w:val="18"/>
              </w:rPr>
            </w:pPr>
            <w:r>
              <w:rPr>
                <w:rFonts w:hint="eastAsia" w:ascii="宋体" w:hAnsi="宋体" w:cs="Arial"/>
                <w:color w:val="000000"/>
                <w:kern w:val="0"/>
                <w:sz w:val="18"/>
                <w:szCs w:val="18"/>
              </w:rPr>
              <w:t>7.97</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本年度一般公共预算财政拨款基本支出明细情况。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一般公共预算财政拨款“三公”经费支出决算表</w:t>
      </w:r>
    </w:p>
    <w:p>
      <w:pPr>
        <w:wordWrap w:val="0"/>
        <w:spacing w:line="400" w:lineRule="exact"/>
        <w:jc w:val="right"/>
        <w:rPr>
          <w:rFonts w:ascii="楷体_GB2312" w:eastAsia="楷体_GB2312"/>
          <w:sz w:val="28"/>
          <w:szCs w:val="28"/>
        </w:rPr>
      </w:pPr>
      <w:r>
        <w:rPr>
          <w:rFonts w:hint="eastAsia" w:ascii="方正小标宋简体" w:eastAsia="方正小标宋简体"/>
          <w:sz w:val="44"/>
          <w:szCs w:val="44"/>
        </w:rPr>
        <w:t>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公开07表</w:t>
      </w:r>
    </w:p>
    <w:p>
      <w:pPr>
        <w:spacing w:line="400" w:lineRule="exact"/>
        <w:ind w:right="552" w:firstLine="138" w:firstLineChars="50"/>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 xml:space="preserve">淄博市博山区石马水库管理所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9"/>
        <w:tblW w:w="0" w:type="auto"/>
        <w:jc w:val="center"/>
        <w:tblLayout w:type="fixed"/>
        <w:tblCellMar>
          <w:top w:w="0" w:type="dxa"/>
          <w:left w:w="108" w:type="dxa"/>
          <w:bottom w:w="0" w:type="dxa"/>
          <w:right w:w="108" w:type="dxa"/>
        </w:tblCellMar>
      </w:tblPr>
      <w:tblGrid>
        <w:gridCol w:w="1179"/>
        <w:gridCol w:w="1195"/>
        <w:gridCol w:w="1180"/>
        <w:gridCol w:w="1180"/>
        <w:gridCol w:w="1272"/>
        <w:gridCol w:w="878"/>
        <w:gridCol w:w="1098"/>
        <w:gridCol w:w="1143"/>
        <w:gridCol w:w="851"/>
        <w:gridCol w:w="1132"/>
        <w:gridCol w:w="1164"/>
        <w:gridCol w:w="984"/>
      </w:tblGrid>
      <w:tr>
        <w:tblPrEx>
          <w:tblCellMar>
            <w:top w:w="0" w:type="dxa"/>
            <w:left w:w="108" w:type="dxa"/>
            <w:bottom w:w="0" w:type="dxa"/>
            <w:right w:w="108" w:type="dxa"/>
          </w:tblCellMar>
        </w:tblPrEx>
        <w:trPr>
          <w:trHeight w:val="862" w:hRule="atLeast"/>
          <w:jc w:val="center"/>
        </w:trPr>
        <w:tc>
          <w:tcPr>
            <w:tcW w:w="6884" w:type="dxa"/>
            <w:gridSpan w:val="6"/>
            <w:tcBorders>
              <w:top w:val="single" w:color="auto" w:sz="8" w:space="0"/>
              <w:left w:val="single" w:color="auto" w:sz="8" w:space="0"/>
              <w:bottom w:val="single" w:color="auto" w:sz="4"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预 算 数</w:t>
            </w:r>
          </w:p>
        </w:tc>
        <w:tc>
          <w:tcPr>
            <w:tcW w:w="6372"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决 算 数　</w:t>
            </w:r>
          </w:p>
        </w:tc>
      </w:tr>
      <w:tr>
        <w:tblPrEx>
          <w:tblCellMar>
            <w:top w:w="0" w:type="dxa"/>
            <w:left w:w="108" w:type="dxa"/>
            <w:bottom w:w="0" w:type="dxa"/>
            <w:right w:w="108" w:type="dxa"/>
          </w:tblCellMar>
        </w:tblPrEx>
        <w:trPr>
          <w:trHeight w:val="862" w:hRule="atLeast"/>
          <w:jc w:val="center"/>
        </w:trPr>
        <w:tc>
          <w:tcPr>
            <w:tcW w:w="1179" w:type="dxa"/>
            <w:vMerge w:val="restart"/>
            <w:tcBorders>
              <w:top w:val="nil"/>
              <w:left w:val="single" w:color="auto" w:sz="8"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合计</w:t>
            </w:r>
          </w:p>
        </w:tc>
        <w:tc>
          <w:tcPr>
            <w:tcW w:w="119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因公出国（境）费</w:t>
            </w:r>
          </w:p>
        </w:tc>
        <w:tc>
          <w:tcPr>
            <w:tcW w:w="3632"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公务用车购置及运行维护费</w:t>
            </w:r>
          </w:p>
        </w:tc>
        <w:tc>
          <w:tcPr>
            <w:tcW w:w="878" w:type="dxa"/>
            <w:vMerge w:val="restart"/>
            <w:tcBorders>
              <w:top w:val="nil"/>
              <w:left w:val="single" w:color="auto" w:sz="4" w:space="0"/>
              <w:bottom w:val="single" w:color="auto" w:sz="4" w:space="0"/>
              <w:right w:val="single" w:color="000000" w:sz="8"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接待费</w:t>
            </w:r>
          </w:p>
        </w:tc>
        <w:tc>
          <w:tcPr>
            <w:tcW w:w="109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合计</w:t>
            </w:r>
          </w:p>
        </w:tc>
        <w:tc>
          <w:tcPr>
            <w:tcW w:w="114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因公出国（境）费</w:t>
            </w:r>
          </w:p>
        </w:tc>
        <w:tc>
          <w:tcPr>
            <w:tcW w:w="3147" w:type="dxa"/>
            <w:gridSpan w:val="3"/>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公务用车购置及运行维护费</w:t>
            </w:r>
          </w:p>
        </w:tc>
        <w:tc>
          <w:tcPr>
            <w:tcW w:w="984"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接待费</w:t>
            </w:r>
          </w:p>
        </w:tc>
      </w:tr>
      <w:tr>
        <w:tblPrEx>
          <w:tblCellMar>
            <w:top w:w="0" w:type="dxa"/>
            <w:left w:w="108" w:type="dxa"/>
            <w:bottom w:w="0" w:type="dxa"/>
            <w:right w:w="108" w:type="dxa"/>
          </w:tblCellMar>
        </w:tblPrEx>
        <w:trPr>
          <w:trHeight w:val="862" w:hRule="atLeast"/>
          <w:jc w:val="center"/>
        </w:trPr>
        <w:tc>
          <w:tcPr>
            <w:tcW w:w="1179" w:type="dxa"/>
            <w:vMerge w:val="continue"/>
            <w:tcBorders>
              <w:top w:val="nil"/>
              <w:left w:val="single" w:color="auto" w:sz="8"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195"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18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18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公务用车购置费</w:t>
            </w:r>
          </w:p>
        </w:tc>
        <w:tc>
          <w:tcPr>
            <w:tcW w:w="1272"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公务用车运行维护费</w:t>
            </w:r>
          </w:p>
        </w:tc>
        <w:tc>
          <w:tcPr>
            <w:tcW w:w="878" w:type="dxa"/>
            <w:vMerge w:val="continue"/>
            <w:tcBorders>
              <w:top w:val="nil"/>
              <w:left w:val="single" w:color="auto" w:sz="4" w:space="0"/>
              <w:bottom w:val="single" w:color="auto" w:sz="4" w:space="0"/>
              <w:right w:val="single" w:color="000000" w:sz="8" w:space="0"/>
            </w:tcBorders>
            <w:shd w:val="clear" w:color="auto" w:fill="auto"/>
            <w:vAlign w:val="center"/>
          </w:tcPr>
          <w:p>
            <w:pPr>
              <w:widowControl/>
              <w:spacing w:line="300" w:lineRule="exact"/>
              <w:jc w:val="left"/>
              <w:rPr>
                <w:rFonts w:ascii="仿宋_GB2312" w:hAnsi="宋体" w:eastAsia="仿宋_GB2312" w:cs="宋体"/>
                <w:kern w:val="0"/>
                <w:sz w:val="22"/>
                <w:szCs w:val="22"/>
              </w:rPr>
            </w:pPr>
          </w:p>
        </w:tc>
        <w:tc>
          <w:tcPr>
            <w:tcW w:w="109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left"/>
              <w:rPr>
                <w:rFonts w:ascii="仿宋_GB2312" w:hAnsi="宋体" w:eastAsia="仿宋_GB2312" w:cs="宋体"/>
                <w:kern w:val="0"/>
                <w:sz w:val="22"/>
                <w:szCs w:val="22"/>
              </w:rPr>
            </w:pPr>
          </w:p>
        </w:tc>
        <w:tc>
          <w:tcPr>
            <w:tcW w:w="114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jc w:val="left"/>
              <w:rPr>
                <w:rFonts w:ascii="仿宋_GB2312" w:hAnsi="宋体" w:eastAsia="仿宋_GB2312" w:cs="宋体"/>
                <w:kern w:val="0"/>
                <w:sz w:val="22"/>
                <w:szCs w:val="22"/>
              </w:rPr>
            </w:pP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公务用车购置费</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公务用车运行维护费</w:t>
            </w:r>
          </w:p>
        </w:tc>
        <w:tc>
          <w:tcPr>
            <w:tcW w:w="984"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623" w:hRule="atLeast"/>
          <w:jc w:val="center"/>
        </w:trPr>
        <w:tc>
          <w:tcPr>
            <w:tcW w:w="1179" w:type="dxa"/>
            <w:tcBorders>
              <w:top w:val="nil"/>
              <w:left w:val="single" w:color="auto" w:sz="8" w:space="0"/>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1195"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4</w:t>
            </w:r>
          </w:p>
        </w:tc>
        <w:tc>
          <w:tcPr>
            <w:tcW w:w="1272" w:type="dxa"/>
            <w:tcBorders>
              <w:top w:val="nil"/>
              <w:left w:val="nil"/>
              <w:bottom w:val="single" w:color="auto" w:sz="8" w:space="0"/>
              <w:right w:val="single" w:color="auto" w:sz="4"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5</w:t>
            </w:r>
          </w:p>
        </w:tc>
        <w:tc>
          <w:tcPr>
            <w:tcW w:w="878" w:type="dxa"/>
            <w:tcBorders>
              <w:top w:val="nil"/>
              <w:left w:val="nil"/>
              <w:bottom w:val="single" w:color="auto" w:sz="8" w:space="0"/>
              <w:right w:val="single" w:color="000000" w:sz="8" w:space="0"/>
            </w:tcBorders>
            <w:shd w:val="clear" w:color="auto" w:fill="auto"/>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6</w:t>
            </w:r>
          </w:p>
        </w:tc>
        <w:tc>
          <w:tcPr>
            <w:tcW w:w="1098"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7</w:t>
            </w:r>
          </w:p>
        </w:tc>
        <w:tc>
          <w:tcPr>
            <w:tcW w:w="114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8</w:t>
            </w: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9</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10</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11</w:t>
            </w:r>
          </w:p>
        </w:tc>
        <w:tc>
          <w:tcPr>
            <w:tcW w:w="98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12</w:t>
            </w:r>
          </w:p>
        </w:tc>
      </w:tr>
      <w:tr>
        <w:tblPrEx>
          <w:tblCellMar>
            <w:top w:w="0" w:type="dxa"/>
            <w:left w:w="108" w:type="dxa"/>
            <w:bottom w:w="0" w:type="dxa"/>
            <w:right w:w="108" w:type="dxa"/>
          </w:tblCellMar>
        </w:tblPrEx>
        <w:trPr>
          <w:trHeight w:val="1296" w:hRule="atLeast"/>
          <w:jc w:val="center"/>
        </w:trPr>
        <w:tc>
          <w:tcPr>
            <w:tcW w:w="1179" w:type="dxa"/>
            <w:tcBorders>
              <w:top w:val="nil"/>
              <w:left w:val="single" w:color="auto" w:sz="8" w:space="0"/>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95"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80"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272" w:type="dxa"/>
            <w:tcBorders>
              <w:top w:val="nil"/>
              <w:left w:val="nil"/>
              <w:bottom w:val="single" w:color="auto" w:sz="8"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878" w:type="dxa"/>
            <w:tcBorders>
              <w:top w:val="nil"/>
              <w:left w:val="nil"/>
              <w:bottom w:val="single" w:color="auto" w:sz="8" w:space="0"/>
              <w:right w:val="single" w:color="000000" w:sz="8" w:space="0"/>
            </w:tcBorders>
            <w:shd w:val="clear" w:color="auto" w:fill="auto"/>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098"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left"/>
              <w:rPr>
                <w:rFonts w:ascii="仿宋_GB2312" w:hAnsi="宋体" w:eastAsia="仿宋_GB2312" w:cs="宋体"/>
                <w:kern w:val="0"/>
                <w:sz w:val="22"/>
                <w:szCs w:val="22"/>
              </w:rPr>
            </w:pPr>
          </w:p>
        </w:tc>
        <w:tc>
          <w:tcPr>
            <w:tcW w:w="1143"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300" w:lineRule="exact"/>
              <w:jc w:val="left"/>
              <w:rPr>
                <w:rFonts w:ascii="仿宋_GB2312" w:hAnsi="宋体" w:eastAsia="仿宋_GB2312" w:cs="宋体"/>
                <w:kern w:val="0"/>
                <w:sz w:val="22"/>
                <w:szCs w:val="22"/>
              </w:rPr>
            </w:pPr>
          </w:p>
        </w:tc>
        <w:tc>
          <w:tcPr>
            <w:tcW w:w="851"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32"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16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984" w:type="dxa"/>
            <w:tcBorders>
              <w:top w:val="single" w:color="000000" w:sz="8" w:space="0"/>
              <w:left w:val="single" w:color="000000" w:sz="8" w:space="0"/>
              <w:bottom w:val="single" w:color="000000" w:sz="8" w:space="0"/>
              <w:right w:val="single" w:color="000000" w:sz="8"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360" w:lineRule="exact"/>
        <w:ind w:firstLine="108" w:firstLineChars="50"/>
        <w:rPr>
          <w:rFonts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本年度“三公”经费支出预决算情况。其中，预算数为“三公”经费年初预算数；决算数是包括当年一般公共预算财政拨款和以前年度结转资金安排的实际支出。</w:t>
      </w:r>
    </w:p>
    <w:p>
      <w:pPr>
        <w:spacing w:line="360" w:lineRule="exact"/>
        <w:ind w:firstLine="138" w:firstLineChars="50"/>
        <w:rPr>
          <w:rFonts w:ascii="仿宋_GB2312" w:hAnsi="宋体" w:eastAsia="仿宋_GB2312"/>
          <w:sz w:val="28"/>
          <w:szCs w:val="28"/>
        </w:rPr>
      </w:pPr>
      <w:r>
        <w:rPr>
          <w:rFonts w:hint="eastAsia" w:ascii="仿宋_GB2312" w:hAnsi="宋体" w:eastAsia="仿宋_GB2312"/>
          <w:sz w:val="28"/>
          <w:szCs w:val="28"/>
        </w:rPr>
        <w:t>本部门无一般公共预算安排的“三公”经费支出，故本表无数据</w:t>
      </w:r>
    </w:p>
    <w:p>
      <w:pPr>
        <w:spacing w:line="440" w:lineRule="exact"/>
        <w:ind w:firstLine="108" w:firstLineChars="50"/>
        <w:rPr>
          <w:rFonts w:ascii="仿宋_GB2312" w:hAnsi="宋体" w:eastAsia="仿宋_GB2312"/>
          <w:sz w:val="22"/>
          <w:szCs w:val="22"/>
          <w:highlight w:val="yellow"/>
        </w:rPr>
      </w:pPr>
    </w:p>
    <w:p>
      <w:pPr>
        <w:ind w:firstLine="108" w:firstLineChars="50"/>
        <w:rPr>
          <w:rFonts w:ascii="仿宋_GB2312" w:hAnsi="宋体" w:eastAsia="仿宋_GB2312"/>
          <w:sz w:val="22"/>
          <w:szCs w:val="22"/>
        </w:rPr>
      </w:pPr>
    </w:p>
    <w:p>
      <w:pPr>
        <w:jc w:val="center"/>
        <w:rPr>
          <w:rFonts w:ascii="方正小标宋简体" w:eastAsia="方正小标宋简体"/>
          <w:sz w:val="44"/>
          <w:szCs w:val="44"/>
        </w:rPr>
      </w:pPr>
      <w:r>
        <w:rPr>
          <w:rFonts w:hint="eastAsia" w:ascii="方正小标宋简体" w:eastAsia="方正小标宋简体"/>
          <w:sz w:val="44"/>
          <w:szCs w:val="44"/>
        </w:rPr>
        <w:t>政府性基金预算财政拨款收入支出决算表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公开08表</w:t>
      </w:r>
    </w:p>
    <w:p>
      <w:pPr>
        <w:spacing w:line="400" w:lineRule="exact"/>
        <w:ind w:right="552" w:firstLine="138" w:firstLineChars="50"/>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：淄博市博山区石马水库管理所                                              金额单位：万元</w:t>
      </w:r>
    </w:p>
    <w:tbl>
      <w:tblPr>
        <w:tblStyle w:val="9"/>
        <w:tblpPr w:leftFromText="180" w:rightFromText="180" w:vertAnchor="text" w:tblpXSpec="center" w:tblpY="1"/>
        <w:tblOverlap w:val="never"/>
        <w:tblW w:w="0" w:type="auto"/>
        <w:tblInd w:w="0" w:type="dxa"/>
        <w:tblLayout w:type="fixed"/>
        <w:tblCellMar>
          <w:top w:w="0" w:type="dxa"/>
          <w:left w:w="108" w:type="dxa"/>
          <w:bottom w:w="0" w:type="dxa"/>
          <w:right w:w="108" w:type="dxa"/>
        </w:tblCellMar>
      </w:tblPr>
      <w:tblGrid>
        <w:gridCol w:w="1372"/>
        <w:gridCol w:w="56"/>
        <w:gridCol w:w="1429"/>
        <w:gridCol w:w="1731"/>
        <w:gridCol w:w="1707"/>
        <w:gridCol w:w="1708"/>
        <w:gridCol w:w="1708"/>
        <w:gridCol w:w="1708"/>
        <w:gridCol w:w="1791"/>
      </w:tblGrid>
      <w:tr>
        <w:tblPrEx>
          <w:tblCellMar>
            <w:top w:w="0" w:type="dxa"/>
            <w:left w:w="108" w:type="dxa"/>
            <w:bottom w:w="0" w:type="dxa"/>
            <w:right w:w="108" w:type="dxa"/>
          </w:tblCellMar>
        </w:tblPrEx>
        <w:trPr>
          <w:trHeight w:val="453"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1731" w:type="dxa"/>
            <w:vMerge w:val="restart"/>
            <w:tcBorders>
              <w:top w:val="single" w:color="auto" w:sz="4" w:space="0"/>
              <w:left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年初结转和结余</w:t>
            </w:r>
          </w:p>
        </w:tc>
        <w:tc>
          <w:tcPr>
            <w:tcW w:w="1707" w:type="dxa"/>
            <w:vMerge w:val="restart"/>
            <w:tcBorders>
              <w:top w:val="single" w:color="auto" w:sz="4" w:space="0"/>
              <w:left w:val="nil"/>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本年收入</w:t>
            </w:r>
          </w:p>
        </w:tc>
        <w:tc>
          <w:tcPr>
            <w:tcW w:w="5124"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c>
          <w:tcPr>
            <w:tcW w:w="1791" w:type="dxa"/>
            <w:vMerge w:val="restart"/>
            <w:tcBorders>
              <w:top w:val="single" w:color="auto" w:sz="4" w:space="0"/>
              <w:left w:val="nil"/>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年末结转和结余</w:t>
            </w:r>
          </w:p>
        </w:tc>
      </w:tr>
      <w:tr>
        <w:tblPrEx>
          <w:tblCellMar>
            <w:top w:w="0" w:type="dxa"/>
            <w:left w:w="108" w:type="dxa"/>
            <w:bottom w:w="0" w:type="dxa"/>
            <w:right w:w="108" w:type="dxa"/>
          </w:tblCellMar>
        </w:tblPrEx>
        <w:trPr>
          <w:trHeight w:val="599" w:hRule="atLeast"/>
        </w:trPr>
        <w:tc>
          <w:tcPr>
            <w:tcW w:w="1428"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  科目编码</w:t>
            </w:r>
          </w:p>
        </w:tc>
        <w:tc>
          <w:tcPr>
            <w:tcW w:w="142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1731" w:type="dxa"/>
            <w:vMerge w:val="continue"/>
            <w:tcBorders>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7" w:type="dxa"/>
            <w:vMerge w:val="continue"/>
            <w:tcBorders>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1708" w:type="dxa"/>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c>
          <w:tcPr>
            <w:tcW w:w="1791" w:type="dxa"/>
            <w:vMerge w:val="continue"/>
            <w:tcBorders>
              <w:left w:val="nil"/>
              <w:bottom w:val="single" w:color="auto" w:sz="4" w:space="0"/>
              <w:right w:val="single" w:color="auto" w:sz="4" w:space="0"/>
            </w:tcBorders>
            <w:vAlign w:val="center"/>
          </w:tcPr>
          <w:p>
            <w:pPr>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173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170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4</w:t>
            </w: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5</w:t>
            </w:r>
          </w:p>
        </w:tc>
        <w:tc>
          <w:tcPr>
            <w:tcW w:w="17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6</w:t>
            </w:r>
          </w:p>
        </w:tc>
      </w:tr>
      <w:tr>
        <w:tblPrEx>
          <w:tblCellMar>
            <w:top w:w="0" w:type="dxa"/>
            <w:left w:w="108" w:type="dxa"/>
            <w:bottom w:w="0" w:type="dxa"/>
            <w:right w:w="108" w:type="dxa"/>
          </w:tblCellMar>
        </w:tblPrEx>
        <w:trPr>
          <w:trHeight w:val="454" w:hRule="atLeast"/>
        </w:trPr>
        <w:tc>
          <w:tcPr>
            <w:tcW w:w="2857"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173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single" w:color="auto" w:sz="4" w:space="0"/>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atLeast"/>
        </w:trPr>
        <w:tc>
          <w:tcPr>
            <w:tcW w:w="1372"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485" w:type="dxa"/>
            <w:gridSpan w:val="2"/>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3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1707"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0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170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22"/>
                <w:szCs w:val="22"/>
              </w:rPr>
            </w:pPr>
          </w:p>
        </w:tc>
        <w:tc>
          <w:tcPr>
            <w:tcW w:w="1791"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本年度政府性基金预算财政拨款收入、支出及结转和结余情况。</w:t>
      </w:r>
    </w:p>
    <w:p>
      <w:pPr>
        <w:ind w:firstLine="552" w:firstLineChars="200"/>
        <w:rPr>
          <w:rFonts w:ascii="仿宋_GB2312" w:hAnsi="宋体" w:eastAsia="仿宋_GB2312"/>
          <w:sz w:val="22"/>
          <w:szCs w:val="22"/>
        </w:rPr>
      </w:pPr>
      <w:r>
        <w:rPr>
          <w:rFonts w:hint="eastAsia" w:ascii="仿宋_GB2312" w:hAnsi="宋体" w:eastAsia="仿宋_GB2312"/>
          <w:sz w:val="28"/>
          <w:szCs w:val="28"/>
        </w:rPr>
        <w:t>本部门没有政府性基金收入，也没有使用政府性基金安排的支出，故本表无数据</w:t>
      </w:r>
    </w:p>
    <w:p>
      <w:pPr>
        <w:rPr>
          <w:rFonts w:ascii="仿宋_GB2312" w:hAnsi="宋体" w:eastAsia="仿宋_GB2312"/>
          <w:sz w:val="22"/>
          <w:szCs w:val="22"/>
        </w:rPr>
      </w:pP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国有资本经营预算财政拨款支出决算表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公开09表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rPr>
        <w:t>单位：</w:t>
      </w:r>
      <w:r>
        <w:rPr>
          <w:rFonts w:hint="eastAsia" w:ascii="楷体_GB2312" w:eastAsia="楷体_GB2312"/>
          <w:sz w:val="28"/>
          <w:szCs w:val="28"/>
        </w:rPr>
        <w:t xml:space="preserve">淄博市博山区石马水库管理所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9"/>
        <w:tblW w:w="0" w:type="auto"/>
        <w:jc w:val="center"/>
        <w:tblLayout w:type="fixed"/>
        <w:tblCellMar>
          <w:top w:w="0" w:type="dxa"/>
          <w:left w:w="108" w:type="dxa"/>
          <w:bottom w:w="0" w:type="dxa"/>
          <w:right w:w="108" w:type="dxa"/>
        </w:tblCellMar>
      </w:tblPr>
      <w:tblGrid>
        <w:gridCol w:w="1701"/>
        <w:gridCol w:w="3170"/>
        <w:gridCol w:w="2783"/>
        <w:gridCol w:w="2978"/>
        <w:gridCol w:w="2520"/>
      </w:tblGrid>
      <w:tr>
        <w:tblPrEx>
          <w:tblCellMar>
            <w:top w:w="0" w:type="dxa"/>
            <w:left w:w="108" w:type="dxa"/>
            <w:bottom w:w="0" w:type="dxa"/>
            <w:right w:w="108" w:type="dxa"/>
          </w:tblCellMar>
        </w:tblPrEx>
        <w:trPr>
          <w:trHeight w:val="428" w:hRule="atLeas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8281"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r>
      <w:tr>
        <w:tblPrEx>
          <w:tblCellMar>
            <w:top w:w="0" w:type="dxa"/>
            <w:left w:w="108" w:type="dxa"/>
            <w:bottom w:w="0" w:type="dxa"/>
            <w:right w:w="108" w:type="dxa"/>
          </w:tblCellMar>
        </w:tblPrEx>
        <w:trPr>
          <w:trHeight w:val="675" w:hRule="exact"/>
          <w:jc w:val="center"/>
        </w:trPr>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科目编码</w:t>
            </w:r>
          </w:p>
        </w:tc>
        <w:tc>
          <w:tcPr>
            <w:tcW w:w="317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2978"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25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400" w:lineRule="exact"/>
        <w:ind w:firstLine="108" w:firstLineChars="50"/>
        <w:jc w:val="left"/>
        <w:rPr>
          <w:rFonts w:hint="eastAsia" w:ascii="仿宋_GB2312" w:hAnsi="宋体" w:eastAsia="仿宋_GB2312"/>
          <w:sz w:val="22"/>
          <w:szCs w:val="22"/>
        </w:rPr>
      </w:pPr>
      <w:r>
        <w:rPr>
          <w:rFonts w:hint="eastAsia" w:ascii="仿宋_GB2312" w:hAnsi="宋体" w:eastAsia="仿宋_GB2312"/>
          <w:sz w:val="22"/>
          <w:szCs w:val="22"/>
        </w:rPr>
        <w:t>注：本表反映单位</w:t>
      </w:r>
      <w:r>
        <w:rPr>
          <w:rFonts w:hint="eastAsia" w:ascii="仿宋_GB2312" w:hAnsi="宋体" w:eastAsia="仿宋_GB2312"/>
          <w:sz w:val="22"/>
          <w:szCs w:val="22"/>
        </w:rPr>
        <w:t>本年度国有资本经营预算财政拨款支出情况。</w:t>
      </w:r>
    </w:p>
    <w:p>
      <w:pPr>
        <w:spacing w:line="400" w:lineRule="exact"/>
        <w:ind w:firstLine="138" w:firstLineChars="50"/>
        <w:jc w:val="left"/>
        <w:rPr>
          <w:rFonts w:ascii="仿宋_GB2312" w:hAnsi="宋体" w:eastAsia="仿宋_GB2312"/>
          <w:sz w:val="22"/>
          <w:szCs w:val="22"/>
        </w:rPr>
      </w:pPr>
      <w:r>
        <w:rPr>
          <w:rFonts w:hint="eastAsia" w:ascii="仿宋_GB2312" w:hAnsi="宋体" w:eastAsia="仿宋_GB2312"/>
          <w:sz w:val="28"/>
          <w:szCs w:val="28"/>
        </w:rPr>
        <w:t>本部门没有使用国有资本经营预算安排的支出，故本表无数据。</w:t>
      </w:r>
    </w:p>
    <w:p>
      <w:pPr>
        <w:spacing w:line="400" w:lineRule="exact"/>
        <w:jc w:val="left"/>
        <w:rPr>
          <w:rFonts w:ascii="仿宋_GB2312" w:hAnsi="宋体" w:eastAsia="仿宋_GB2312"/>
          <w:sz w:val="22"/>
          <w:szCs w:val="22"/>
        </w:rPr>
        <w:sectPr>
          <w:pgSz w:w="16838" w:h="11906" w:orient="landscape"/>
          <w:pgMar w:top="1134" w:right="1701" w:bottom="1134" w:left="1701" w:header="0" w:footer="1418" w:gutter="0"/>
          <w:cols w:space="720" w:num="1"/>
          <w:docGrid w:type="linesAndChars" w:linePitch="610" w:charSpace="-849"/>
        </w:sect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第三部分</w:t>
      </w: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sectPr>
          <w:pgSz w:w="11906" w:h="16838"/>
          <w:pgMar w:top="1701" w:right="1531" w:bottom="1701" w:left="1531" w:header="0" w:footer="1418" w:gutter="0"/>
          <w:cols w:space="720" w:num="1"/>
          <w:docGrid w:type="linesAndChars" w:linePitch="610" w:charSpace="-849"/>
        </w:sectPr>
      </w:pPr>
      <w:r>
        <w:rPr>
          <w:rFonts w:hint="eastAsia" w:ascii="方正小标宋简体" w:eastAsia="方正小标宋简体"/>
          <w:spacing w:val="60"/>
          <w:sz w:val="48"/>
        </w:rPr>
        <w:t>2020年度单位决算情况说明</w:t>
      </w:r>
    </w:p>
    <w:p>
      <w:pPr>
        <w:spacing w:line="580" w:lineRule="exact"/>
        <w:ind w:firstLine="640" w:firstLineChars="200"/>
        <w:rPr>
          <w:rFonts w:ascii="黑体" w:hAnsi="黑体" w:eastAsia="黑体"/>
          <w:szCs w:val="32"/>
        </w:rPr>
      </w:pPr>
      <w:r>
        <w:rPr>
          <w:rFonts w:hint="eastAsia" w:ascii="黑体" w:hAnsi="黑体" w:eastAsia="黑体"/>
          <w:szCs w:val="32"/>
        </w:rPr>
        <w:t>一、收入支出决算总体情况说明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2020年度收</w:t>
      </w:r>
      <w:r>
        <w:rPr>
          <w:rFonts w:hint="eastAsia" w:ascii="仿宋_GB2312" w:eastAsia="仿宋_GB2312"/>
          <w:szCs w:val="32"/>
          <w:lang w:eastAsia="zh-CN"/>
        </w:rPr>
        <w:t>入总计</w:t>
      </w:r>
      <w:r>
        <w:rPr>
          <w:rFonts w:hint="eastAsia" w:ascii="仿宋_GB2312" w:eastAsia="仿宋_GB2312"/>
          <w:szCs w:val="32"/>
          <w:lang w:val="en-US" w:eastAsia="zh-CN"/>
        </w:rPr>
        <w:t>229.47万元</w:t>
      </w:r>
      <w:r>
        <w:rPr>
          <w:rFonts w:hint="eastAsia" w:ascii="仿宋_GB2312" w:eastAsia="仿宋_GB2312"/>
          <w:szCs w:val="32"/>
        </w:rPr>
        <w:t>、支</w:t>
      </w:r>
      <w:r>
        <w:rPr>
          <w:rFonts w:hint="eastAsia" w:ascii="仿宋_GB2312" w:eastAsia="仿宋_GB2312"/>
          <w:szCs w:val="32"/>
          <w:lang w:eastAsia="zh-CN"/>
        </w:rPr>
        <w:t>出</w:t>
      </w:r>
      <w:r>
        <w:rPr>
          <w:rFonts w:hint="eastAsia" w:ascii="仿宋_GB2312" w:eastAsia="仿宋_GB2312"/>
          <w:szCs w:val="32"/>
        </w:rPr>
        <w:t xml:space="preserve">总计 </w:t>
      </w:r>
      <w:r>
        <w:rPr>
          <w:rFonts w:hint="eastAsia" w:ascii="仿宋_GB2312" w:eastAsia="仿宋_GB2312"/>
          <w:szCs w:val="32"/>
          <w:lang w:val="en-US" w:eastAsia="zh-CN"/>
        </w:rPr>
        <w:t>229.47</w:t>
      </w:r>
      <w:r>
        <w:rPr>
          <w:rFonts w:hint="eastAsia" w:ascii="仿宋_GB2312" w:eastAsia="仿宋_GB2312"/>
          <w:szCs w:val="32"/>
        </w:rPr>
        <w:t>万元。与2019年度相比，收</w:t>
      </w:r>
      <w:r>
        <w:rPr>
          <w:rFonts w:hint="eastAsia" w:ascii="仿宋_GB2312" w:eastAsia="仿宋_GB2312"/>
          <w:szCs w:val="32"/>
          <w:lang w:eastAsia="zh-CN"/>
        </w:rPr>
        <w:t>入总计减少</w:t>
      </w:r>
      <w:r>
        <w:rPr>
          <w:rFonts w:hint="eastAsia" w:ascii="仿宋_GB2312" w:eastAsia="仿宋_GB2312"/>
          <w:szCs w:val="32"/>
          <w:lang w:val="en-US" w:eastAsia="zh-CN"/>
        </w:rPr>
        <w:t>65.39万元</w:t>
      </w:r>
      <w:r>
        <w:rPr>
          <w:rFonts w:hint="eastAsia" w:ascii="仿宋_GB2312" w:eastAsia="仿宋_GB2312"/>
          <w:szCs w:val="32"/>
        </w:rPr>
        <w:t>、</w:t>
      </w:r>
      <w:r>
        <w:rPr>
          <w:rFonts w:hint="eastAsia" w:ascii="仿宋_GB2312" w:eastAsia="仿宋_GB2312"/>
          <w:szCs w:val="32"/>
          <w:lang w:eastAsia="zh-CN"/>
        </w:rPr>
        <w:t>下降</w:t>
      </w:r>
      <w:r>
        <w:rPr>
          <w:rFonts w:hint="eastAsia" w:ascii="仿宋_GB2312" w:eastAsia="仿宋_GB2312"/>
          <w:szCs w:val="32"/>
          <w:lang w:val="en-US" w:eastAsia="zh-CN"/>
        </w:rPr>
        <w:t>22.18%,</w:t>
      </w:r>
      <w:r>
        <w:rPr>
          <w:rFonts w:hint="eastAsia" w:ascii="仿宋_GB2312" w:eastAsia="仿宋_GB2312"/>
          <w:szCs w:val="32"/>
        </w:rPr>
        <w:t>支</w:t>
      </w:r>
      <w:r>
        <w:rPr>
          <w:rFonts w:hint="eastAsia" w:ascii="仿宋_GB2312" w:eastAsia="仿宋_GB2312"/>
          <w:szCs w:val="32"/>
          <w:lang w:eastAsia="zh-CN"/>
        </w:rPr>
        <w:t>出</w:t>
      </w:r>
      <w:r>
        <w:rPr>
          <w:rFonts w:hint="eastAsia" w:ascii="仿宋_GB2312" w:eastAsia="仿宋_GB2312"/>
          <w:szCs w:val="32"/>
        </w:rPr>
        <w:t>总计减少</w:t>
      </w:r>
      <w:r>
        <w:rPr>
          <w:rFonts w:hint="eastAsia" w:ascii="仿宋_GB2312" w:eastAsia="仿宋_GB2312"/>
          <w:szCs w:val="32"/>
          <w:lang w:val="en-US" w:eastAsia="zh-CN"/>
        </w:rPr>
        <w:t>74.9</w:t>
      </w:r>
      <w:r>
        <w:rPr>
          <w:rFonts w:hint="eastAsia" w:ascii="仿宋_GB2312" w:eastAsia="仿宋_GB2312"/>
          <w:szCs w:val="32"/>
        </w:rPr>
        <w:t>万元，下降</w:t>
      </w:r>
      <w:r>
        <w:rPr>
          <w:rFonts w:hint="eastAsia" w:ascii="仿宋_GB2312" w:eastAsia="仿宋_GB2312"/>
          <w:szCs w:val="32"/>
          <w:lang w:val="en-US" w:eastAsia="zh-CN"/>
        </w:rPr>
        <w:t>24.6</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rPr>
      </w:pPr>
      <w:r>
        <w:rPr>
          <w:rFonts w:hint="eastAsia" w:ascii="仿宋_GB2312" w:eastAsia="仿宋_GB2312"/>
          <w:szCs w:val="32"/>
          <w:lang w:eastAsia="zh-CN"/>
        </w:rPr>
        <w:drawing>
          <wp:anchor distT="0" distB="0" distL="114300" distR="114300" simplePos="0" relativeHeight="251659264" behindDoc="0" locked="0" layoutInCell="1" allowOverlap="1">
            <wp:simplePos x="0" y="0"/>
            <wp:positionH relativeFrom="column">
              <wp:posOffset>296545</wp:posOffset>
            </wp:positionH>
            <wp:positionV relativeFrom="paragraph">
              <wp:posOffset>128270</wp:posOffset>
            </wp:positionV>
            <wp:extent cx="5080000" cy="3810000"/>
            <wp:effectExtent l="4445" t="4445" r="5715" b="1079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hint="eastAsia" w:ascii="仿宋_GB2312" w:eastAsia="仿宋_GB2312"/>
          <w:szCs w:val="32"/>
        </w:rPr>
      </w:pPr>
    </w:p>
    <w:p>
      <w:pPr>
        <w:spacing w:line="580" w:lineRule="exact"/>
        <w:ind w:firstLine="640" w:firstLineChars="200"/>
        <w:rPr>
          <w:rFonts w:ascii="黑体" w:hAnsi="黑体" w:eastAsia="黑体"/>
          <w:szCs w:val="32"/>
        </w:rPr>
      </w:pPr>
      <w:r>
        <w:rPr>
          <w:rFonts w:hint="eastAsia" w:ascii="黑体" w:hAnsi="黑体" w:eastAsia="黑体"/>
          <w:szCs w:val="32"/>
        </w:rPr>
        <w:t>二、收入决算情况说明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（一）收入决算结构情况 </w:t>
      </w:r>
    </w:p>
    <w:p>
      <w:pPr>
        <w:spacing w:line="580" w:lineRule="exact"/>
        <w:ind w:firstLine="640" w:firstLineChars="200"/>
        <w:rPr>
          <w:rFonts w:hint="eastAsia" w:ascii="仿宋_GB2312" w:eastAsia="仿宋_GB2312"/>
          <w:szCs w:val="32"/>
          <w:lang w:eastAsia="zh-CN"/>
        </w:rPr>
      </w:pPr>
      <w:r>
        <w:rPr>
          <w:rFonts w:hint="eastAsia" w:ascii="仿宋_GB2312" w:eastAsia="仿宋_GB2312"/>
          <w:szCs w:val="32"/>
        </w:rPr>
        <w:t xml:space="preserve">本年收入合计 </w:t>
      </w:r>
      <w:r>
        <w:rPr>
          <w:rFonts w:hint="eastAsia" w:ascii="仿宋_GB2312" w:eastAsia="仿宋_GB2312"/>
          <w:szCs w:val="32"/>
          <w:lang w:val="en-US" w:eastAsia="zh-CN"/>
        </w:rPr>
        <w:t>217.8</w:t>
      </w:r>
      <w:r>
        <w:rPr>
          <w:rFonts w:hint="eastAsia" w:ascii="仿宋_GB2312" w:eastAsia="仿宋_GB2312"/>
          <w:szCs w:val="32"/>
        </w:rPr>
        <w:t>万元，其中：财政拨款收入</w:t>
      </w:r>
      <w:r>
        <w:rPr>
          <w:rFonts w:hint="eastAsia" w:ascii="仿宋_GB2312" w:eastAsia="仿宋_GB2312"/>
          <w:szCs w:val="32"/>
          <w:lang w:val="en-US" w:eastAsia="zh-CN"/>
        </w:rPr>
        <w:t>217.8</w:t>
      </w:r>
      <w:r>
        <w:rPr>
          <w:rFonts w:hint="eastAsia" w:ascii="仿宋_GB2312" w:eastAsia="仿宋_GB2312"/>
          <w:szCs w:val="32"/>
        </w:rPr>
        <w:t>万元，占</w:t>
      </w:r>
      <w:r>
        <w:rPr>
          <w:rFonts w:hint="eastAsia" w:ascii="仿宋_GB2312" w:eastAsia="仿宋_GB2312"/>
          <w:szCs w:val="32"/>
          <w:lang w:val="en-US" w:eastAsia="zh-CN"/>
        </w:rPr>
        <w:t>100</w:t>
      </w:r>
      <w:r>
        <w:rPr>
          <w:rFonts w:hint="eastAsia" w:ascii="仿宋_GB2312" w:eastAsia="仿宋_GB2312"/>
          <w:szCs w:val="32"/>
        </w:rPr>
        <w:t>%；上级补助收入</w:t>
      </w:r>
      <w:r>
        <w:rPr>
          <w:rFonts w:hint="eastAsia" w:ascii="仿宋_GB2312" w:eastAsia="仿宋_GB2312"/>
          <w:szCs w:val="32"/>
          <w:lang w:val="en-US" w:eastAsia="zh-CN"/>
        </w:rPr>
        <w:t>0</w:t>
      </w:r>
      <w:r>
        <w:rPr>
          <w:rFonts w:hint="eastAsia" w:ascii="仿宋_GB2312" w:eastAsia="仿宋_GB2312"/>
          <w:szCs w:val="32"/>
        </w:rPr>
        <w:t>万元，占</w:t>
      </w:r>
      <w:r>
        <w:rPr>
          <w:rFonts w:hint="eastAsia" w:ascii="仿宋_GB2312" w:eastAsia="仿宋_GB2312"/>
          <w:szCs w:val="32"/>
          <w:lang w:val="en-US" w:eastAsia="zh-CN"/>
        </w:rPr>
        <w:t>0</w:t>
      </w:r>
      <w:r>
        <w:rPr>
          <w:rFonts w:hint="eastAsia" w:ascii="仿宋_GB2312" w:eastAsia="仿宋_GB2312"/>
          <w:szCs w:val="32"/>
        </w:rPr>
        <w:t>%</w:t>
      </w:r>
      <w:r>
        <w:rPr>
          <w:rFonts w:hint="eastAsia" w:ascii="仿宋_GB2312" w:eastAsia="仿宋_GB2312"/>
          <w:szCs w:val="32"/>
          <w:lang w:eastAsia="zh-CN"/>
        </w:rPr>
        <w:t>。</w:t>
      </w: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r>
        <w:rPr>
          <w:rFonts w:hint="eastAsia" w:ascii="仿宋_GB2312" w:eastAsia="仿宋_GB2312"/>
          <w:b/>
          <w:szCs w:val="32"/>
          <w:lang w:eastAsia="zh-CN"/>
        </w:rPr>
        <w:drawing>
          <wp:anchor distT="0" distB="0" distL="114300" distR="114300" simplePos="0" relativeHeight="251660288" behindDoc="0" locked="0" layoutInCell="1" allowOverlap="1">
            <wp:simplePos x="0" y="0"/>
            <wp:positionH relativeFrom="column">
              <wp:posOffset>410845</wp:posOffset>
            </wp:positionH>
            <wp:positionV relativeFrom="paragraph">
              <wp:posOffset>131445</wp:posOffset>
            </wp:positionV>
            <wp:extent cx="4413885" cy="3143885"/>
            <wp:effectExtent l="4445" t="4445" r="16510" b="635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3" w:firstLineChars="200"/>
        <w:rPr>
          <w:rFonts w:ascii="仿宋_GB2312" w:eastAsia="仿宋_GB2312"/>
          <w:b/>
          <w:szCs w:val="32"/>
        </w:rPr>
      </w:pPr>
    </w:p>
    <w:p>
      <w:pPr>
        <w:spacing w:line="580" w:lineRule="exact"/>
        <w:ind w:firstLine="640" w:firstLineChars="200"/>
        <w:rPr>
          <w:rFonts w:hint="eastAsia" w:ascii="仿宋_GB2312" w:eastAsia="仿宋_GB2312"/>
          <w:szCs w:val="32"/>
        </w:rPr>
      </w:pPr>
      <w:r>
        <w:rPr>
          <w:rFonts w:hint="eastAsia" w:ascii="仿宋_GB2312" w:eastAsia="仿宋_GB2312"/>
          <w:szCs w:val="32"/>
        </w:rPr>
        <w:t>（二）收入决算具体情况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 xml:space="preserve">1、财政拨款收入 </w:t>
      </w:r>
      <w:r>
        <w:rPr>
          <w:rFonts w:hint="eastAsia" w:ascii="仿宋_GB2312" w:eastAsia="仿宋_GB2312"/>
          <w:szCs w:val="32"/>
          <w:lang w:val="en-US" w:eastAsia="zh-CN"/>
        </w:rPr>
        <w:t>217.8</w:t>
      </w:r>
      <w:r>
        <w:rPr>
          <w:rFonts w:hint="eastAsia" w:ascii="仿宋_GB2312" w:eastAsia="仿宋_GB2312"/>
          <w:szCs w:val="32"/>
        </w:rPr>
        <w:t>万元。与2019年度相比，减少</w:t>
      </w:r>
      <w:r>
        <w:rPr>
          <w:rFonts w:hint="eastAsia" w:ascii="仿宋_GB2312" w:eastAsia="仿宋_GB2312"/>
          <w:szCs w:val="32"/>
          <w:lang w:val="en-US" w:eastAsia="zh-CN"/>
        </w:rPr>
        <w:t>77.06</w:t>
      </w:r>
      <w:r>
        <w:rPr>
          <w:rFonts w:hint="eastAsia" w:ascii="仿宋_GB2312" w:eastAsia="仿宋_GB2312"/>
          <w:szCs w:val="32"/>
        </w:rPr>
        <w:t>万元，下降</w:t>
      </w:r>
      <w:r>
        <w:rPr>
          <w:rFonts w:hint="eastAsia" w:ascii="仿宋_GB2312" w:eastAsia="仿宋_GB2312"/>
          <w:szCs w:val="32"/>
          <w:lang w:val="en-US" w:eastAsia="zh-CN"/>
        </w:rPr>
        <w:t>26.13</w:t>
      </w:r>
      <w:r>
        <w:rPr>
          <w:rFonts w:hint="eastAsia" w:ascii="仿宋_GB2312" w:eastAsia="仿宋_GB2312"/>
          <w:szCs w:val="32"/>
        </w:rPr>
        <w:t>%。主要是</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rPr>
      </w:pPr>
      <w:r>
        <w:rPr>
          <w:rFonts w:hint="eastAsia" w:ascii="仿宋_GB2312" w:eastAsia="仿宋_GB2312"/>
          <w:szCs w:val="32"/>
        </w:rPr>
        <w:t>2、上级补助收入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p>
    <w:p>
      <w:pPr>
        <w:spacing w:line="580" w:lineRule="exact"/>
        <w:ind w:firstLine="640" w:firstLineChars="200"/>
        <w:rPr>
          <w:rFonts w:hint="eastAsia" w:ascii="仿宋_GB2312" w:eastAsia="仿宋_GB2312"/>
          <w:szCs w:val="32"/>
        </w:rPr>
      </w:pPr>
      <w:r>
        <w:rPr>
          <w:rFonts w:hint="eastAsia" w:ascii="仿宋_GB2312" w:eastAsia="仿宋_GB2312"/>
          <w:szCs w:val="32"/>
        </w:rPr>
        <w:t>3、事业收入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4、经营收入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5、附属单位上缴收入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r>
        <w:rPr>
          <w:rFonts w:hint="eastAsia" w:ascii="仿宋_GB2312" w:eastAsia="仿宋_GB2312"/>
          <w:szCs w:val="32"/>
        </w:rPr>
        <w:t>。</w:t>
      </w:r>
    </w:p>
    <w:p>
      <w:pPr>
        <w:spacing w:line="580" w:lineRule="exact"/>
        <w:ind w:firstLine="640" w:firstLineChars="200"/>
        <w:rPr>
          <w:rFonts w:ascii="仿宋_GB2312" w:eastAsia="仿宋_GB2312"/>
          <w:b/>
          <w:szCs w:val="32"/>
        </w:rPr>
      </w:pPr>
      <w:r>
        <w:rPr>
          <w:rFonts w:hint="eastAsia" w:ascii="仿宋_GB2312" w:eastAsia="仿宋_GB2312"/>
          <w:szCs w:val="32"/>
        </w:rPr>
        <w:t>6、其他收入</w:t>
      </w:r>
      <w:r>
        <w:rPr>
          <w:rFonts w:hint="eastAsia" w:ascii="仿宋_GB2312" w:eastAsia="仿宋_GB2312"/>
          <w:szCs w:val="32"/>
          <w:lang w:val="en-US" w:eastAsia="zh-CN"/>
        </w:rPr>
        <w:t>0</w:t>
      </w:r>
      <w:r>
        <w:rPr>
          <w:rFonts w:hint="eastAsia" w:ascii="仿宋_GB2312" w:eastAsia="仿宋_GB2312"/>
          <w:szCs w:val="32"/>
        </w:rPr>
        <w:t>万元。与2019年度</w:t>
      </w:r>
      <w:r>
        <w:rPr>
          <w:rFonts w:hint="eastAsia" w:ascii="仿宋_GB2312" w:eastAsia="仿宋_GB2312"/>
          <w:szCs w:val="32"/>
          <w:lang w:eastAsia="zh-CN"/>
        </w:rPr>
        <w:t>持平。</w:t>
      </w:r>
    </w:p>
    <w:p>
      <w:pPr>
        <w:spacing w:line="580" w:lineRule="exact"/>
        <w:ind w:firstLine="640" w:firstLineChars="200"/>
        <w:rPr>
          <w:rFonts w:ascii="黑体" w:hAnsi="黑体" w:eastAsia="黑体"/>
          <w:szCs w:val="32"/>
        </w:rPr>
      </w:pPr>
      <w:r>
        <w:rPr>
          <w:rFonts w:hint="eastAsia" w:ascii="黑体" w:hAnsi="黑体" w:eastAsia="黑体"/>
          <w:szCs w:val="32"/>
        </w:rPr>
        <w:t>三、支出决算情况说明</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（一）支出决算结构情况</w:t>
      </w:r>
    </w:p>
    <w:p>
      <w:pPr>
        <w:spacing w:line="580" w:lineRule="exact"/>
        <w:ind w:firstLine="640" w:firstLineChars="200"/>
        <w:rPr>
          <w:rFonts w:ascii="仿宋_GB2312" w:eastAsia="仿宋_GB2312"/>
          <w:szCs w:val="32"/>
        </w:rPr>
      </w:pPr>
      <w:r>
        <w:rPr>
          <w:rFonts w:hint="eastAsia" w:ascii="仿宋_GB2312" w:eastAsia="仿宋_GB2312"/>
          <w:szCs w:val="32"/>
        </w:rPr>
        <w:t>本年支出合计</w:t>
      </w:r>
      <w:r>
        <w:rPr>
          <w:rFonts w:hint="eastAsia" w:ascii="仿宋_GB2312" w:eastAsia="仿宋_GB2312"/>
          <w:szCs w:val="32"/>
          <w:lang w:val="en-US" w:eastAsia="zh-CN"/>
        </w:rPr>
        <w:t>211.84</w:t>
      </w:r>
      <w:r>
        <w:rPr>
          <w:rFonts w:hint="eastAsia" w:ascii="仿宋_GB2312" w:eastAsia="仿宋_GB2312"/>
          <w:szCs w:val="32"/>
        </w:rPr>
        <w:t>万元，其中：基本支出</w:t>
      </w:r>
      <w:r>
        <w:rPr>
          <w:rFonts w:hint="eastAsia" w:ascii="仿宋_GB2312" w:eastAsia="仿宋_GB2312"/>
          <w:szCs w:val="32"/>
          <w:lang w:val="en-US" w:eastAsia="zh-CN"/>
        </w:rPr>
        <w:t>130.55</w:t>
      </w:r>
      <w:r>
        <w:rPr>
          <w:rFonts w:hint="eastAsia" w:ascii="仿宋_GB2312" w:eastAsia="仿宋_GB2312"/>
          <w:szCs w:val="32"/>
        </w:rPr>
        <w:t>万元，占</w:t>
      </w:r>
      <w:r>
        <w:rPr>
          <w:rFonts w:hint="eastAsia" w:ascii="仿宋_GB2312" w:eastAsia="仿宋_GB2312"/>
          <w:szCs w:val="32"/>
          <w:lang w:val="en-US" w:eastAsia="zh-CN"/>
        </w:rPr>
        <w:t>62</w:t>
      </w:r>
      <w:r>
        <w:rPr>
          <w:rFonts w:hint="eastAsia" w:ascii="仿宋_GB2312" w:eastAsia="仿宋_GB2312"/>
          <w:szCs w:val="32"/>
        </w:rPr>
        <w:t>%；项目支出</w:t>
      </w:r>
      <w:r>
        <w:rPr>
          <w:rFonts w:hint="eastAsia" w:ascii="仿宋_GB2312" w:eastAsia="仿宋_GB2312"/>
          <w:szCs w:val="32"/>
          <w:lang w:val="en-US" w:eastAsia="zh-CN"/>
        </w:rPr>
        <w:t>81.29</w:t>
      </w:r>
      <w:r>
        <w:rPr>
          <w:rFonts w:hint="eastAsia" w:ascii="仿宋_GB2312" w:eastAsia="仿宋_GB2312"/>
          <w:szCs w:val="32"/>
        </w:rPr>
        <w:t>万元，占</w:t>
      </w:r>
      <w:r>
        <w:rPr>
          <w:rFonts w:hint="eastAsia" w:ascii="仿宋_GB2312" w:eastAsia="仿宋_GB2312"/>
          <w:szCs w:val="32"/>
          <w:lang w:val="en-US" w:eastAsia="zh-CN"/>
        </w:rPr>
        <w:t>38</w:t>
      </w:r>
      <w:r>
        <w:rPr>
          <w:rFonts w:hint="eastAsia" w:ascii="仿宋_GB2312" w:eastAsia="仿宋_GB2312"/>
          <w:szCs w:val="32"/>
        </w:rPr>
        <w:t>%。</w:t>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r>
        <w:rPr>
          <w:rFonts w:hint="eastAsia" w:ascii="仿宋_GB2312" w:eastAsia="仿宋_GB2312"/>
          <w:b/>
          <w:szCs w:val="32"/>
          <w:lang w:eastAsia="zh-CN"/>
        </w:rPr>
        <w:drawing>
          <wp:anchor distT="0" distB="0" distL="114300" distR="114300" simplePos="0" relativeHeight="251661312" behindDoc="0" locked="0" layoutInCell="1" allowOverlap="1">
            <wp:simplePos x="0" y="0"/>
            <wp:positionH relativeFrom="column">
              <wp:posOffset>429895</wp:posOffset>
            </wp:positionH>
            <wp:positionV relativeFrom="paragraph">
              <wp:posOffset>36195</wp:posOffset>
            </wp:positionV>
            <wp:extent cx="4765675" cy="3114675"/>
            <wp:effectExtent l="4445" t="4445" r="15240" b="508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eastAsia="仿宋_GB2312"/>
          <w:b/>
          <w:szCs w:val="32"/>
        </w:rPr>
        <w:t xml:space="preserve"> </w:t>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（二）支出决算具体情况</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1、基本支出130.55万元。与2019年度相比，减少5.04万元，下降3.7%。人员支出减少。</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2、项目支出81.29万元。与2019年度相比，减少87.49万元，下降51.84%。主要是项目支出减少。</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3、上缴上级支出0万元。与2019年度持平。</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4、经营支出0万元。与2019年度持平。</w:t>
      </w:r>
    </w:p>
    <w:p>
      <w:pPr>
        <w:spacing w:line="580" w:lineRule="exact"/>
        <w:ind w:firstLine="640" w:firstLineChars="200"/>
        <w:rPr>
          <w:rFonts w:hint="eastAsia" w:ascii="仿宋_GB2312" w:eastAsia="仿宋_GB2312"/>
          <w:szCs w:val="32"/>
          <w:lang w:val="en-US" w:eastAsia="zh-CN"/>
        </w:rPr>
      </w:pPr>
      <w:r>
        <w:rPr>
          <w:rFonts w:hint="eastAsia" w:ascii="仿宋_GB2312" w:eastAsia="仿宋_GB2312"/>
          <w:szCs w:val="32"/>
          <w:lang w:val="en-US" w:eastAsia="zh-CN"/>
        </w:rPr>
        <w:t>5、对附属单位补助支出0万元。与2019年度持平。</w:t>
      </w:r>
    </w:p>
    <w:p>
      <w:pPr>
        <w:spacing w:line="580" w:lineRule="exact"/>
        <w:ind w:firstLine="640" w:firstLineChars="200"/>
        <w:rPr>
          <w:rFonts w:ascii="黑体" w:hAnsi="黑体" w:eastAsia="黑体"/>
          <w:szCs w:val="32"/>
        </w:rPr>
      </w:pPr>
      <w:r>
        <w:rPr>
          <w:rFonts w:hint="eastAsia" w:ascii="黑体" w:hAnsi="黑体" w:eastAsia="黑体"/>
          <w:szCs w:val="32"/>
        </w:rPr>
        <w:t>四、财政拨款收入支出决算总体情况说明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2020年度财政拨款收</w:t>
      </w:r>
      <w:r>
        <w:rPr>
          <w:rFonts w:hint="eastAsia" w:ascii="仿宋_GB2312" w:eastAsia="仿宋_GB2312"/>
          <w:szCs w:val="32"/>
          <w:lang w:eastAsia="zh-CN"/>
        </w:rPr>
        <w:t>入总计</w:t>
      </w:r>
      <w:r>
        <w:rPr>
          <w:rFonts w:hint="eastAsia" w:ascii="仿宋_GB2312" w:eastAsia="仿宋_GB2312"/>
          <w:szCs w:val="32"/>
          <w:lang w:val="en-US" w:eastAsia="zh-CN"/>
        </w:rPr>
        <w:t>229.47万</w:t>
      </w:r>
      <w:r>
        <w:rPr>
          <w:rFonts w:hint="eastAsia" w:ascii="仿宋_GB2312" w:eastAsia="仿宋_GB2312"/>
          <w:szCs w:val="32"/>
        </w:rPr>
        <w:t>、支</w:t>
      </w:r>
      <w:r>
        <w:rPr>
          <w:rFonts w:hint="eastAsia" w:ascii="仿宋_GB2312" w:eastAsia="仿宋_GB2312"/>
          <w:szCs w:val="32"/>
          <w:lang w:eastAsia="zh-CN"/>
        </w:rPr>
        <w:t>出</w:t>
      </w:r>
      <w:r>
        <w:rPr>
          <w:rFonts w:hint="eastAsia" w:ascii="仿宋_GB2312" w:eastAsia="仿宋_GB2312"/>
          <w:szCs w:val="32"/>
        </w:rPr>
        <w:t>总计</w:t>
      </w:r>
      <w:r>
        <w:rPr>
          <w:rFonts w:hint="eastAsia" w:ascii="仿宋_GB2312" w:eastAsia="仿宋_GB2312"/>
          <w:szCs w:val="32"/>
          <w:lang w:val="en-US" w:eastAsia="zh-CN"/>
        </w:rPr>
        <w:t>229.47</w:t>
      </w:r>
      <w:r>
        <w:rPr>
          <w:rFonts w:hint="eastAsia" w:ascii="仿宋_GB2312" w:eastAsia="仿宋_GB2312"/>
          <w:szCs w:val="32"/>
        </w:rPr>
        <w:t>万元。与2019年度相比，财政拨款收</w:t>
      </w:r>
      <w:r>
        <w:rPr>
          <w:rFonts w:hint="eastAsia" w:ascii="仿宋_GB2312" w:eastAsia="仿宋_GB2312"/>
          <w:szCs w:val="32"/>
          <w:lang w:eastAsia="zh-CN"/>
        </w:rPr>
        <w:t>入减少</w:t>
      </w:r>
      <w:r>
        <w:rPr>
          <w:rFonts w:hint="eastAsia" w:ascii="仿宋_GB2312" w:eastAsia="仿宋_GB2312"/>
          <w:szCs w:val="32"/>
          <w:lang w:val="en-US" w:eastAsia="zh-CN"/>
        </w:rPr>
        <w:t>65.39万元</w:t>
      </w:r>
      <w:r>
        <w:rPr>
          <w:rFonts w:hint="eastAsia" w:ascii="仿宋_GB2312" w:eastAsia="仿宋_GB2312"/>
          <w:szCs w:val="32"/>
        </w:rPr>
        <w:t>、支</w:t>
      </w:r>
      <w:r>
        <w:rPr>
          <w:rFonts w:hint="eastAsia" w:ascii="仿宋_GB2312" w:eastAsia="仿宋_GB2312"/>
          <w:szCs w:val="32"/>
          <w:lang w:eastAsia="zh-CN"/>
        </w:rPr>
        <w:t>出</w:t>
      </w:r>
      <w:r>
        <w:rPr>
          <w:rFonts w:hint="eastAsia" w:ascii="仿宋_GB2312" w:eastAsia="仿宋_GB2312"/>
          <w:szCs w:val="32"/>
        </w:rPr>
        <w:t>减少</w:t>
      </w:r>
      <w:r>
        <w:rPr>
          <w:rFonts w:hint="eastAsia" w:ascii="仿宋_GB2312" w:eastAsia="仿宋_GB2312"/>
          <w:szCs w:val="32"/>
          <w:lang w:val="en-US" w:eastAsia="zh-CN"/>
        </w:rPr>
        <w:t>74.9</w:t>
      </w:r>
      <w:r>
        <w:rPr>
          <w:rFonts w:hint="eastAsia" w:ascii="仿宋_GB2312" w:eastAsia="仿宋_GB2312"/>
          <w:szCs w:val="32"/>
        </w:rPr>
        <w:t>万元，</w:t>
      </w:r>
      <w:r>
        <w:rPr>
          <w:rFonts w:hint="eastAsia" w:ascii="仿宋_GB2312" w:eastAsia="仿宋_GB2312"/>
          <w:szCs w:val="32"/>
          <w:lang w:eastAsia="zh-CN"/>
        </w:rPr>
        <w:t>财政拨款收入</w:t>
      </w:r>
      <w:r>
        <w:rPr>
          <w:rFonts w:hint="eastAsia" w:ascii="仿宋_GB2312" w:eastAsia="仿宋_GB2312"/>
          <w:szCs w:val="32"/>
        </w:rPr>
        <w:t>下降</w:t>
      </w:r>
      <w:r>
        <w:rPr>
          <w:rFonts w:hint="eastAsia" w:ascii="仿宋_GB2312" w:eastAsia="仿宋_GB2312"/>
          <w:szCs w:val="32"/>
          <w:lang w:val="en-US" w:eastAsia="zh-CN"/>
        </w:rPr>
        <w:t>22.18</w:t>
      </w:r>
      <w:r>
        <w:rPr>
          <w:rFonts w:hint="eastAsia" w:ascii="仿宋_GB2312" w:eastAsia="仿宋_GB2312"/>
          <w:szCs w:val="32"/>
        </w:rPr>
        <w:t>%、支</w:t>
      </w:r>
      <w:r>
        <w:rPr>
          <w:rFonts w:hint="eastAsia" w:ascii="仿宋_GB2312" w:eastAsia="仿宋_GB2312"/>
          <w:szCs w:val="32"/>
          <w:lang w:eastAsia="zh-CN"/>
        </w:rPr>
        <w:t>出下降</w:t>
      </w:r>
      <w:r>
        <w:rPr>
          <w:rFonts w:hint="eastAsia" w:ascii="仿宋_GB2312" w:eastAsia="仿宋_GB2312"/>
          <w:szCs w:val="32"/>
          <w:lang w:val="en-US" w:eastAsia="zh-CN"/>
        </w:rPr>
        <w:t>24.61%，</w:t>
      </w:r>
      <w:r>
        <w:rPr>
          <w:rFonts w:hint="eastAsia" w:ascii="仿宋_GB2312" w:eastAsia="仿宋_GB2312"/>
          <w:szCs w:val="32"/>
        </w:rPr>
        <w:t>主要</w:t>
      </w:r>
      <w:r>
        <w:rPr>
          <w:rFonts w:hint="eastAsia" w:ascii="仿宋_GB2312" w:eastAsia="仿宋_GB2312"/>
          <w:szCs w:val="32"/>
          <w:lang w:eastAsia="zh-CN"/>
        </w:rPr>
        <w:t>项目支出</w:t>
      </w:r>
      <w:r>
        <w:rPr>
          <w:rFonts w:hint="eastAsia" w:ascii="仿宋_GB2312" w:eastAsia="仿宋_GB2312"/>
          <w:szCs w:val="32"/>
        </w:rPr>
        <w:t>减少。</w:t>
      </w:r>
    </w:p>
    <w:p>
      <w:pPr>
        <w:spacing w:line="580" w:lineRule="exact"/>
        <w:ind w:firstLine="640" w:firstLineChars="200"/>
        <w:rPr>
          <w:rFonts w:hint="eastAsia" w:ascii="仿宋_GB2312" w:eastAsia="仿宋_GB2312"/>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tabs>
          <w:tab w:val="left" w:pos="5886"/>
        </w:tabs>
        <w:spacing w:line="580" w:lineRule="exact"/>
        <w:rPr>
          <w:rFonts w:hint="eastAsia" w:ascii="仿宋_GB2312" w:eastAsia="仿宋_GB2312"/>
          <w:b/>
          <w:szCs w:val="32"/>
          <w:lang w:eastAsia="zh-CN"/>
        </w:rPr>
      </w:pPr>
      <w:r>
        <w:rPr>
          <w:rFonts w:hint="eastAsia" w:ascii="仿宋_GB2312" w:eastAsia="仿宋_GB2312"/>
          <w:b/>
          <w:szCs w:val="32"/>
          <w:lang w:eastAsia="zh-CN"/>
        </w:rPr>
        <w:tab/>
      </w: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rPr>
      </w:pPr>
    </w:p>
    <w:p>
      <w:pPr>
        <w:spacing w:line="580" w:lineRule="exact"/>
        <w:rPr>
          <w:rFonts w:hint="eastAsia" w:ascii="仿宋_GB2312" w:eastAsia="仿宋_GB2312"/>
          <w:b/>
          <w:szCs w:val="32"/>
          <w:lang w:eastAsia="zh-CN"/>
        </w:rPr>
      </w:pPr>
      <w:r>
        <w:rPr>
          <w:rFonts w:hint="eastAsia" w:ascii="仿宋_GB2312" w:eastAsia="仿宋_GB2312"/>
          <w:b/>
          <w:szCs w:val="32"/>
          <w:lang w:eastAsia="zh-CN"/>
        </w:rPr>
        <w:drawing>
          <wp:anchor distT="0" distB="0" distL="114300" distR="114300" simplePos="0" relativeHeight="251665408" behindDoc="0" locked="0" layoutInCell="1" allowOverlap="1">
            <wp:simplePos x="0" y="0"/>
            <wp:positionH relativeFrom="column">
              <wp:posOffset>4445</wp:posOffset>
            </wp:positionH>
            <wp:positionV relativeFrom="paragraph">
              <wp:posOffset>-3526155</wp:posOffset>
            </wp:positionV>
            <wp:extent cx="5080000" cy="3810000"/>
            <wp:effectExtent l="4445" t="4445" r="5715" b="10795"/>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580" w:lineRule="exact"/>
        <w:rPr>
          <w:rFonts w:hint="eastAsia" w:ascii="仿宋_GB2312" w:eastAsia="仿宋_GB2312"/>
          <w:b/>
          <w:szCs w:val="32"/>
        </w:rPr>
      </w:pPr>
    </w:p>
    <w:p>
      <w:pPr>
        <w:spacing w:line="580" w:lineRule="exact"/>
        <w:ind w:firstLine="643" w:firstLineChars="200"/>
        <w:rPr>
          <w:rFonts w:ascii="黑体" w:hAnsi="黑体" w:eastAsia="黑体"/>
          <w:szCs w:val="32"/>
        </w:rPr>
      </w:pPr>
      <w:r>
        <w:rPr>
          <w:rFonts w:hint="eastAsia" w:ascii="仿宋_GB2312" w:eastAsia="仿宋_GB2312"/>
          <w:b/>
          <w:szCs w:val="32"/>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-3526155</wp:posOffset>
            </wp:positionV>
            <wp:extent cx="5004435" cy="2781300"/>
            <wp:effectExtent l="4445" t="4445" r="5080" b="1841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黑体" w:hAnsi="黑体" w:eastAsia="黑体"/>
          <w:szCs w:val="32"/>
        </w:rPr>
        <w:t>五、一般公共预算财政拨款支出决算情况说明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（一）一般公共预算财政拨款支出决算总体情况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211.84</w:t>
      </w:r>
      <w:r>
        <w:rPr>
          <w:rFonts w:hint="eastAsia" w:ascii="仿宋_GB2312" w:eastAsia="仿宋_GB2312"/>
          <w:szCs w:val="32"/>
        </w:rPr>
        <w:t>万元，占本年支出合计的</w:t>
      </w:r>
      <w:r>
        <w:rPr>
          <w:rFonts w:hint="eastAsia" w:ascii="仿宋_GB2312" w:eastAsia="仿宋_GB2312"/>
          <w:szCs w:val="32"/>
          <w:lang w:val="en-US" w:eastAsia="zh-CN"/>
        </w:rPr>
        <w:t>100</w:t>
      </w:r>
      <w:r>
        <w:rPr>
          <w:rFonts w:hint="eastAsia" w:ascii="仿宋_GB2312" w:eastAsia="仿宋_GB2312"/>
          <w:szCs w:val="32"/>
        </w:rPr>
        <w:t>%。与2019年度相比，一般公共预算财政拨款支出减少</w:t>
      </w:r>
      <w:r>
        <w:rPr>
          <w:rFonts w:hint="eastAsia" w:ascii="仿宋_GB2312" w:eastAsia="仿宋_GB2312"/>
          <w:szCs w:val="32"/>
          <w:lang w:val="en-US" w:eastAsia="zh-CN"/>
        </w:rPr>
        <w:t>92.53</w:t>
      </w:r>
      <w:r>
        <w:rPr>
          <w:rFonts w:hint="eastAsia" w:ascii="仿宋_GB2312" w:eastAsia="仿宋_GB2312"/>
          <w:szCs w:val="32"/>
        </w:rPr>
        <w:t>万元，下降</w:t>
      </w:r>
      <w:r>
        <w:rPr>
          <w:rFonts w:hint="eastAsia" w:ascii="仿宋_GB2312" w:eastAsia="仿宋_GB2312"/>
          <w:szCs w:val="32"/>
          <w:lang w:val="en-US" w:eastAsia="zh-CN"/>
        </w:rPr>
        <w:t>30.4</w:t>
      </w:r>
      <w:r>
        <w:rPr>
          <w:rFonts w:hint="eastAsia" w:ascii="仿宋_GB2312" w:eastAsia="仿宋_GB2312"/>
          <w:szCs w:val="32"/>
        </w:rPr>
        <w:t>%。主要</w:t>
      </w:r>
      <w:r>
        <w:rPr>
          <w:rFonts w:hint="eastAsia" w:ascii="仿宋_GB2312" w:eastAsia="仿宋_GB2312"/>
          <w:szCs w:val="32"/>
          <w:lang w:eastAsia="zh-CN"/>
        </w:rPr>
        <w:t>是项目支出</w:t>
      </w:r>
      <w:r>
        <w:rPr>
          <w:rFonts w:hint="eastAsia" w:ascii="仿宋_GB2312" w:eastAsia="仿宋_GB2312"/>
          <w:szCs w:val="32"/>
        </w:rPr>
        <w:t>减少。</w:t>
      </w:r>
    </w:p>
    <w:p>
      <w:pPr>
        <w:spacing w:line="580" w:lineRule="exact"/>
        <w:ind w:firstLine="643" w:firstLineChars="200"/>
        <w:rPr>
          <w:rFonts w:hint="eastAsia" w:ascii="仿宋_GB2312" w:eastAsia="仿宋_GB2312"/>
          <w:b/>
          <w:szCs w:val="32"/>
        </w:rPr>
      </w:pPr>
      <w:r>
        <w:rPr>
          <w:rFonts w:hint="eastAsia" w:ascii="仿宋_GB2312" w:eastAsia="仿宋_GB2312"/>
          <w:b/>
          <w:szCs w:val="32"/>
          <w:lang w:eastAsia="zh-CN"/>
        </w:rPr>
        <w:drawing>
          <wp:anchor distT="0" distB="0" distL="114300" distR="114300" simplePos="0" relativeHeight="251663360" behindDoc="0" locked="0" layoutInCell="1" allowOverlap="1">
            <wp:simplePos x="0" y="0"/>
            <wp:positionH relativeFrom="column">
              <wp:posOffset>201295</wp:posOffset>
            </wp:positionH>
            <wp:positionV relativeFrom="paragraph">
              <wp:posOffset>207645</wp:posOffset>
            </wp:positionV>
            <wp:extent cx="4518025" cy="2411095"/>
            <wp:effectExtent l="4445" t="4445" r="19050" b="762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lang w:eastAsia="zh-CN"/>
        </w:rPr>
      </w:pPr>
    </w:p>
    <w:p>
      <w:pPr>
        <w:spacing w:line="580" w:lineRule="exact"/>
        <w:ind w:firstLine="640" w:firstLineChars="200"/>
        <w:rPr>
          <w:rFonts w:ascii="楷体_GB2312" w:eastAsia="楷体_GB2312"/>
          <w:szCs w:val="32"/>
        </w:rPr>
      </w:pPr>
      <w:r>
        <w:rPr>
          <w:rFonts w:hint="eastAsia" w:ascii="楷体_GB2312" w:eastAsia="楷体_GB2312"/>
          <w:szCs w:val="32"/>
        </w:rPr>
        <w:t>（二）一般公共预算财政拨款支出决算结构情况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211.84</w:t>
      </w:r>
      <w:r>
        <w:rPr>
          <w:rFonts w:hint="eastAsia" w:ascii="仿宋_GB2312" w:eastAsia="仿宋_GB2312"/>
          <w:szCs w:val="32"/>
        </w:rPr>
        <w:t>万元，主要用于以下方面：一般公共服务（类）支出</w:t>
      </w:r>
      <w:r>
        <w:rPr>
          <w:rFonts w:hint="eastAsia" w:ascii="仿宋_GB2312" w:eastAsia="仿宋_GB2312"/>
          <w:szCs w:val="32"/>
          <w:lang w:val="en-US" w:eastAsia="zh-CN"/>
        </w:rPr>
        <w:t>211.84</w:t>
      </w:r>
      <w:r>
        <w:rPr>
          <w:rFonts w:hint="eastAsia" w:ascii="仿宋_GB2312" w:eastAsia="仿宋_GB2312"/>
          <w:szCs w:val="32"/>
        </w:rPr>
        <w:t>万元，占</w:t>
      </w:r>
      <w:r>
        <w:rPr>
          <w:rFonts w:hint="eastAsia" w:ascii="仿宋_GB2312" w:eastAsia="仿宋_GB2312"/>
          <w:szCs w:val="32"/>
          <w:lang w:val="en-US" w:eastAsia="zh-CN"/>
        </w:rPr>
        <w:t>100</w:t>
      </w:r>
      <w:r>
        <w:rPr>
          <w:rFonts w:hint="eastAsia" w:ascii="仿宋_GB2312" w:eastAsia="仿宋_GB2312"/>
          <w:szCs w:val="32"/>
        </w:rPr>
        <w:t>%；</w:t>
      </w:r>
      <w:r>
        <w:rPr>
          <w:rFonts w:hint="eastAsia" w:ascii="仿宋_GB2312" w:eastAsia="仿宋_GB2312"/>
          <w:szCs w:val="32"/>
          <w:lang w:eastAsia="zh-CN"/>
        </w:rPr>
        <w:t>无</w:t>
      </w:r>
      <w:r>
        <w:rPr>
          <w:rFonts w:hint="eastAsia" w:ascii="仿宋_GB2312" w:eastAsia="仿宋_GB2312"/>
          <w:szCs w:val="32"/>
        </w:rPr>
        <w:t>国防（类）支出；</w:t>
      </w:r>
      <w:r>
        <w:rPr>
          <w:rFonts w:hint="eastAsia" w:ascii="仿宋_GB2312" w:eastAsia="仿宋_GB2312"/>
          <w:szCs w:val="32"/>
          <w:lang w:eastAsia="zh-CN"/>
        </w:rPr>
        <w:t>无</w:t>
      </w:r>
      <w:r>
        <w:rPr>
          <w:rFonts w:hint="eastAsia" w:ascii="仿宋_GB2312" w:eastAsia="仿宋_GB2312"/>
          <w:szCs w:val="32"/>
        </w:rPr>
        <w:t>公共安全（类）支出；</w:t>
      </w:r>
      <w:r>
        <w:rPr>
          <w:rFonts w:hint="eastAsia" w:ascii="仿宋_GB2312" w:eastAsia="仿宋_GB2312"/>
          <w:szCs w:val="32"/>
          <w:lang w:eastAsia="zh-CN"/>
        </w:rPr>
        <w:t>无</w:t>
      </w:r>
      <w:r>
        <w:rPr>
          <w:rFonts w:hint="eastAsia" w:ascii="仿宋_GB2312" w:eastAsia="仿宋_GB2312"/>
          <w:szCs w:val="32"/>
        </w:rPr>
        <w:t>教育（类）支出。</w:t>
      </w:r>
    </w:p>
    <w:p>
      <w:pPr>
        <w:spacing w:line="580" w:lineRule="exact"/>
        <w:ind w:firstLine="643" w:firstLineChars="200"/>
        <w:rPr>
          <w:rFonts w:hint="eastAsia" w:ascii="仿宋_GB2312" w:eastAsia="仿宋_GB2312"/>
          <w:b/>
          <w:szCs w:val="32"/>
        </w:rPr>
      </w:pPr>
      <w:r>
        <w:rPr>
          <w:rFonts w:hint="eastAsia" w:ascii="仿宋_GB2312" w:eastAsia="仿宋_GB2312"/>
          <w:b/>
          <w:szCs w:val="32"/>
          <w:lang w:eastAsia="zh-CN"/>
        </w:rPr>
        <w:drawing>
          <wp:anchor distT="0" distB="0" distL="114300" distR="114300" simplePos="0" relativeHeight="251664384" behindDoc="0" locked="0" layoutInCell="1" allowOverlap="1">
            <wp:simplePos x="0" y="0"/>
            <wp:positionH relativeFrom="column">
              <wp:posOffset>620395</wp:posOffset>
            </wp:positionH>
            <wp:positionV relativeFrom="paragraph">
              <wp:posOffset>248920</wp:posOffset>
            </wp:positionV>
            <wp:extent cx="4328160" cy="2820035"/>
            <wp:effectExtent l="4445" t="4445" r="10795" b="1016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rPr>
      </w:pPr>
    </w:p>
    <w:p>
      <w:pPr>
        <w:spacing w:line="580" w:lineRule="exact"/>
        <w:ind w:firstLine="643" w:firstLineChars="200"/>
        <w:rPr>
          <w:rFonts w:hint="eastAsia" w:ascii="仿宋_GB2312" w:eastAsia="仿宋_GB2312"/>
          <w:b/>
          <w:szCs w:val="32"/>
          <w:lang w:eastAsia="zh-CN"/>
        </w:rPr>
      </w:pPr>
    </w:p>
    <w:p>
      <w:pPr>
        <w:spacing w:line="580" w:lineRule="exact"/>
        <w:ind w:firstLine="640" w:firstLineChars="200"/>
        <w:rPr>
          <w:rFonts w:ascii="楷体_GB2312" w:eastAsia="楷体_GB2312"/>
          <w:szCs w:val="32"/>
        </w:rPr>
      </w:pPr>
      <w:r>
        <w:rPr>
          <w:rFonts w:hint="eastAsia" w:ascii="楷体_GB2312" w:eastAsia="楷体_GB2312"/>
          <w:szCs w:val="32"/>
        </w:rPr>
        <w:t>（三）一般公共预算财政拨款支出决算具体情况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2020年度一般公共预算财政拨款支出年初预算为</w:t>
      </w:r>
      <w:r>
        <w:rPr>
          <w:rFonts w:hint="eastAsia" w:ascii="仿宋_GB2312" w:eastAsia="仿宋_GB2312"/>
          <w:szCs w:val="32"/>
          <w:lang w:val="en-US" w:eastAsia="zh-CN"/>
        </w:rPr>
        <w:t>304.09</w:t>
      </w:r>
      <w:r>
        <w:rPr>
          <w:rFonts w:hint="eastAsia" w:ascii="仿宋_GB2312" w:eastAsia="仿宋_GB2312"/>
          <w:szCs w:val="32"/>
        </w:rPr>
        <w:t>万元，支出决算为</w:t>
      </w:r>
      <w:r>
        <w:rPr>
          <w:rFonts w:hint="eastAsia" w:ascii="仿宋_GB2312" w:eastAsia="仿宋_GB2312"/>
          <w:szCs w:val="32"/>
          <w:lang w:val="en-US" w:eastAsia="zh-CN"/>
        </w:rPr>
        <w:t>211.84</w:t>
      </w:r>
      <w:r>
        <w:rPr>
          <w:rFonts w:hint="eastAsia" w:ascii="仿宋_GB2312" w:eastAsia="仿宋_GB2312"/>
          <w:szCs w:val="32"/>
        </w:rPr>
        <w:t>万元，完成年初预算的</w:t>
      </w:r>
      <w:r>
        <w:rPr>
          <w:rFonts w:hint="eastAsia" w:ascii="仿宋_GB2312" w:eastAsia="仿宋_GB2312"/>
          <w:szCs w:val="32"/>
          <w:lang w:val="en-US" w:eastAsia="zh-CN"/>
        </w:rPr>
        <w:t>69.66</w:t>
      </w:r>
      <w:r>
        <w:rPr>
          <w:rFonts w:hint="eastAsia" w:ascii="仿宋_GB2312" w:eastAsia="仿宋_GB2312"/>
          <w:szCs w:val="32"/>
        </w:rPr>
        <w:t>%。决算数小于年初预算</w:t>
      </w:r>
      <w:r>
        <w:rPr>
          <w:rFonts w:hint="eastAsia" w:ascii="仿宋_GB2312" w:eastAsia="仿宋_GB2312"/>
          <w:szCs w:val="32"/>
          <w:lang w:eastAsia="zh-CN"/>
        </w:rPr>
        <w:t>，</w:t>
      </w:r>
      <w:r>
        <w:rPr>
          <w:rFonts w:hint="eastAsia" w:ascii="仿宋_GB2312" w:eastAsia="仿宋_GB2312"/>
          <w:szCs w:val="32"/>
        </w:rPr>
        <w:t>主要原因</w:t>
      </w:r>
      <w:r>
        <w:rPr>
          <w:rFonts w:hint="eastAsia" w:ascii="仿宋_GB2312" w:eastAsia="仿宋_GB2312"/>
          <w:szCs w:val="32"/>
          <w:lang w:eastAsia="zh-CN"/>
        </w:rPr>
        <w:t>项目支出减少</w:t>
      </w:r>
      <w:r>
        <w:rPr>
          <w:rFonts w:hint="eastAsia" w:ascii="仿宋_GB2312" w:eastAsia="仿宋_GB2312"/>
          <w:szCs w:val="32"/>
        </w:rPr>
        <w:t>。其中：</w:t>
      </w:r>
    </w:p>
    <w:p>
      <w:pPr>
        <w:spacing w:line="580" w:lineRule="exact"/>
        <w:ind w:firstLine="640" w:firstLineChars="200"/>
        <w:rPr>
          <w:rFonts w:ascii="仿宋_GB2312" w:eastAsia="仿宋_GB2312"/>
          <w:szCs w:val="32"/>
        </w:rPr>
      </w:pPr>
      <w:r>
        <w:rPr>
          <w:rFonts w:hint="eastAsia" w:ascii="仿宋_GB2312" w:eastAsia="仿宋_GB2312"/>
          <w:szCs w:val="32"/>
        </w:rPr>
        <w:t>1、一般公共服务支出（类）</w:t>
      </w:r>
      <w:r>
        <w:rPr>
          <w:rFonts w:hint="eastAsia" w:ascii="仿宋_GB2312" w:eastAsia="仿宋_GB2312"/>
          <w:szCs w:val="32"/>
          <w:lang w:eastAsia="zh-CN"/>
        </w:rPr>
        <w:t>农林水支出</w:t>
      </w:r>
      <w:r>
        <w:rPr>
          <w:rFonts w:hint="eastAsia" w:ascii="仿宋_GB2312" w:eastAsia="仿宋_GB2312"/>
          <w:szCs w:val="32"/>
        </w:rPr>
        <w:t>（款）</w:t>
      </w:r>
      <w:r>
        <w:rPr>
          <w:rFonts w:hint="eastAsia" w:ascii="仿宋_GB2312" w:eastAsia="仿宋_GB2312"/>
          <w:szCs w:val="32"/>
          <w:lang w:eastAsia="zh-CN"/>
        </w:rPr>
        <w:t>水利</w:t>
      </w:r>
      <w:r>
        <w:rPr>
          <w:rFonts w:hint="eastAsia" w:ascii="仿宋_GB2312" w:eastAsia="仿宋_GB2312"/>
          <w:szCs w:val="32"/>
        </w:rPr>
        <w:t>（项）。年初预算为</w:t>
      </w:r>
      <w:r>
        <w:rPr>
          <w:rFonts w:hint="eastAsia" w:ascii="仿宋_GB2312" w:eastAsia="仿宋_GB2312"/>
          <w:szCs w:val="32"/>
          <w:lang w:val="en-US" w:eastAsia="zh-CN"/>
        </w:rPr>
        <w:t>299.8</w:t>
      </w:r>
      <w:r>
        <w:rPr>
          <w:rFonts w:hint="eastAsia" w:ascii="仿宋_GB2312" w:eastAsia="仿宋_GB2312"/>
          <w:szCs w:val="32"/>
        </w:rPr>
        <w:t>万元，支出决算为</w:t>
      </w:r>
      <w:r>
        <w:rPr>
          <w:rFonts w:hint="eastAsia" w:ascii="仿宋_GB2312" w:eastAsia="仿宋_GB2312"/>
          <w:szCs w:val="32"/>
          <w:lang w:val="en-US" w:eastAsia="zh-CN"/>
        </w:rPr>
        <w:t>178.65</w:t>
      </w:r>
      <w:r>
        <w:rPr>
          <w:rFonts w:hint="eastAsia" w:ascii="仿宋_GB2312" w:eastAsia="仿宋_GB2312"/>
          <w:szCs w:val="32"/>
        </w:rPr>
        <w:t>万元，完成年初预算的</w:t>
      </w:r>
      <w:r>
        <w:rPr>
          <w:rFonts w:hint="eastAsia" w:ascii="仿宋_GB2312" w:eastAsia="仿宋_GB2312"/>
          <w:szCs w:val="32"/>
          <w:lang w:val="en-US" w:eastAsia="zh-CN"/>
        </w:rPr>
        <w:t>40.41</w:t>
      </w:r>
      <w:r>
        <w:rPr>
          <w:rFonts w:hint="eastAsia" w:ascii="仿宋_GB2312" w:eastAsia="仿宋_GB2312"/>
          <w:szCs w:val="32"/>
        </w:rPr>
        <w:t>%。决算数小于年初预算数</w:t>
      </w:r>
      <w:r>
        <w:rPr>
          <w:rFonts w:hint="eastAsia" w:ascii="仿宋_GB2312" w:eastAsia="仿宋_GB2312"/>
          <w:szCs w:val="32"/>
          <w:lang w:eastAsia="zh-CN"/>
        </w:rPr>
        <w:t>，</w:t>
      </w:r>
      <w:r>
        <w:rPr>
          <w:rFonts w:hint="eastAsia" w:ascii="仿宋_GB2312" w:eastAsia="仿宋_GB2312"/>
          <w:szCs w:val="32"/>
        </w:rPr>
        <w:t>主要原因</w:t>
      </w:r>
      <w:r>
        <w:rPr>
          <w:rFonts w:hint="eastAsia" w:ascii="仿宋_GB2312" w:eastAsia="仿宋_GB2312"/>
          <w:szCs w:val="32"/>
          <w:lang w:eastAsia="zh-CN"/>
        </w:rPr>
        <w:t>是项目支出减少</w:t>
      </w:r>
      <w:r>
        <w:rPr>
          <w:rFonts w:hint="eastAsia" w:ascii="仿宋_GB2312" w:eastAsia="仿宋_GB2312"/>
          <w:szCs w:val="32"/>
        </w:rPr>
        <w:t>。</w:t>
      </w:r>
    </w:p>
    <w:p>
      <w:pPr>
        <w:spacing w:line="580" w:lineRule="exact"/>
        <w:ind w:firstLine="640" w:firstLineChars="200"/>
        <w:rPr>
          <w:rFonts w:ascii="仿宋_GB2312" w:eastAsia="仿宋_GB2312"/>
          <w:szCs w:val="32"/>
        </w:rPr>
      </w:pPr>
      <w:r>
        <w:rPr>
          <w:rFonts w:hint="eastAsia" w:ascii="仿宋_GB2312" w:eastAsia="仿宋_GB2312"/>
          <w:szCs w:val="32"/>
        </w:rPr>
        <w:t>2、社会保障和就业支出（类）行政事业单位离退休（款）归口管理的行政单位离退休（项）。年初预算为</w:t>
      </w:r>
      <w:r>
        <w:rPr>
          <w:rFonts w:hint="eastAsia" w:ascii="仿宋_GB2312" w:eastAsia="仿宋_GB2312"/>
          <w:szCs w:val="32"/>
          <w:lang w:val="en-US" w:eastAsia="zh-CN"/>
        </w:rPr>
        <w:t>4.29</w:t>
      </w:r>
      <w:r>
        <w:rPr>
          <w:rFonts w:hint="eastAsia" w:ascii="仿宋_GB2312" w:eastAsia="仿宋_GB2312"/>
          <w:szCs w:val="32"/>
        </w:rPr>
        <w:t>万元，支出决算为</w:t>
      </w:r>
      <w:r>
        <w:rPr>
          <w:rFonts w:hint="eastAsia" w:ascii="仿宋_GB2312" w:eastAsia="仿宋_GB2312"/>
          <w:szCs w:val="32"/>
          <w:lang w:val="en-US" w:eastAsia="zh-CN"/>
        </w:rPr>
        <w:t>26.42</w:t>
      </w:r>
      <w:r>
        <w:rPr>
          <w:rFonts w:hint="eastAsia" w:ascii="仿宋_GB2312" w:eastAsia="仿宋_GB2312"/>
          <w:szCs w:val="32"/>
        </w:rPr>
        <w:t>万元，完成年初预算的</w:t>
      </w:r>
      <w:r>
        <w:rPr>
          <w:rFonts w:hint="eastAsia" w:ascii="仿宋_GB2312" w:eastAsia="仿宋_GB2312"/>
          <w:szCs w:val="32"/>
          <w:lang w:val="en-US" w:eastAsia="zh-CN"/>
        </w:rPr>
        <w:t>515.85</w:t>
      </w:r>
      <w:r>
        <w:rPr>
          <w:rFonts w:hint="eastAsia" w:ascii="仿宋_GB2312" w:eastAsia="仿宋_GB2312"/>
          <w:szCs w:val="32"/>
        </w:rPr>
        <w:t>%。决算</w:t>
      </w:r>
      <w:r>
        <w:rPr>
          <w:rFonts w:hint="eastAsia" w:ascii="仿宋_GB2312" w:eastAsia="仿宋_GB2312"/>
          <w:szCs w:val="32"/>
          <w:lang w:eastAsia="zh-CN"/>
        </w:rPr>
        <w:t>数大于</w:t>
      </w:r>
      <w:r>
        <w:rPr>
          <w:rFonts w:hint="eastAsia" w:ascii="仿宋_GB2312" w:eastAsia="仿宋_GB2312"/>
          <w:szCs w:val="32"/>
        </w:rPr>
        <w:t>年初预算数</w:t>
      </w:r>
      <w:r>
        <w:rPr>
          <w:rFonts w:hint="eastAsia" w:ascii="仿宋_GB2312" w:eastAsia="仿宋_GB2312"/>
          <w:szCs w:val="32"/>
          <w:lang w:eastAsia="zh-CN"/>
        </w:rPr>
        <w:t>，</w:t>
      </w:r>
      <w:r>
        <w:rPr>
          <w:rFonts w:hint="eastAsia" w:ascii="仿宋_GB2312" w:eastAsia="仿宋_GB2312"/>
          <w:szCs w:val="32"/>
        </w:rPr>
        <w:t>主要原因是</w:t>
      </w:r>
      <w:r>
        <w:rPr>
          <w:rFonts w:hint="eastAsia" w:ascii="仿宋_GB2312" w:eastAsia="仿宋_GB2312"/>
          <w:szCs w:val="32"/>
          <w:lang w:eastAsia="zh-CN"/>
        </w:rPr>
        <w:t>对相关科目进行了调整</w:t>
      </w:r>
      <w:r>
        <w:rPr>
          <w:rFonts w:hint="eastAsia" w:ascii="仿宋_GB2312" w:eastAsia="仿宋_GB2312"/>
          <w:szCs w:val="32"/>
        </w:rPr>
        <w:t>。</w:t>
      </w:r>
    </w:p>
    <w:p>
      <w:pPr>
        <w:spacing w:line="580" w:lineRule="exact"/>
        <w:ind w:firstLine="640" w:firstLineChars="200"/>
        <w:rPr>
          <w:rFonts w:hint="default" w:ascii="仿宋_GB2312" w:eastAsia="仿宋_GB2312"/>
          <w:szCs w:val="32"/>
          <w:lang w:val="en-US" w:eastAsia="zh-CN"/>
        </w:rPr>
      </w:pPr>
      <w:r>
        <w:rPr>
          <w:rFonts w:hint="eastAsia" w:ascii="仿宋_GB2312" w:eastAsia="仿宋_GB2312"/>
          <w:szCs w:val="32"/>
          <w:lang w:val="en-US" w:eastAsia="zh-CN"/>
        </w:rPr>
        <w:t>3</w:t>
      </w:r>
      <w:r>
        <w:rPr>
          <w:rFonts w:hint="eastAsia" w:ascii="仿宋_GB2312" w:eastAsia="仿宋_GB2312"/>
          <w:szCs w:val="32"/>
        </w:rPr>
        <w:t>、</w:t>
      </w:r>
      <w:r>
        <w:rPr>
          <w:rFonts w:hint="eastAsia" w:ascii="仿宋_GB2312" w:eastAsia="仿宋_GB2312"/>
          <w:szCs w:val="32"/>
          <w:lang w:eastAsia="zh-CN"/>
        </w:rPr>
        <w:t>卫生和健康支出（类）行政事业单位医疗（款）事业单位医疗（项）。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6.78</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w:t>
      </w:r>
      <w:r>
        <w:rPr>
          <w:rFonts w:hint="eastAsia" w:ascii="仿宋_GB2312" w:eastAsia="仿宋_GB2312"/>
          <w:szCs w:val="32"/>
          <w:lang w:eastAsia="zh-CN"/>
        </w:rPr>
        <w:t>数大于</w:t>
      </w:r>
      <w:r>
        <w:rPr>
          <w:rFonts w:hint="eastAsia" w:ascii="仿宋_GB2312" w:eastAsia="仿宋_GB2312"/>
          <w:szCs w:val="32"/>
        </w:rPr>
        <w:t>年初预算数</w:t>
      </w:r>
      <w:r>
        <w:rPr>
          <w:rFonts w:hint="eastAsia" w:ascii="仿宋_GB2312" w:eastAsia="仿宋_GB2312"/>
          <w:szCs w:val="32"/>
          <w:lang w:eastAsia="zh-CN"/>
        </w:rPr>
        <w:t>，</w:t>
      </w:r>
      <w:r>
        <w:rPr>
          <w:rFonts w:hint="eastAsia" w:ascii="仿宋_GB2312" w:eastAsia="仿宋_GB2312"/>
          <w:szCs w:val="32"/>
        </w:rPr>
        <w:t>主要原因是</w:t>
      </w:r>
      <w:r>
        <w:rPr>
          <w:rFonts w:hint="eastAsia" w:ascii="仿宋_GB2312" w:eastAsia="仿宋_GB2312"/>
          <w:szCs w:val="32"/>
          <w:lang w:eastAsia="zh-CN"/>
        </w:rPr>
        <w:t>对相关科目进行了调整</w:t>
      </w:r>
      <w:r>
        <w:rPr>
          <w:rFonts w:hint="eastAsia" w:ascii="仿宋_GB2312" w:eastAsia="仿宋_GB2312"/>
          <w:szCs w:val="32"/>
        </w:rPr>
        <w:t>。</w:t>
      </w:r>
    </w:p>
    <w:p>
      <w:pPr>
        <w:spacing w:line="580" w:lineRule="exact"/>
        <w:ind w:firstLine="640" w:firstLineChars="200"/>
        <w:rPr>
          <w:rFonts w:ascii="黑体" w:hAnsi="黑体" w:eastAsia="黑体"/>
          <w:szCs w:val="32"/>
        </w:rPr>
      </w:pPr>
      <w:r>
        <w:rPr>
          <w:rFonts w:hint="eastAsia" w:ascii="黑体" w:hAnsi="黑体" w:eastAsia="黑体"/>
          <w:szCs w:val="32"/>
        </w:rPr>
        <w:t>六、一般公共预算财政拨款基本支出决算情况说明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2020年度一般公共预算财政拨款基本支出决算</w:t>
      </w:r>
      <w:r>
        <w:rPr>
          <w:rFonts w:hint="eastAsia" w:ascii="仿宋_GB2312" w:eastAsia="仿宋_GB2312"/>
          <w:szCs w:val="32"/>
          <w:lang w:val="en-US" w:eastAsia="zh-CN"/>
        </w:rPr>
        <w:t>217.8</w:t>
      </w:r>
      <w:r>
        <w:rPr>
          <w:rFonts w:hint="eastAsia" w:ascii="仿宋_GB2312" w:eastAsia="仿宋_GB2312"/>
          <w:szCs w:val="32"/>
        </w:rPr>
        <w:t>万元，包括人员经费和公用经费，支出具体情况如下：</w:t>
      </w:r>
    </w:p>
    <w:p>
      <w:pPr>
        <w:spacing w:line="580" w:lineRule="exact"/>
        <w:ind w:firstLine="640" w:firstLineChars="200"/>
        <w:rPr>
          <w:rFonts w:ascii="仿宋_GB2312" w:eastAsia="仿宋_GB2312"/>
          <w:b/>
          <w:szCs w:val="32"/>
        </w:rPr>
      </w:pPr>
      <w:r>
        <w:rPr>
          <w:rFonts w:hint="eastAsia" w:ascii="仿宋_GB2312" w:eastAsia="仿宋_GB2312"/>
          <w:szCs w:val="32"/>
        </w:rPr>
        <w:t>人员经费</w:t>
      </w:r>
      <w:r>
        <w:rPr>
          <w:rFonts w:hint="eastAsia" w:ascii="仿宋_GB2312" w:eastAsia="仿宋_GB2312"/>
          <w:szCs w:val="32"/>
          <w:lang w:val="en-US" w:eastAsia="zh-CN"/>
        </w:rPr>
        <w:t>122.58</w:t>
      </w:r>
      <w:r>
        <w:rPr>
          <w:rFonts w:hint="eastAsia" w:ascii="仿宋_GB2312" w:eastAsia="仿宋_GB2312"/>
          <w:szCs w:val="32"/>
        </w:rPr>
        <w:t>万元，主要包括：</w:t>
      </w:r>
      <w:r>
        <w:rPr>
          <w:rFonts w:hint="eastAsia" w:ascii="仿宋_GB2312" w:eastAsia="仿宋_GB2312"/>
          <w:szCs w:val="32"/>
          <w:lang w:eastAsia="zh-CN"/>
        </w:rPr>
        <w:t>工资福利支出</w:t>
      </w:r>
      <w:r>
        <w:rPr>
          <w:rFonts w:hint="eastAsia" w:ascii="仿宋_GB2312" w:eastAsia="仿宋_GB2312"/>
          <w:szCs w:val="32"/>
        </w:rPr>
        <w:t>、</w:t>
      </w:r>
      <w:r>
        <w:rPr>
          <w:rFonts w:hint="eastAsia" w:ascii="仿宋_GB2312" w:eastAsia="仿宋_GB2312"/>
          <w:szCs w:val="32"/>
          <w:lang w:eastAsia="zh-CN"/>
        </w:rPr>
        <w:t>对个人和家庭的补助。其中工资福利支出包括：</w:t>
      </w:r>
      <w:r>
        <w:rPr>
          <w:rFonts w:hint="eastAsia" w:ascii="仿宋_GB2312" w:eastAsia="仿宋_GB2312"/>
          <w:szCs w:val="32"/>
        </w:rPr>
        <w:t>基本工资</w:t>
      </w:r>
      <w:r>
        <w:rPr>
          <w:rFonts w:hint="eastAsia" w:ascii="仿宋_GB2312" w:eastAsia="仿宋_GB2312"/>
          <w:szCs w:val="32"/>
          <w:lang w:val="en-US" w:eastAsia="zh-CN"/>
        </w:rPr>
        <w:t>27.31</w:t>
      </w:r>
      <w:r>
        <w:rPr>
          <w:rFonts w:hint="eastAsia" w:ascii="仿宋_GB2312" w:eastAsia="仿宋_GB2312"/>
          <w:szCs w:val="32"/>
        </w:rPr>
        <w:t>万元、津贴补贴</w:t>
      </w:r>
      <w:r>
        <w:rPr>
          <w:rFonts w:hint="eastAsia" w:ascii="仿宋_GB2312" w:eastAsia="仿宋_GB2312"/>
          <w:szCs w:val="32"/>
          <w:lang w:val="en-US" w:eastAsia="zh-CN"/>
        </w:rPr>
        <w:t>15.96</w:t>
      </w:r>
      <w:r>
        <w:rPr>
          <w:rFonts w:hint="eastAsia" w:ascii="仿宋_GB2312" w:eastAsia="仿宋_GB2312"/>
          <w:szCs w:val="32"/>
        </w:rPr>
        <w:t>万元、奖金2.</w:t>
      </w:r>
      <w:r>
        <w:rPr>
          <w:rFonts w:hint="eastAsia" w:ascii="仿宋_GB2312" w:eastAsia="仿宋_GB2312"/>
          <w:szCs w:val="32"/>
          <w:lang w:val="en-US" w:eastAsia="zh-CN"/>
        </w:rPr>
        <w:t>26</w:t>
      </w:r>
      <w:r>
        <w:rPr>
          <w:rFonts w:hint="eastAsia" w:ascii="仿宋_GB2312" w:eastAsia="仿宋_GB2312"/>
          <w:szCs w:val="32"/>
        </w:rPr>
        <w:t>万元、绩效工资21.94万元、机关事业单位基本养老保险缴费8.</w:t>
      </w:r>
      <w:r>
        <w:rPr>
          <w:rFonts w:hint="eastAsia" w:ascii="仿宋_GB2312" w:eastAsia="仿宋_GB2312"/>
          <w:szCs w:val="32"/>
          <w:lang w:val="en-US" w:eastAsia="zh-CN"/>
        </w:rPr>
        <w:t>41</w:t>
      </w:r>
      <w:r>
        <w:rPr>
          <w:rFonts w:hint="eastAsia" w:ascii="仿宋_GB2312" w:eastAsia="仿宋_GB2312"/>
          <w:szCs w:val="32"/>
        </w:rPr>
        <w:t>万元、职业年金缴费</w:t>
      </w:r>
      <w:r>
        <w:rPr>
          <w:rFonts w:hint="eastAsia" w:ascii="仿宋_GB2312" w:eastAsia="仿宋_GB2312"/>
          <w:szCs w:val="32"/>
          <w:lang w:val="en-US" w:eastAsia="zh-CN"/>
        </w:rPr>
        <w:t>3.78</w:t>
      </w:r>
      <w:r>
        <w:rPr>
          <w:rFonts w:hint="eastAsia" w:ascii="仿宋_GB2312" w:eastAsia="仿宋_GB2312"/>
          <w:szCs w:val="32"/>
        </w:rPr>
        <w:t>万元、职工基本医疗保险缴费</w:t>
      </w:r>
      <w:r>
        <w:rPr>
          <w:rFonts w:hint="eastAsia" w:ascii="仿宋_GB2312" w:eastAsia="仿宋_GB2312"/>
          <w:szCs w:val="32"/>
          <w:lang w:val="en-US" w:eastAsia="zh-CN"/>
        </w:rPr>
        <w:t>3.35</w:t>
      </w:r>
      <w:r>
        <w:rPr>
          <w:rFonts w:hint="eastAsia" w:ascii="仿宋_GB2312" w:eastAsia="仿宋_GB2312"/>
          <w:szCs w:val="32"/>
        </w:rPr>
        <w:t>万元、</w:t>
      </w:r>
      <w:r>
        <w:rPr>
          <w:rFonts w:hint="eastAsia" w:ascii="仿宋_GB2312" w:eastAsia="仿宋_GB2312"/>
          <w:szCs w:val="32"/>
          <w:lang w:eastAsia="zh-CN"/>
        </w:rPr>
        <w:t>公务员医疗补助缴费</w:t>
      </w:r>
      <w:r>
        <w:rPr>
          <w:rFonts w:hint="eastAsia" w:ascii="仿宋_GB2312" w:eastAsia="仿宋_GB2312"/>
          <w:szCs w:val="32"/>
          <w:lang w:val="en-US" w:eastAsia="zh-CN"/>
        </w:rPr>
        <w:t>3.43万元</w:t>
      </w:r>
      <w:r>
        <w:rPr>
          <w:rFonts w:hint="eastAsia" w:ascii="仿宋_GB2312" w:eastAsia="仿宋_GB2312"/>
          <w:szCs w:val="32"/>
        </w:rPr>
        <w:t>、其他社会保障缴费0.4</w:t>
      </w:r>
      <w:r>
        <w:rPr>
          <w:rFonts w:hint="eastAsia" w:ascii="仿宋_GB2312" w:eastAsia="仿宋_GB2312"/>
          <w:szCs w:val="32"/>
          <w:lang w:val="en-US" w:eastAsia="zh-CN"/>
        </w:rPr>
        <w:t>7</w:t>
      </w:r>
      <w:r>
        <w:rPr>
          <w:rFonts w:hint="eastAsia" w:ascii="仿宋_GB2312" w:eastAsia="仿宋_GB2312"/>
          <w:szCs w:val="32"/>
        </w:rPr>
        <w:t>万元、住房公积金</w:t>
      </w:r>
      <w:r>
        <w:rPr>
          <w:rFonts w:hint="eastAsia" w:ascii="仿宋_GB2312" w:eastAsia="仿宋_GB2312"/>
          <w:szCs w:val="32"/>
          <w:lang w:val="en-US" w:eastAsia="zh-CN"/>
        </w:rPr>
        <w:t>7.13</w:t>
      </w:r>
      <w:r>
        <w:rPr>
          <w:rFonts w:hint="eastAsia" w:ascii="仿宋_GB2312" w:eastAsia="仿宋_GB2312"/>
          <w:szCs w:val="32"/>
        </w:rPr>
        <w:t>万元、其他工资福利支出</w:t>
      </w:r>
      <w:r>
        <w:rPr>
          <w:rFonts w:hint="eastAsia" w:ascii="仿宋_GB2312" w:eastAsia="仿宋_GB2312"/>
          <w:szCs w:val="32"/>
          <w:lang w:val="en-US" w:eastAsia="zh-CN"/>
        </w:rPr>
        <w:t>12.43</w:t>
      </w:r>
      <w:r>
        <w:rPr>
          <w:rFonts w:hint="eastAsia" w:ascii="仿宋_GB2312" w:eastAsia="仿宋_GB2312"/>
          <w:szCs w:val="32"/>
        </w:rPr>
        <w:t>万元</w:t>
      </w:r>
      <w:r>
        <w:rPr>
          <w:rFonts w:hint="eastAsia" w:ascii="仿宋_GB2312" w:eastAsia="仿宋_GB2312"/>
          <w:szCs w:val="32"/>
          <w:lang w:eastAsia="zh-CN"/>
        </w:rPr>
        <w:t>，对个人和家庭的补助包括：</w:t>
      </w:r>
      <w:r>
        <w:rPr>
          <w:rFonts w:hint="eastAsia" w:ascii="仿宋_GB2312" w:eastAsia="仿宋_GB2312"/>
          <w:szCs w:val="32"/>
        </w:rPr>
        <w:t>退休费</w:t>
      </w:r>
      <w:r>
        <w:rPr>
          <w:rFonts w:hint="eastAsia" w:ascii="仿宋_GB2312" w:eastAsia="仿宋_GB2312"/>
          <w:szCs w:val="32"/>
          <w:lang w:val="en-US" w:eastAsia="zh-CN"/>
        </w:rPr>
        <w:t>12.03</w:t>
      </w:r>
      <w:r>
        <w:rPr>
          <w:rFonts w:hint="eastAsia" w:ascii="仿宋_GB2312" w:eastAsia="仿宋_GB2312"/>
          <w:szCs w:val="32"/>
        </w:rPr>
        <w:t>万元、生活补助2.</w:t>
      </w:r>
      <w:r>
        <w:rPr>
          <w:rFonts w:hint="eastAsia" w:ascii="仿宋_GB2312" w:eastAsia="仿宋_GB2312"/>
          <w:szCs w:val="32"/>
          <w:lang w:val="en-US" w:eastAsia="zh-CN"/>
        </w:rPr>
        <w:t>16</w:t>
      </w:r>
      <w:r>
        <w:rPr>
          <w:rFonts w:hint="eastAsia" w:ascii="仿宋_GB2312" w:eastAsia="仿宋_GB2312"/>
          <w:szCs w:val="32"/>
        </w:rPr>
        <w:t>万元、</w:t>
      </w:r>
      <w:r>
        <w:rPr>
          <w:rFonts w:hint="eastAsia" w:ascii="仿宋_GB2312" w:eastAsia="仿宋_GB2312"/>
          <w:szCs w:val="32"/>
          <w:lang w:eastAsia="zh-CN"/>
        </w:rPr>
        <w:t>奖励金</w:t>
      </w:r>
      <w:r>
        <w:rPr>
          <w:rFonts w:hint="eastAsia" w:ascii="仿宋_GB2312" w:eastAsia="仿宋_GB2312"/>
          <w:szCs w:val="32"/>
          <w:lang w:val="en-US" w:eastAsia="zh-CN"/>
        </w:rPr>
        <w:t>1.92</w:t>
      </w:r>
      <w:r>
        <w:rPr>
          <w:rFonts w:hint="eastAsia" w:ascii="仿宋_GB2312" w:eastAsia="仿宋_GB2312"/>
          <w:szCs w:val="32"/>
        </w:rPr>
        <w:t>万元。</w:t>
      </w:r>
    </w:p>
    <w:p>
      <w:pPr>
        <w:ind w:firstLine="640" w:firstLineChars="200"/>
        <w:rPr>
          <w:rFonts w:hint="eastAsia" w:ascii="仿宋_GB2312" w:eastAsia="仿宋_GB2312"/>
          <w:b/>
          <w:szCs w:val="32"/>
        </w:rPr>
      </w:pPr>
      <w:r>
        <w:rPr>
          <w:rFonts w:hint="eastAsia" w:ascii="仿宋_GB2312" w:eastAsia="仿宋_GB2312"/>
          <w:szCs w:val="32"/>
        </w:rPr>
        <w:t>公用经费</w:t>
      </w:r>
      <w:r>
        <w:rPr>
          <w:rFonts w:hint="eastAsia" w:ascii="仿宋_GB2312" w:eastAsia="仿宋_GB2312"/>
          <w:szCs w:val="32"/>
          <w:lang w:val="en-US" w:eastAsia="zh-CN"/>
        </w:rPr>
        <w:t>7.97</w:t>
      </w:r>
      <w:r>
        <w:rPr>
          <w:rFonts w:hint="eastAsia" w:ascii="仿宋_GB2312" w:eastAsia="仿宋_GB2312"/>
          <w:szCs w:val="32"/>
        </w:rPr>
        <w:t>万元，主要包括：办公费</w:t>
      </w:r>
      <w:r>
        <w:rPr>
          <w:rFonts w:hint="eastAsia" w:ascii="仿宋_GB2312" w:eastAsia="仿宋_GB2312"/>
          <w:szCs w:val="32"/>
          <w:lang w:val="en-US" w:eastAsia="zh-CN"/>
        </w:rPr>
        <w:t>2.56</w:t>
      </w:r>
      <w:r>
        <w:rPr>
          <w:rFonts w:hint="eastAsia" w:ascii="仿宋_GB2312" w:eastAsia="仿宋_GB2312"/>
          <w:szCs w:val="32"/>
        </w:rPr>
        <w:t>万元、邮电费0.1</w:t>
      </w:r>
      <w:r>
        <w:rPr>
          <w:rFonts w:hint="eastAsia" w:ascii="仿宋_GB2312" w:eastAsia="仿宋_GB2312"/>
          <w:szCs w:val="32"/>
          <w:lang w:val="en-US" w:eastAsia="zh-CN"/>
        </w:rPr>
        <w:t>4</w:t>
      </w:r>
      <w:r>
        <w:rPr>
          <w:rFonts w:hint="eastAsia" w:ascii="仿宋_GB2312" w:eastAsia="仿宋_GB2312"/>
          <w:szCs w:val="32"/>
        </w:rPr>
        <w:t>万元、取暖费</w:t>
      </w:r>
      <w:r>
        <w:rPr>
          <w:rFonts w:hint="eastAsia" w:ascii="仿宋_GB2312" w:eastAsia="仿宋_GB2312"/>
          <w:szCs w:val="32"/>
          <w:lang w:val="en-US" w:eastAsia="zh-CN"/>
        </w:rPr>
        <w:t>3.75</w:t>
      </w:r>
      <w:r>
        <w:rPr>
          <w:rFonts w:hint="eastAsia" w:ascii="仿宋_GB2312" w:eastAsia="仿宋_GB2312"/>
          <w:szCs w:val="32"/>
        </w:rPr>
        <w:t>万元、工会经费</w:t>
      </w:r>
      <w:r>
        <w:rPr>
          <w:rFonts w:hint="eastAsia" w:ascii="仿宋_GB2312" w:eastAsia="仿宋_GB2312"/>
          <w:szCs w:val="32"/>
          <w:lang w:val="en-US" w:eastAsia="zh-CN"/>
        </w:rPr>
        <w:t>0.80</w:t>
      </w:r>
      <w:r>
        <w:rPr>
          <w:rFonts w:hint="eastAsia" w:ascii="仿宋_GB2312" w:eastAsia="仿宋_GB2312"/>
          <w:szCs w:val="32"/>
        </w:rPr>
        <w:t>万元、其他交通费用</w:t>
      </w:r>
      <w:r>
        <w:rPr>
          <w:rFonts w:hint="eastAsia" w:ascii="仿宋_GB2312" w:eastAsia="仿宋_GB2312"/>
          <w:szCs w:val="32"/>
          <w:lang w:val="en-US" w:eastAsia="zh-CN"/>
        </w:rPr>
        <w:t>0.72</w:t>
      </w:r>
      <w:r>
        <w:rPr>
          <w:rFonts w:hint="eastAsia" w:ascii="仿宋_GB2312" w:eastAsia="仿宋_GB2312"/>
          <w:szCs w:val="32"/>
        </w:rPr>
        <w:t>万元 。</w:t>
      </w:r>
      <w:r>
        <w:rPr>
          <w:rFonts w:hint="eastAsia" w:ascii="仿宋_GB2312" w:eastAsia="仿宋_GB2312"/>
          <w:b/>
          <w:szCs w:val="32"/>
        </w:rPr>
        <w:t xml:space="preserve"> </w:t>
      </w:r>
    </w:p>
    <w:p>
      <w:pPr>
        <w:spacing w:line="580" w:lineRule="exact"/>
        <w:ind w:firstLine="640" w:firstLineChars="200"/>
        <w:rPr>
          <w:rFonts w:ascii="黑体" w:hAnsi="黑体" w:eastAsia="黑体"/>
          <w:szCs w:val="32"/>
        </w:rPr>
      </w:pPr>
      <w:r>
        <w:rPr>
          <w:rFonts w:hint="eastAsia" w:ascii="黑体" w:hAnsi="黑体" w:eastAsia="黑体"/>
          <w:szCs w:val="32"/>
        </w:rPr>
        <w:t>七、一般公共预算财政拨款“三公”经费支出决算情况说明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（一）“三公”经费支出决算总体情况说明</w:t>
      </w:r>
    </w:p>
    <w:p>
      <w:pPr>
        <w:spacing w:line="580" w:lineRule="exact"/>
        <w:ind w:firstLine="640" w:firstLineChars="200"/>
        <w:rPr>
          <w:rFonts w:ascii="仿宋_GB2312" w:eastAsia="仿宋_GB2312"/>
          <w:b/>
          <w:szCs w:val="32"/>
        </w:rPr>
      </w:pPr>
      <w:r>
        <w:rPr>
          <w:rFonts w:hint="eastAsia" w:ascii="仿宋_GB2312" w:eastAsia="仿宋_GB2312"/>
          <w:szCs w:val="32"/>
          <w:highlight w:val="none"/>
        </w:rPr>
        <w:t>本部门无一般公共预算安排的“三公”经费支出。</w:t>
      </w:r>
    </w:p>
    <w:p>
      <w:pPr>
        <w:spacing w:line="580" w:lineRule="exact"/>
        <w:ind w:firstLine="640" w:firstLineChars="200"/>
        <w:rPr>
          <w:rFonts w:ascii="楷体_GB2312" w:eastAsia="楷体_GB2312"/>
          <w:szCs w:val="32"/>
        </w:rPr>
      </w:pPr>
      <w:r>
        <w:rPr>
          <w:rFonts w:hint="eastAsia" w:ascii="楷体_GB2312" w:eastAsia="楷体_GB2312"/>
          <w:szCs w:val="32"/>
        </w:rPr>
        <w:t>（二）“三公”经费支出决算具体情况</w:t>
      </w:r>
    </w:p>
    <w:p>
      <w:pPr>
        <w:spacing w:line="580" w:lineRule="exact"/>
        <w:ind w:firstLine="640" w:firstLineChars="200"/>
        <w:rPr>
          <w:rFonts w:hint="eastAsia" w:ascii="仿宋_GB2312" w:eastAsia="仿宋_GB2312"/>
          <w:szCs w:val="32"/>
          <w:highlight w:val="none"/>
        </w:rPr>
      </w:pPr>
      <w:r>
        <w:rPr>
          <w:rFonts w:hint="eastAsia" w:ascii="仿宋_GB2312" w:eastAsia="仿宋_GB2312"/>
          <w:szCs w:val="32"/>
          <w:highlight w:val="none"/>
        </w:rPr>
        <w:t>1、因公出国（境）费决算数为0万元，因公出国（境）团组0个,累计0人次。</w:t>
      </w:r>
    </w:p>
    <w:p>
      <w:pPr>
        <w:spacing w:line="580" w:lineRule="exact"/>
        <w:ind w:firstLine="640" w:firstLineChars="200"/>
        <w:rPr>
          <w:rFonts w:hint="eastAsia" w:ascii="仿宋_GB2312" w:eastAsia="仿宋_GB2312"/>
          <w:szCs w:val="32"/>
          <w:highlight w:val="none"/>
        </w:rPr>
      </w:pPr>
      <w:r>
        <w:rPr>
          <w:rFonts w:hint="eastAsia" w:ascii="仿宋_GB2312" w:eastAsia="仿宋_GB2312"/>
          <w:szCs w:val="32"/>
          <w:highlight w:val="none"/>
        </w:rPr>
        <w:t>2、公务用车购置及运行维护费决算数为0万元，其中：公务用车购置费支出0万元，2020年使用财政拨款购置公务用车0辆；公务用车运行维护费0万元，2020年财政拨款开支运行维护费的公务用车保有量为0辆。</w:t>
      </w:r>
    </w:p>
    <w:p>
      <w:pPr>
        <w:spacing w:line="580" w:lineRule="exact"/>
        <w:ind w:firstLine="640" w:firstLineChars="200"/>
        <w:rPr>
          <w:rFonts w:hint="eastAsia" w:ascii="仿宋_GB2312" w:eastAsia="仿宋_GB2312"/>
          <w:szCs w:val="32"/>
          <w:highlight w:val="none"/>
        </w:rPr>
      </w:pPr>
      <w:r>
        <w:rPr>
          <w:rFonts w:hint="eastAsia" w:ascii="仿宋_GB2312" w:eastAsia="仿宋_GB2312"/>
          <w:szCs w:val="32"/>
          <w:highlight w:val="none"/>
        </w:rPr>
        <w:t>3、公务接待费决算数为0万元。其中：国内接待费0万元，共计接待0批次、0人次（含外事接待0批次、0人次）；国（境）外接待费0万元，共计接待0批次、0人次。</w:t>
      </w:r>
    </w:p>
    <w:p>
      <w:pPr>
        <w:spacing w:line="580" w:lineRule="exact"/>
        <w:ind w:firstLine="640" w:firstLineChars="200"/>
        <w:rPr>
          <w:rFonts w:ascii="黑体" w:hAnsi="黑体" w:eastAsia="黑体"/>
          <w:szCs w:val="32"/>
        </w:rPr>
      </w:pPr>
      <w:r>
        <w:rPr>
          <w:rFonts w:hint="eastAsia" w:ascii="黑体" w:hAnsi="黑体" w:eastAsia="黑体"/>
          <w:szCs w:val="32"/>
        </w:rPr>
        <w:t>八、政府性基金预算财政拨款收入支出决算情况说明</w:t>
      </w:r>
    </w:p>
    <w:p>
      <w:pPr>
        <w:spacing w:line="580" w:lineRule="exact"/>
        <w:ind w:firstLine="640" w:firstLineChars="200"/>
        <w:rPr>
          <w:rFonts w:hint="eastAsia" w:ascii="仿宋_GB2312" w:eastAsia="仿宋_GB2312"/>
          <w:szCs w:val="32"/>
          <w:highlight w:val="none"/>
        </w:rPr>
      </w:pPr>
      <w:r>
        <w:rPr>
          <w:rFonts w:hint="eastAsia" w:ascii="仿宋_GB2312" w:eastAsia="仿宋_GB2312"/>
          <w:szCs w:val="32"/>
          <w:highlight w:val="none"/>
        </w:rPr>
        <w:t>本单位没有政府性基金财政拨款收支。</w:t>
      </w:r>
    </w:p>
    <w:p>
      <w:pPr>
        <w:spacing w:line="580" w:lineRule="exact"/>
        <w:ind w:firstLine="640" w:firstLineChars="200"/>
        <w:rPr>
          <w:rFonts w:ascii="黑体" w:hAnsi="黑体" w:eastAsia="黑体"/>
          <w:szCs w:val="32"/>
        </w:rPr>
      </w:pPr>
      <w:r>
        <w:rPr>
          <w:rFonts w:hint="eastAsia" w:ascii="黑体" w:hAnsi="黑体" w:eastAsia="黑体"/>
          <w:szCs w:val="32"/>
        </w:rPr>
        <w:t>九、国有资本经营预算财政拨款支出决算情况说明</w:t>
      </w:r>
    </w:p>
    <w:p>
      <w:pPr>
        <w:spacing w:line="580" w:lineRule="exact"/>
        <w:ind w:firstLine="640" w:firstLineChars="200"/>
        <w:rPr>
          <w:rFonts w:hint="eastAsia" w:ascii="仿宋_GB2312" w:eastAsia="仿宋_GB2312"/>
          <w:szCs w:val="32"/>
          <w:highlight w:val="none"/>
          <w:lang w:eastAsia="zh-CN"/>
        </w:rPr>
      </w:pPr>
      <w:r>
        <w:rPr>
          <w:rFonts w:hint="eastAsia" w:ascii="仿宋_GB2312" w:eastAsia="仿宋_GB2312"/>
          <w:szCs w:val="32"/>
          <w:highlight w:val="none"/>
        </w:rPr>
        <w:t>本单位没有使用国有资本经营预算安排的支出</w:t>
      </w:r>
      <w:r>
        <w:rPr>
          <w:rFonts w:hint="eastAsia" w:ascii="仿宋_GB2312" w:eastAsia="仿宋_GB2312"/>
          <w:szCs w:val="32"/>
          <w:highlight w:val="none"/>
          <w:lang w:eastAsia="zh-CN"/>
        </w:rPr>
        <w:t>。</w:t>
      </w:r>
    </w:p>
    <w:p>
      <w:pPr>
        <w:spacing w:line="580" w:lineRule="exact"/>
        <w:ind w:firstLine="640" w:firstLineChars="200"/>
        <w:rPr>
          <w:rFonts w:ascii="黑体" w:hAnsi="黑体" w:eastAsia="黑体"/>
          <w:szCs w:val="32"/>
        </w:rPr>
      </w:pPr>
      <w:r>
        <w:rPr>
          <w:rFonts w:hint="eastAsia" w:ascii="黑体" w:hAnsi="黑体" w:eastAsia="黑体"/>
          <w:szCs w:val="32"/>
        </w:rPr>
        <w:t xml:space="preserve">十、其他重要事项情况说明 </w:t>
      </w:r>
    </w:p>
    <w:p>
      <w:pPr>
        <w:spacing w:line="580" w:lineRule="exact"/>
        <w:ind w:firstLine="640" w:firstLineChars="200"/>
        <w:rPr>
          <w:rFonts w:ascii="楷体_GB2312" w:eastAsia="楷体_GB2312"/>
          <w:szCs w:val="32"/>
        </w:rPr>
      </w:pPr>
      <w:r>
        <w:rPr>
          <w:rFonts w:hint="eastAsia" w:ascii="楷体_GB2312" w:eastAsia="楷体_GB2312"/>
          <w:szCs w:val="32"/>
        </w:rPr>
        <w:t>（一）机关运行经费支出情况</w:t>
      </w:r>
    </w:p>
    <w:p>
      <w:pPr>
        <w:spacing w:line="580" w:lineRule="exact"/>
        <w:ind w:firstLine="640" w:firstLineChars="200"/>
        <w:rPr>
          <w:rFonts w:hint="eastAsia" w:ascii="仿宋_GB2312" w:eastAsia="仿宋_GB2312"/>
          <w:szCs w:val="32"/>
          <w:highlight w:val="none"/>
        </w:rPr>
      </w:pPr>
      <w:r>
        <w:rPr>
          <w:rFonts w:hint="eastAsia" w:ascii="仿宋_GB2312" w:eastAsia="仿宋_GB2312"/>
          <w:szCs w:val="32"/>
          <w:highlight w:val="none"/>
        </w:rPr>
        <w:t>本单位无一般公共预算安排的机关运行经费支出。</w:t>
      </w:r>
    </w:p>
    <w:p>
      <w:pPr>
        <w:spacing w:line="580" w:lineRule="exact"/>
        <w:ind w:firstLine="640" w:firstLineChars="200"/>
        <w:rPr>
          <w:rFonts w:ascii="楷体_GB2312" w:eastAsia="楷体_GB2312"/>
          <w:szCs w:val="32"/>
        </w:rPr>
      </w:pPr>
      <w:r>
        <w:rPr>
          <w:rFonts w:hint="eastAsia" w:ascii="楷体_GB2312" w:eastAsia="楷体_GB2312"/>
          <w:szCs w:val="32"/>
        </w:rPr>
        <w:t>（二）政府采购支出情况</w:t>
      </w:r>
    </w:p>
    <w:p>
      <w:pPr>
        <w:autoSpaceDE w:val="0"/>
        <w:autoSpaceDN w:val="0"/>
        <w:adjustRightInd w:val="0"/>
        <w:ind w:left="202" w:leftChars="63" w:firstLine="640" w:firstLineChars="200"/>
        <w:jc w:val="left"/>
        <w:rPr>
          <w:rFonts w:ascii="仿宋_GB2312" w:hAnsi="宋体" w:eastAsia="仿宋_GB2312" w:cs="Courier New"/>
          <w:szCs w:val="32"/>
        </w:rPr>
      </w:pPr>
      <w:r>
        <w:rPr>
          <w:rFonts w:hint="eastAsia" w:ascii="仿宋_GB2312" w:hAnsi="宋体" w:eastAsia="仿宋_GB2312" w:cs="Courier New"/>
          <w:szCs w:val="32"/>
        </w:rPr>
        <w:t xml:space="preserve"> 2020年度政府采购支出总额</w:t>
      </w:r>
      <w:r>
        <w:rPr>
          <w:rFonts w:hint="eastAsia" w:ascii="仿宋_GB2312" w:hAnsi="宋体" w:eastAsia="仿宋_GB2312" w:cs="Courier New"/>
          <w:szCs w:val="32"/>
          <w:lang w:val="en-US" w:eastAsia="zh-CN"/>
        </w:rPr>
        <w:t>50.01</w:t>
      </w:r>
      <w:r>
        <w:rPr>
          <w:rFonts w:hint="eastAsia" w:ascii="仿宋_GB2312" w:hAnsi="宋体" w:eastAsia="仿宋_GB2312" w:cs="Courier New"/>
          <w:szCs w:val="32"/>
        </w:rPr>
        <w:t>万元，其中：政府采购货物支出</w:t>
      </w:r>
      <w:r>
        <w:rPr>
          <w:rFonts w:hint="eastAsia" w:ascii="仿宋_GB2312" w:hAnsi="宋体" w:eastAsia="仿宋_GB2312" w:cs="Courier New"/>
          <w:szCs w:val="32"/>
          <w:lang w:val="en-US" w:eastAsia="zh-CN"/>
        </w:rPr>
        <w:t>50.01</w:t>
      </w:r>
      <w:r>
        <w:rPr>
          <w:rFonts w:hint="eastAsia" w:ascii="仿宋_GB2312" w:hAnsi="宋体" w:eastAsia="仿宋_GB2312" w:cs="Courier New"/>
          <w:szCs w:val="32"/>
        </w:rPr>
        <w:t>万元。授予中小企业合同金额</w:t>
      </w:r>
      <w:r>
        <w:rPr>
          <w:rFonts w:hint="eastAsia" w:ascii="仿宋_GB2312" w:hAnsi="宋体" w:eastAsia="仿宋_GB2312" w:cs="Courier New"/>
          <w:szCs w:val="32"/>
          <w:lang w:val="en-US" w:eastAsia="zh-CN"/>
        </w:rPr>
        <w:t>0</w:t>
      </w:r>
      <w:r>
        <w:rPr>
          <w:rFonts w:hint="eastAsia" w:ascii="仿宋_GB2312" w:hAnsi="宋体" w:eastAsia="仿宋_GB2312" w:cs="Courier New"/>
          <w:szCs w:val="32"/>
        </w:rPr>
        <w:t>万元，占政府采购支出总额的</w:t>
      </w:r>
      <w:r>
        <w:rPr>
          <w:rFonts w:hint="eastAsia" w:ascii="仿宋_GB2312" w:hAnsi="宋体" w:eastAsia="仿宋_GB2312" w:cs="Courier New"/>
          <w:szCs w:val="32"/>
          <w:lang w:val="en-US" w:eastAsia="zh-CN"/>
        </w:rPr>
        <w:t>0</w:t>
      </w:r>
      <w:r>
        <w:rPr>
          <w:rFonts w:hint="eastAsia" w:ascii="仿宋_GB2312" w:hAnsi="宋体" w:eastAsia="仿宋_GB2312" w:cs="Courier New"/>
          <w:szCs w:val="32"/>
        </w:rPr>
        <w:t>%。</w:t>
      </w:r>
    </w:p>
    <w:p>
      <w:pPr>
        <w:spacing w:line="580" w:lineRule="exact"/>
        <w:ind w:firstLine="640" w:firstLineChars="200"/>
        <w:rPr>
          <w:rFonts w:ascii="楷体_GB2312" w:eastAsia="楷体_GB2312"/>
          <w:szCs w:val="32"/>
          <w:highlight w:val="yellow"/>
        </w:rPr>
      </w:pPr>
      <w:r>
        <w:rPr>
          <w:rFonts w:hint="eastAsia" w:ascii="楷体_GB2312" w:eastAsia="楷体_GB2312"/>
          <w:szCs w:val="32"/>
        </w:rPr>
        <w:t>（三）国有资产占用情况</w:t>
      </w:r>
    </w:p>
    <w:p>
      <w:pPr>
        <w:spacing w:line="580" w:lineRule="exact"/>
        <w:ind w:firstLine="640" w:firstLineChars="200"/>
        <w:rPr>
          <w:rFonts w:ascii="仿宋_GB2312" w:eastAsia="仿宋_GB2312"/>
          <w:szCs w:val="32"/>
        </w:rPr>
      </w:pPr>
      <w:r>
        <w:rPr>
          <w:rFonts w:hint="eastAsia" w:ascii="仿宋_GB2312" w:eastAsia="仿宋_GB2312"/>
          <w:szCs w:val="32"/>
        </w:rPr>
        <w:t xml:space="preserve">截至 2020 年 12 月 31 日，本单位共有车辆 </w:t>
      </w:r>
      <w:r>
        <w:rPr>
          <w:rFonts w:hint="eastAsia" w:ascii="仿宋_GB2312" w:eastAsia="仿宋_GB2312"/>
          <w:szCs w:val="32"/>
          <w:lang w:val="en-US" w:eastAsia="zh-CN"/>
        </w:rPr>
        <w:t>3</w:t>
      </w:r>
      <w:r>
        <w:rPr>
          <w:rFonts w:hint="eastAsia" w:ascii="仿宋_GB2312" w:eastAsia="仿宋_GB2312"/>
          <w:szCs w:val="32"/>
        </w:rPr>
        <w:t xml:space="preserve"> 辆，其中，符合规定领导干部用车 </w:t>
      </w:r>
      <w:r>
        <w:rPr>
          <w:rFonts w:hint="eastAsia" w:ascii="仿宋_GB2312" w:eastAsia="仿宋_GB2312"/>
          <w:szCs w:val="32"/>
          <w:lang w:val="en-US" w:eastAsia="zh-CN"/>
        </w:rPr>
        <w:t>0</w:t>
      </w:r>
      <w:r>
        <w:rPr>
          <w:rFonts w:hint="eastAsia" w:ascii="仿宋_GB2312" w:eastAsia="仿宋_GB2312"/>
          <w:szCs w:val="32"/>
        </w:rPr>
        <w:t>辆、机要通信用车</w:t>
      </w:r>
      <w:r>
        <w:rPr>
          <w:rFonts w:hint="eastAsia" w:ascii="仿宋_GB2312" w:eastAsia="仿宋_GB2312"/>
          <w:szCs w:val="32"/>
          <w:lang w:val="en-US" w:eastAsia="zh-CN"/>
        </w:rPr>
        <w:t>0</w:t>
      </w:r>
      <w:r>
        <w:rPr>
          <w:rFonts w:hint="eastAsia" w:ascii="仿宋_GB2312" w:eastAsia="仿宋_GB2312"/>
          <w:szCs w:val="32"/>
        </w:rPr>
        <w:t xml:space="preserve">辆、应急保障用车 </w:t>
      </w:r>
      <w:r>
        <w:rPr>
          <w:rFonts w:hint="eastAsia" w:ascii="仿宋_GB2312" w:eastAsia="仿宋_GB2312"/>
          <w:szCs w:val="32"/>
          <w:lang w:val="en-US" w:eastAsia="zh-CN"/>
        </w:rPr>
        <w:t>0</w:t>
      </w:r>
      <w:r>
        <w:rPr>
          <w:rFonts w:hint="eastAsia" w:ascii="仿宋_GB2312" w:eastAsia="仿宋_GB2312"/>
          <w:szCs w:val="32"/>
        </w:rPr>
        <w:t xml:space="preserve">辆、执法执勤用车 </w:t>
      </w:r>
      <w:r>
        <w:rPr>
          <w:rFonts w:hint="eastAsia" w:ascii="仿宋_GB2312" w:eastAsia="仿宋_GB2312"/>
          <w:szCs w:val="32"/>
          <w:lang w:val="en-US" w:eastAsia="zh-CN"/>
        </w:rPr>
        <w:t>0</w:t>
      </w:r>
      <w:r>
        <w:rPr>
          <w:rFonts w:hint="eastAsia" w:ascii="仿宋_GB2312" w:eastAsia="仿宋_GB2312"/>
          <w:szCs w:val="32"/>
        </w:rPr>
        <w:t xml:space="preserve"> 辆、特种专业技术用车 </w:t>
      </w:r>
      <w:r>
        <w:rPr>
          <w:rFonts w:hint="eastAsia" w:ascii="仿宋_GB2312" w:eastAsia="仿宋_GB2312"/>
          <w:szCs w:val="32"/>
          <w:lang w:val="en-US" w:eastAsia="zh-CN"/>
        </w:rPr>
        <w:t>0</w:t>
      </w:r>
      <w:r>
        <w:rPr>
          <w:rFonts w:hint="eastAsia" w:ascii="仿宋_GB2312" w:eastAsia="仿宋_GB2312"/>
          <w:szCs w:val="32"/>
        </w:rPr>
        <w:t xml:space="preserve">辆、离退休干部用车 </w:t>
      </w:r>
      <w:r>
        <w:rPr>
          <w:rFonts w:hint="eastAsia" w:ascii="仿宋_GB2312" w:eastAsia="仿宋_GB2312"/>
          <w:szCs w:val="32"/>
          <w:lang w:val="en-US" w:eastAsia="zh-CN"/>
        </w:rPr>
        <w:t>0</w:t>
      </w:r>
      <w:r>
        <w:rPr>
          <w:rFonts w:hint="eastAsia" w:ascii="仿宋_GB2312" w:eastAsia="仿宋_GB2312"/>
          <w:szCs w:val="32"/>
        </w:rPr>
        <w:t>辆、其他用车</w:t>
      </w:r>
      <w:r>
        <w:rPr>
          <w:rFonts w:hint="eastAsia" w:ascii="仿宋_GB2312" w:eastAsia="仿宋_GB2312"/>
          <w:szCs w:val="32"/>
          <w:lang w:val="en-US" w:eastAsia="zh-CN"/>
        </w:rPr>
        <w:t>3</w:t>
      </w:r>
      <w:r>
        <w:rPr>
          <w:rFonts w:hint="eastAsia" w:ascii="仿宋_GB2312" w:eastAsia="仿宋_GB2312"/>
          <w:szCs w:val="32"/>
        </w:rPr>
        <w:t xml:space="preserve"> 辆，其他用车主要是</w:t>
      </w:r>
      <w:r>
        <w:rPr>
          <w:rFonts w:hint="eastAsia" w:ascii="仿宋_GB2312" w:hAnsi="宋体" w:eastAsia="仿宋_GB2312" w:cs="Courier New"/>
          <w:szCs w:val="32"/>
        </w:rPr>
        <w:t>防汛抗旱及水利工程运行与维护用车</w:t>
      </w:r>
      <w:r>
        <w:rPr>
          <w:rFonts w:hint="eastAsia" w:ascii="仿宋_GB2312" w:eastAsia="仿宋_GB2312"/>
          <w:szCs w:val="32"/>
        </w:rPr>
        <w:t xml:space="preserve">；单位价值 50 万元以上通用设备 </w:t>
      </w:r>
      <w:r>
        <w:rPr>
          <w:rFonts w:hint="eastAsia" w:ascii="仿宋_GB2312" w:eastAsia="仿宋_GB2312"/>
          <w:szCs w:val="32"/>
          <w:lang w:val="en-US" w:eastAsia="zh-CN"/>
        </w:rPr>
        <w:t>0</w:t>
      </w:r>
      <w:r>
        <w:rPr>
          <w:rFonts w:hint="eastAsia" w:ascii="仿宋_GB2312" w:eastAsia="仿宋_GB2312"/>
          <w:szCs w:val="32"/>
        </w:rPr>
        <w:t xml:space="preserve"> 台（套）；单位价值 100 万元以上专用设备 </w:t>
      </w:r>
      <w:r>
        <w:rPr>
          <w:rFonts w:hint="eastAsia" w:ascii="仿宋_GB2312" w:eastAsia="仿宋_GB2312"/>
          <w:szCs w:val="32"/>
          <w:lang w:val="en-US" w:eastAsia="zh-CN"/>
        </w:rPr>
        <w:t>0</w:t>
      </w:r>
      <w:r>
        <w:rPr>
          <w:rFonts w:hint="eastAsia" w:ascii="仿宋_GB2312" w:eastAsia="仿宋_GB2312"/>
          <w:szCs w:val="32"/>
        </w:rPr>
        <w:t xml:space="preserve"> 台（套）。</w:t>
      </w:r>
    </w:p>
    <w:p>
      <w:pPr>
        <w:spacing w:line="580" w:lineRule="exact"/>
        <w:ind w:firstLine="640" w:firstLineChars="200"/>
        <w:rPr>
          <w:rFonts w:ascii="黑体" w:hAnsi="黑体" w:eastAsia="黑体"/>
          <w:szCs w:val="32"/>
        </w:rPr>
      </w:pPr>
      <w:r>
        <w:rPr>
          <w:rFonts w:hint="eastAsia" w:ascii="黑体" w:hAnsi="黑体" w:eastAsia="黑体"/>
          <w:szCs w:val="32"/>
        </w:rPr>
        <w:t>十一、预算绩效情况说明</w:t>
      </w:r>
    </w:p>
    <w:p>
      <w:pPr>
        <w:spacing w:line="580" w:lineRule="exact"/>
        <w:ind w:firstLine="640" w:firstLineChars="200"/>
        <w:rPr>
          <w:rFonts w:ascii="仿宋_GB2312" w:eastAsia="仿宋_GB2312"/>
          <w:b/>
          <w:szCs w:val="32"/>
          <w:u w:val="single"/>
        </w:rPr>
      </w:pPr>
      <w:r>
        <w:rPr>
          <w:rFonts w:hint="eastAsia" w:ascii="仿宋_GB2312" w:eastAsia="仿宋_GB2312"/>
          <w:szCs w:val="32"/>
        </w:rPr>
        <w:t>本单位未开展绩效自评工作。</w:t>
      </w:r>
    </w:p>
    <w:p>
      <w:pPr>
        <w:spacing w:line="580" w:lineRule="exact"/>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p>
    <w:p>
      <w:pPr>
        <w:rPr>
          <w:rFonts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第四部分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名词解释</w:t>
      </w: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bookmarkStart w:id="0" w:name="_GoBack"/>
      <w:bookmarkEnd w:id="0"/>
    </w:p>
    <w:p>
      <w:pPr>
        <w:spacing w:line="580" w:lineRule="exact"/>
        <w:ind w:firstLine="640" w:firstLineChars="200"/>
        <w:rPr>
          <w:rFonts w:ascii="仿宋_GB2312" w:eastAsia="仿宋_GB2312"/>
          <w:szCs w:val="32"/>
        </w:rPr>
      </w:pPr>
      <w:r>
        <w:rPr>
          <w:rFonts w:hint="eastAsia" w:ascii="黑体" w:hAnsi="黑体" w:eastAsia="黑体"/>
          <w:color w:val="000000"/>
          <w:szCs w:val="32"/>
        </w:rPr>
        <w:t>一、财政拨款收入：</w:t>
      </w:r>
      <w:r>
        <w:rPr>
          <w:rFonts w:hint="eastAsia" w:ascii="仿宋_GB2312" w:eastAsia="仿宋_GB2312"/>
          <w:szCs w:val="32"/>
        </w:rPr>
        <w:t>指单位本年度从本级财政单位取得的财政拨款，包括一般公共预算财政拨款、政府性基金预算财政拨款和国有资本经营预算财政拨款。</w:t>
      </w:r>
    </w:p>
    <w:p>
      <w:pPr>
        <w:spacing w:line="580" w:lineRule="exact"/>
        <w:ind w:firstLine="640" w:firstLineChars="200"/>
        <w:rPr>
          <w:rFonts w:ascii="仿宋_GB2312" w:hAnsi="仿宋" w:eastAsia="仿宋_GB2312"/>
          <w:szCs w:val="32"/>
        </w:rPr>
      </w:pPr>
      <w:r>
        <w:rPr>
          <w:rFonts w:hint="eastAsia" w:ascii="黑体" w:hAnsi="黑体" w:eastAsia="黑体"/>
          <w:szCs w:val="32"/>
        </w:rPr>
        <w:t>二、上级补助收入：</w:t>
      </w:r>
      <w:r>
        <w:rPr>
          <w:rFonts w:hint="eastAsia" w:ascii="仿宋_GB2312" w:hAnsi="仿宋" w:eastAsia="仿宋_GB2312"/>
          <w:szCs w:val="32"/>
        </w:rPr>
        <w:t>指事业单位从主管单位和上级单位取得的非财政补助收入。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三、事业收入：</w:t>
      </w:r>
      <w:r>
        <w:rPr>
          <w:rFonts w:hint="eastAsia" w:ascii="仿宋_GB2312" w:hAnsi="仿宋" w:eastAsia="仿宋_GB2312"/>
          <w:szCs w:val="32"/>
        </w:rPr>
        <w:t>指事业单位开展专业业务活动及其辅助活动取得的收入；包括事业单位收到的财政专户实际核拨的教育收费等。</w:t>
      </w:r>
    </w:p>
    <w:p>
      <w:pPr>
        <w:spacing w:line="580" w:lineRule="exact"/>
        <w:ind w:firstLine="640" w:firstLineChars="200"/>
        <w:rPr>
          <w:rFonts w:ascii="仿宋_GB2312" w:hAnsi="仿宋" w:eastAsia="仿宋_GB2312"/>
          <w:szCs w:val="32"/>
        </w:rPr>
      </w:pPr>
      <w:r>
        <w:rPr>
          <w:rFonts w:hint="eastAsia" w:ascii="黑体" w:hAnsi="黑体" w:eastAsia="黑体"/>
          <w:szCs w:val="32"/>
        </w:rPr>
        <w:t>四、经营收入：</w:t>
      </w:r>
      <w:r>
        <w:rPr>
          <w:rFonts w:hint="eastAsia" w:ascii="仿宋_GB2312" w:hAnsi="仿宋" w:eastAsia="仿宋_GB2312"/>
          <w:szCs w:val="32"/>
        </w:rPr>
        <w:t>指事业单位在专业业务活动及其辅助活动之外开展非独立核算经营活动取得的收入。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五、附属单位上缴收入：</w:t>
      </w:r>
      <w:r>
        <w:rPr>
          <w:rFonts w:hint="eastAsia" w:ascii="仿宋_GB2312" w:hAnsi="仿宋" w:eastAsia="仿宋_GB2312"/>
          <w:szCs w:val="32"/>
        </w:rPr>
        <w:t>指事业单位附属独立核算单位按照有关规定上缴的收入。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六、其他收入：</w:t>
      </w:r>
      <w:r>
        <w:rPr>
          <w:rFonts w:hint="eastAsia" w:ascii="仿宋_GB2312" w:hAnsi="仿宋" w:eastAsia="仿宋_GB2312"/>
          <w:szCs w:val="32"/>
        </w:rPr>
        <w:t>指单位取得的除上述“</w:t>
      </w:r>
      <w:r>
        <w:rPr>
          <w:rFonts w:hint="eastAsia" w:ascii="仿宋_GB2312" w:eastAsia="仿宋_GB2312"/>
          <w:szCs w:val="32"/>
        </w:rPr>
        <w:t>财政拨款收入</w:t>
      </w:r>
      <w:r>
        <w:rPr>
          <w:rFonts w:hint="eastAsia" w:ascii="仿宋_GB2312" w:hAnsi="仿宋" w:eastAsia="仿宋_GB2312"/>
          <w:szCs w:val="32"/>
        </w:rPr>
        <w:t>”“上级补助收入”“事业收入”“经营收入”“附属单位上缴收入”等以外的各项收入。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七、使用非财政拨款结余：</w:t>
      </w:r>
      <w:r>
        <w:rPr>
          <w:rFonts w:hint="eastAsia" w:ascii="仿宋_GB2312" w:hAnsi="仿宋" w:eastAsia="仿宋_GB2312"/>
          <w:szCs w:val="32"/>
        </w:rPr>
        <w:t>指事业单位按照预算管理要求使用非财政拨款结余弥补收支差额的金额。</w:t>
      </w:r>
    </w:p>
    <w:p>
      <w:pPr>
        <w:spacing w:line="580" w:lineRule="exact"/>
        <w:ind w:firstLine="640" w:firstLineChars="200"/>
        <w:rPr>
          <w:rFonts w:ascii="仿宋_GB2312" w:eastAsia="仿宋_GB2312"/>
          <w:szCs w:val="32"/>
        </w:rPr>
      </w:pPr>
      <w:r>
        <w:rPr>
          <w:rFonts w:hint="eastAsia" w:ascii="黑体" w:hAnsi="黑体" w:eastAsia="黑体"/>
          <w:szCs w:val="32"/>
        </w:rPr>
        <w:t>八、年初结转和结余：</w:t>
      </w:r>
      <w:r>
        <w:rPr>
          <w:rFonts w:hint="eastAsia" w:ascii="仿宋_GB2312" w:eastAsia="仿宋_GB2312"/>
          <w:szCs w:val="32"/>
        </w:rPr>
        <w:t>指单位以前年度尚未完成、结转到本年仍按原规定用途继续使用的资金，或项目已完成等产生的结余资金。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九、结余分配：</w:t>
      </w:r>
      <w:r>
        <w:rPr>
          <w:rFonts w:hint="eastAsia" w:ascii="仿宋_GB2312" w:eastAsia="仿宋_GB2312"/>
          <w:szCs w:val="32"/>
        </w:rPr>
        <w:t>指事业单位缴纳的所得税以及从非财政拨款结余或经营结余中提取的各类结余。</w:t>
      </w:r>
    </w:p>
    <w:p>
      <w:pPr>
        <w:spacing w:line="580" w:lineRule="exact"/>
        <w:ind w:firstLine="640" w:firstLineChars="200"/>
        <w:rPr>
          <w:rFonts w:ascii="仿宋_GB2312" w:hAnsi="仿宋" w:eastAsia="仿宋_GB2312"/>
          <w:szCs w:val="32"/>
        </w:rPr>
      </w:pPr>
      <w:r>
        <w:rPr>
          <w:rFonts w:hint="eastAsia" w:ascii="黑体" w:hAnsi="黑体" w:eastAsia="黑体"/>
          <w:szCs w:val="32"/>
        </w:rPr>
        <w:t>十、年末结转和结余：</w:t>
      </w:r>
      <w:r>
        <w:rPr>
          <w:rFonts w:hint="eastAsia" w:ascii="仿宋_GB2312" w:hAnsi="仿宋" w:eastAsia="仿宋_GB2312"/>
          <w:szCs w:val="32"/>
        </w:rPr>
        <w:t>指单位本年度或以前年度预算安排、因客观条件发生变化未全部执行或未执行，结转到以后年度继续使用的资金，或项目已完成等产生的结余资金。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十一、基本支出：</w:t>
      </w:r>
      <w:r>
        <w:rPr>
          <w:rFonts w:hint="eastAsia" w:ascii="仿宋_GB2312" w:eastAsia="仿宋_GB2312"/>
          <w:szCs w:val="32"/>
        </w:rPr>
        <w:t>指单位为保障机构正常运转、完成日常工作任务而发生的各项支出。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十二、项目支出：</w:t>
      </w:r>
      <w:r>
        <w:rPr>
          <w:rFonts w:hint="eastAsia" w:ascii="仿宋_GB2312" w:eastAsia="仿宋_GB2312"/>
          <w:szCs w:val="32"/>
        </w:rPr>
        <w:t>指单位为完成特定的行政工作任务或事业发展目标，在基本支出之外发生的各项支出。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十三、经营支出：</w:t>
      </w:r>
      <w:r>
        <w:rPr>
          <w:rFonts w:hint="eastAsia" w:ascii="仿宋_GB2312" w:eastAsia="仿宋_GB2312"/>
          <w:szCs w:val="32"/>
        </w:rPr>
        <w:t>指事业单位在专业业务活动及其辅助活动之外开展非独立核算经营活动发生的支出。</w:t>
      </w:r>
    </w:p>
    <w:p>
      <w:pPr>
        <w:spacing w:line="580" w:lineRule="exact"/>
        <w:ind w:firstLine="640" w:firstLineChars="200"/>
        <w:rPr>
          <w:rFonts w:ascii="仿宋_GB2312" w:eastAsia="仿宋_GB2312"/>
          <w:szCs w:val="32"/>
        </w:rPr>
      </w:pPr>
      <w:r>
        <w:rPr>
          <w:rFonts w:hint="eastAsia" w:ascii="黑体" w:hAnsi="黑体" w:eastAsia="黑体"/>
          <w:szCs w:val="32"/>
        </w:rPr>
        <w:t>十四、“三公”经费：</w:t>
      </w:r>
      <w:r>
        <w:rPr>
          <w:rFonts w:hint="eastAsia" w:ascii="仿宋_GB2312" w:eastAsia="仿宋_GB231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按规定保留的公务用车燃料费、维修费、过桥过路费、保险费、安全奖励费用等支出；公务接待费反映单位按规定开支的各类公务接待（含外宾接待）支出。</w:t>
      </w:r>
    </w:p>
    <w:p>
      <w:pPr>
        <w:spacing w:line="580" w:lineRule="exact"/>
        <w:ind w:firstLine="640" w:firstLineChars="200"/>
        <w:rPr>
          <w:rFonts w:ascii="仿宋_GB2312" w:eastAsia="仿宋_GB2312"/>
          <w:szCs w:val="32"/>
        </w:rPr>
      </w:pPr>
      <w:r>
        <w:rPr>
          <w:rFonts w:hint="eastAsia" w:ascii="黑体" w:hAnsi="黑体" w:eastAsia="黑体"/>
          <w:szCs w:val="32"/>
        </w:rPr>
        <w:t>十五、机关运行经费：</w:t>
      </w:r>
      <w:r>
        <w:rPr>
          <w:rFonts w:hint="eastAsia" w:ascii="仿宋_GB2312" w:eastAsia="仿宋_GB2312"/>
          <w:szCs w:val="32"/>
        </w:rPr>
        <w:t>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exact"/>
        <w:ind w:firstLine="640" w:firstLineChars="200"/>
        <w:rPr>
          <w:rFonts w:hint="eastAsia" w:ascii="仿宋_GB2312" w:eastAsia="仿宋_GB2312"/>
          <w:szCs w:val="32"/>
        </w:rPr>
      </w:pPr>
      <w:r>
        <w:rPr>
          <w:rFonts w:hint="eastAsia" w:ascii="黑体" w:hAnsi="黑体" w:eastAsia="黑体"/>
          <w:szCs w:val="32"/>
        </w:rPr>
        <w:t>十六、一般公共服务支出（类）财政事务（款）行政运行（项）：</w:t>
      </w:r>
      <w:r>
        <w:rPr>
          <w:rFonts w:hint="eastAsia" w:ascii="仿宋_GB2312" w:eastAsia="仿宋_GB2312"/>
          <w:szCs w:val="32"/>
        </w:rPr>
        <w:t>反映行政单位（包括实行公务员管理的事业单位）的基本支出。</w:t>
      </w:r>
    </w:p>
    <w:p>
      <w:pPr>
        <w:spacing w:line="580" w:lineRule="exact"/>
        <w:ind w:firstLine="640" w:firstLineChars="200"/>
        <w:rPr>
          <w:rFonts w:hint="eastAsia" w:ascii="仿宋_GB2312" w:eastAsia="仿宋_GB2312"/>
          <w:szCs w:val="32"/>
        </w:rPr>
      </w:pPr>
      <w:r>
        <w:rPr>
          <w:rFonts w:hint="eastAsia" w:ascii="黑体" w:hAnsi="黑体" w:eastAsia="黑体"/>
          <w:szCs w:val="32"/>
        </w:rPr>
        <w:t>十七、一般公共服务支出（类）财政事务（款）一般行政管理事务（项）：</w:t>
      </w:r>
      <w:r>
        <w:rPr>
          <w:rFonts w:hint="eastAsia" w:ascii="仿宋_GB2312" w:eastAsia="仿宋_GB2312"/>
          <w:szCs w:val="32"/>
        </w:rPr>
        <w:t>反映行政单位（包括实行公务员管理的事业单位）未单独设置项级科目的其他项目支出。</w:t>
      </w:r>
    </w:p>
    <w:p>
      <w:pPr>
        <w:spacing w:line="580" w:lineRule="exact"/>
        <w:ind w:firstLine="643" w:firstLineChars="200"/>
        <w:rPr>
          <w:rFonts w:ascii="仿宋_GB2312" w:eastAsia="仿宋_GB2312"/>
          <w:b/>
          <w:szCs w:val="32"/>
          <w:highlight w:val="lightGray"/>
        </w:rPr>
      </w:pPr>
    </w:p>
    <w:p>
      <w:pPr>
        <w:spacing w:line="580" w:lineRule="exact"/>
        <w:ind w:firstLine="540" w:firstLineChars="100"/>
        <w:rPr>
          <w:rFonts w:ascii="方正小标宋简体" w:eastAsia="方正小标宋简体"/>
          <w:spacing w:val="60"/>
          <w:sz w:val="42"/>
        </w:rPr>
      </w:pPr>
    </w:p>
    <w:p>
      <w:pPr>
        <w:spacing w:line="580" w:lineRule="exact"/>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overflowPunct w:val="0"/>
        <w:adjustRightInd w:val="0"/>
        <w:snapToGrid w:val="0"/>
        <w:spacing w:line="580" w:lineRule="exact"/>
        <w:outlineLvl w:val="0"/>
        <w:rPr>
          <w:rFonts w:ascii="方正小标宋简体" w:eastAsia="方正小标宋简体"/>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文星简仿宋">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773"/>
    <w:rsid w:val="00053C64"/>
    <w:rsid w:val="000D4E69"/>
    <w:rsid w:val="00115443"/>
    <w:rsid w:val="0016102C"/>
    <w:rsid w:val="001E06E2"/>
    <w:rsid w:val="001E3742"/>
    <w:rsid w:val="00280B9A"/>
    <w:rsid w:val="002833EF"/>
    <w:rsid w:val="002C4A18"/>
    <w:rsid w:val="002F4E5A"/>
    <w:rsid w:val="00314773"/>
    <w:rsid w:val="00340D64"/>
    <w:rsid w:val="003D5BCB"/>
    <w:rsid w:val="005972E0"/>
    <w:rsid w:val="005C0A23"/>
    <w:rsid w:val="006658FE"/>
    <w:rsid w:val="006A2122"/>
    <w:rsid w:val="006A2817"/>
    <w:rsid w:val="00704EB5"/>
    <w:rsid w:val="007177EF"/>
    <w:rsid w:val="00773F22"/>
    <w:rsid w:val="007A67C5"/>
    <w:rsid w:val="007F09F4"/>
    <w:rsid w:val="007F0AEF"/>
    <w:rsid w:val="008E24D4"/>
    <w:rsid w:val="00923380"/>
    <w:rsid w:val="00924D86"/>
    <w:rsid w:val="009A1239"/>
    <w:rsid w:val="009E0860"/>
    <w:rsid w:val="00A12F4D"/>
    <w:rsid w:val="00A204EA"/>
    <w:rsid w:val="00AA3299"/>
    <w:rsid w:val="00AB73E6"/>
    <w:rsid w:val="00AC0069"/>
    <w:rsid w:val="00B52518"/>
    <w:rsid w:val="00B54D70"/>
    <w:rsid w:val="00BA42CA"/>
    <w:rsid w:val="00BD2FBC"/>
    <w:rsid w:val="00C0481A"/>
    <w:rsid w:val="00CF67CD"/>
    <w:rsid w:val="00D75B08"/>
    <w:rsid w:val="00D77CB7"/>
    <w:rsid w:val="00DD1239"/>
    <w:rsid w:val="00EA76BD"/>
    <w:rsid w:val="00FE7BA8"/>
    <w:rsid w:val="011521F8"/>
    <w:rsid w:val="01AB2DB3"/>
    <w:rsid w:val="04AC323E"/>
    <w:rsid w:val="064A765D"/>
    <w:rsid w:val="23477891"/>
    <w:rsid w:val="2C563B35"/>
    <w:rsid w:val="2E2117AA"/>
    <w:rsid w:val="2F0D29E5"/>
    <w:rsid w:val="38002191"/>
    <w:rsid w:val="3FCC06C3"/>
    <w:rsid w:val="42287703"/>
    <w:rsid w:val="42A47EBA"/>
    <w:rsid w:val="42AD457D"/>
    <w:rsid w:val="45970C9E"/>
    <w:rsid w:val="46641468"/>
    <w:rsid w:val="4769372A"/>
    <w:rsid w:val="48C32428"/>
    <w:rsid w:val="49280E3D"/>
    <w:rsid w:val="4D3D501F"/>
    <w:rsid w:val="5DDB3286"/>
    <w:rsid w:val="5E037C95"/>
    <w:rsid w:val="60C91A4A"/>
    <w:rsid w:val="646100D3"/>
    <w:rsid w:val="7362564F"/>
    <w:rsid w:val="76392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uiPriority w:val="0"/>
    <w:rPr>
      <w:rFonts w:ascii="宋体" w:hAnsiTheme="minorHAnsi" w:eastAsiaTheme="minorEastAsia" w:cstheme="minorBidi"/>
      <w:sz w:val="18"/>
      <w:szCs w:val="18"/>
    </w:rPr>
  </w:style>
  <w:style w:type="paragraph" w:styleId="3">
    <w:name w:val="Body Text Indent 2"/>
    <w:basedOn w:val="1"/>
    <w:link w:val="17"/>
    <w:uiPriority w:val="0"/>
    <w:pPr>
      <w:ind w:firstLine="640" w:firstLineChars="200"/>
    </w:pPr>
    <w:rPr>
      <w:rFonts w:ascii="楷体_GB2312" w:hAnsi="Courier New" w:eastAsia="楷体_GB2312" w:cstheme="minorBidi"/>
      <w:szCs w:val="22"/>
    </w:rPr>
  </w:style>
  <w:style w:type="paragraph" w:styleId="4">
    <w:name w:val="Balloon Text"/>
    <w:basedOn w:val="1"/>
    <w:link w:val="22"/>
    <w:semiHidden/>
    <w:uiPriority w:val="0"/>
    <w:rPr>
      <w:sz w:val="18"/>
      <w:szCs w:val="18"/>
    </w:rPr>
  </w:style>
  <w:style w:type="paragraph" w:styleId="5">
    <w:name w:val="footer"/>
    <w:basedOn w:val="1"/>
    <w:link w:val="13"/>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Subtitle"/>
    <w:basedOn w:val="1"/>
    <w:next w:val="1"/>
    <w:link w:val="18"/>
    <w:qFormat/>
    <w:uiPriority w:val="11"/>
    <w:pPr>
      <w:spacing w:before="240" w:after="60" w:line="312" w:lineRule="auto"/>
      <w:jc w:val="center"/>
      <w:outlineLvl w:val="1"/>
    </w:pPr>
    <w:rPr>
      <w:rFonts w:ascii="Cambria" w:hAnsi="Cambria" w:eastAsiaTheme="minorEastAsia"/>
      <w:b/>
      <w:bCs/>
      <w:kern w:val="28"/>
      <w:szCs w:val="32"/>
    </w:rPr>
  </w:style>
  <w:style w:type="paragraph" w:styleId="8">
    <w:name w:val="Title"/>
    <w:basedOn w:val="1"/>
    <w:next w:val="1"/>
    <w:link w:val="14"/>
    <w:qFormat/>
    <w:uiPriority w:val="0"/>
    <w:pPr>
      <w:spacing w:before="240" w:after="60"/>
      <w:jc w:val="center"/>
      <w:outlineLvl w:val="0"/>
    </w:pPr>
    <w:rPr>
      <w:rFonts w:ascii="Cambria" w:hAnsi="Cambria" w:eastAsiaTheme="minorEastAsia"/>
      <w:b/>
      <w:bCs/>
      <w:szCs w:val="32"/>
    </w:rPr>
  </w:style>
  <w:style w:type="character" w:styleId="11">
    <w:name w:val="page number"/>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标题 Char"/>
    <w:link w:val="8"/>
    <w:qFormat/>
    <w:uiPriority w:val="0"/>
    <w:rPr>
      <w:rFonts w:ascii="Cambria" w:hAnsi="Cambria" w:cs="Times New Roman"/>
      <w:b/>
      <w:bCs/>
      <w:sz w:val="32"/>
      <w:szCs w:val="32"/>
    </w:rPr>
  </w:style>
  <w:style w:type="character" w:customStyle="1" w:styleId="15">
    <w:name w:val="样式 仿宋 三号 Char"/>
    <w:qFormat/>
    <w:uiPriority w:val="0"/>
    <w:rPr>
      <w:rFonts w:ascii="仿宋" w:hAnsi="仿宋" w:eastAsia="仿宋" w:cs="宋体"/>
      <w:kern w:val="2"/>
      <w:sz w:val="32"/>
      <w:lang w:val="en-US" w:eastAsia="zh-CN" w:bidi="ar-SA"/>
    </w:rPr>
  </w:style>
  <w:style w:type="character" w:customStyle="1" w:styleId="16">
    <w:name w:val="文档结构图 Char"/>
    <w:link w:val="2"/>
    <w:qFormat/>
    <w:uiPriority w:val="0"/>
    <w:rPr>
      <w:rFonts w:ascii="宋体"/>
      <w:sz w:val="18"/>
      <w:szCs w:val="18"/>
    </w:rPr>
  </w:style>
  <w:style w:type="character" w:customStyle="1" w:styleId="17">
    <w:name w:val="正文文本缩进 2 Char"/>
    <w:link w:val="3"/>
    <w:uiPriority w:val="0"/>
    <w:rPr>
      <w:rFonts w:ascii="楷体_GB2312" w:hAnsi="Courier New" w:eastAsia="楷体_GB2312"/>
      <w:sz w:val="32"/>
    </w:rPr>
  </w:style>
  <w:style w:type="character" w:customStyle="1" w:styleId="18">
    <w:name w:val="副标题 Char"/>
    <w:link w:val="7"/>
    <w:qFormat/>
    <w:uiPriority w:val="11"/>
    <w:rPr>
      <w:rFonts w:ascii="Cambria" w:hAnsi="Cambria" w:cs="Times New Roman"/>
      <w:b/>
      <w:bCs/>
      <w:kern w:val="28"/>
      <w:sz w:val="32"/>
      <w:szCs w:val="32"/>
    </w:rPr>
  </w:style>
  <w:style w:type="character" w:customStyle="1" w:styleId="19">
    <w:name w:val="p0{858D7CFB-ED40-4347-BF05-701D383B685F}"/>
    <w:link w:val="20"/>
    <w:qFormat/>
    <w:uiPriority w:val="0"/>
    <w:rPr>
      <w:kern w:val="0"/>
      <w:szCs w:val="21"/>
    </w:rPr>
  </w:style>
  <w:style w:type="paragraph" w:customStyle="1" w:styleId="20">
    <w:name w:val="p0"/>
    <w:basedOn w:val="1"/>
    <w:link w:val="19"/>
    <w:qFormat/>
    <w:uiPriority w:val="0"/>
    <w:pPr>
      <w:widowControl/>
    </w:pPr>
    <w:rPr>
      <w:rFonts w:asciiTheme="minorHAnsi" w:hAnsiTheme="minorHAnsi" w:eastAsiaTheme="minorEastAsia" w:cstheme="minorBidi"/>
      <w:kern w:val="0"/>
      <w:sz w:val="21"/>
      <w:szCs w:val="21"/>
    </w:rPr>
  </w:style>
  <w:style w:type="character" w:customStyle="1" w:styleId="21">
    <w:name w:val="页码1"/>
    <w:uiPriority w:val="0"/>
  </w:style>
  <w:style w:type="character" w:customStyle="1" w:styleId="22">
    <w:name w:val="批注框文本 Char"/>
    <w:basedOn w:val="10"/>
    <w:link w:val="4"/>
    <w:semiHidden/>
    <w:qFormat/>
    <w:uiPriority w:val="0"/>
    <w:rPr>
      <w:rFonts w:ascii="Times New Roman" w:hAnsi="Times New Roman" w:eastAsia="宋体" w:cs="Times New Roman"/>
      <w:sz w:val="18"/>
      <w:szCs w:val="18"/>
    </w:rPr>
  </w:style>
  <w:style w:type="paragraph" w:customStyle="1" w:styleId="23">
    <w:name w:val="Char"/>
    <w:basedOn w:val="1"/>
    <w:qFormat/>
    <w:uiPriority w:val="0"/>
    <w:pPr>
      <w:widowControl/>
      <w:jc w:val="left"/>
    </w:pPr>
  </w:style>
  <w:style w:type="character" w:customStyle="1" w:styleId="24">
    <w:name w:val="正文文本缩进 2 Char1"/>
    <w:basedOn w:val="10"/>
    <w:semiHidden/>
    <w:qFormat/>
    <w:uiPriority w:val="99"/>
    <w:rPr>
      <w:rFonts w:ascii="Times New Roman" w:hAnsi="Times New Roman" w:eastAsia="宋体" w:cs="Times New Roman"/>
      <w:sz w:val="32"/>
      <w:szCs w:val="24"/>
    </w:rPr>
  </w:style>
  <w:style w:type="character" w:customStyle="1" w:styleId="25">
    <w:name w:val="文档结构图 Char1"/>
    <w:basedOn w:val="10"/>
    <w:semiHidden/>
    <w:uiPriority w:val="99"/>
    <w:rPr>
      <w:rFonts w:ascii="宋体" w:hAnsi="Times New Roman" w:eastAsia="宋体" w:cs="Times New Roman"/>
      <w:sz w:val="18"/>
      <w:szCs w:val="18"/>
    </w:rPr>
  </w:style>
  <w:style w:type="character" w:customStyle="1" w:styleId="26">
    <w:name w:val="标题 Char1"/>
    <w:basedOn w:val="10"/>
    <w:qFormat/>
    <w:uiPriority w:val="10"/>
    <w:rPr>
      <w:rFonts w:eastAsia="宋体" w:asciiTheme="majorHAnsi" w:hAnsiTheme="majorHAnsi" w:cstheme="majorBidi"/>
      <w:b/>
      <w:bCs/>
      <w:sz w:val="32"/>
      <w:szCs w:val="32"/>
    </w:rPr>
  </w:style>
  <w:style w:type="character" w:customStyle="1" w:styleId="27">
    <w:name w:val="副标题 Char1"/>
    <w:basedOn w:val="10"/>
    <w:qFormat/>
    <w:uiPriority w:val="11"/>
    <w:rPr>
      <w:rFonts w:eastAsia="宋体" w:asciiTheme="majorHAnsi" w:hAnsiTheme="majorHAnsi" w:cstheme="majorBidi"/>
      <w:b/>
      <w:bCs/>
      <w:kern w:val="28"/>
      <w:sz w:val="32"/>
      <w:szCs w:val="32"/>
    </w:rPr>
  </w:style>
  <w:style w:type="paragraph" w:customStyle="1" w:styleId="28">
    <w:name w:val="p17"/>
    <w:basedOn w:val="1"/>
    <w:qFormat/>
    <w:uiPriority w:val="0"/>
    <w:pPr>
      <w:widowControl/>
    </w:pPr>
    <w:rPr>
      <w:rFonts w:ascii="宋体" w:hAnsi="宋体" w:cs="宋体"/>
      <w:kern w:val="0"/>
      <w:szCs w:val="21"/>
    </w:rPr>
  </w:style>
  <w:style w:type="paragraph" w:customStyle="1" w:styleId="29">
    <w:name w:val="Char Char Char Char"/>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收入支出决算总体情况图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收入总计</c:v>
                </c:pt>
                <c:pt idx="1">
                  <c:v>支出总计</c:v>
                </c:pt>
              </c:strCache>
            </c:strRef>
          </c:cat>
          <c:val>
            <c:numRef>
              <c:f>Sheet1!$B$2:$B$5</c:f>
              <c:numCache>
                <c:formatCode>General</c:formatCode>
                <c:ptCount val="4"/>
                <c:pt idx="0">
                  <c:v>294.86</c:v>
                </c:pt>
                <c:pt idx="1">
                  <c:v>304.37</c:v>
                </c:pt>
              </c:numCache>
            </c:numRef>
          </c:val>
        </c:ser>
        <c:ser>
          <c:idx val="1"/>
          <c:order val="1"/>
          <c:tx>
            <c:strRef>
              <c:f>Sheet1!$C$1</c:f>
              <c:strCache>
                <c:ptCount val="1"/>
                <c:pt idx="0">
                  <c:v>2020年（单位：万元）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收入总计</c:v>
                </c:pt>
                <c:pt idx="1">
                  <c:v>支出总计</c:v>
                </c:pt>
              </c:strCache>
            </c:strRef>
          </c:cat>
          <c:val>
            <c:numRef>
              <c:f>Sheet1!$C$2:$C$5</c:f>
              <c:numCache>
                <c:formatCode>General</c:formatCode>
                <c:ptCount val="4"/>
                <c:pt idx="0">
                  <c:v>229.47</c:v>
                </c:pt>
                <c:pt idx="1">
                  <c:v>229.47</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收入总计</c:v>
                </c:pt>
                <c:pt idx="1">
                  <c:v>支出总计</c:v>
                </c:pt>
              </c:strCache>
            </c:strRef>
          </c:cat>
          <c:val>
            <c:numRef>
              <c:f>Sheet1!$D$2:$D$5</c:f>
              <c:numCache>
                <c:formatCode>General</c:formatCode>
                <c:ptCount val="4"/>
              </c:numCache>
            </c:numRef>
          </c:val>
        </c:ser>
        <c:dLbls>
          <c:showLegendKey val="0"/>
          <c:showVal val="1"/>
          <c:showCatName val="0"/>
          <c:showSerName val="0"/>
          <c:showPercent val="0"/>
          <c:showBubbleSize val="0"/>
        </c:dLbls>
        <c:gapWidth val="219"/>
        <c:overlap val="-27"/>
        <c:axId val="201964056"/>
        <c:axId val="353511114"/>
      </c:barChart>
      <c:catAx>
        <c:axId val="2019640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3511114"/>
        <c:crosses val="autoZero"/>
        <c:auto val="1"/>
        <c:lblAlgn val="ctr"/>
        <c:lblOffset val="100"/>
        <c:noMultiLvlLbl val="0"/>
      </c:catAx>
      <c:valAx>
        <c:axId val="35351111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196405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收入决算情况图</a:t>
            </a:r>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1"/>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上级补助收入</c:v>
                </c:pt>
              </c:strCache>
            </c:strRef>
          </c:cat>
          <c:val>
            <c:numRef>
              <c:f>Sheet1!$B$2:$B$5</c:f>
              <c:numCache>
                <c:formatCode>General</c:formatCode>
                <c:ptCount val="4"/>
                <c:pt idx="0">
                  <c:v>217.8</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列2</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130.55</c:v>
                </c:pt>
                <c:pt idx="1">
                  <c:v>80.29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财政拨款收入支出决算总体情况图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2019</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294.86</c:v>
                </c:pt>
                <c:pt idx="1">
                  <c:v>304.37</c:v>
                </c:pt>
              </c:numCache>
            </c:numRef>
          </c:val>
        </c:ser>
        <c:ser>
          <c:idx val="1"/>
          <c:order val="1"/>
          <c:tx>
            <c:strRef>
              <c:f>Sheet1!$C$1</c:f>
              <c:strCache>
                <c:ptCount val="1"/>
                <c:pt idx="0">
                  <c:v>2020（单位：万元）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229.47</c:v>
                </c:pt>
                <c:pt idx="1">
                  <c:v>229.47</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Sheet1!$D$2:$D$3</c:f>
              <c:numCache>
                <c:formatCode>General</c:formatCode>
                <c:ptCount val="2"/>
              </c:numCache>
            </c:numRef>
          </c:val>
        </c:ser>
        <c:dLbls>
          <c:showLegendKey val="0"/>
          <c:showVal val="1"/>
          <c:showCatName val="0"/>
          <c:showSerName val="0"/>
          <c:showPercent val="0"/>
          <c:showBubbleSize val="0"/>
        </c:dLbls>
        <c:gapWidth val="219"/>
        <c:overlap val="-27"/>
        <c:axId val="461629205"/>
        <c:axId val="979422447"/>
      </c:barChart>
      <c:catAx>
        <c:axId val="46162920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9422447"/>
        <c:crosses val="autoZero"/>
        <c:auto val="1"/>
        <c:lblAlgn val="ctr"/>
        <c:lblOffset val="100"/>
        <c:noMultiLvlLbl val="0"/>
      </c:catAx>
      <c:valAx>
        <c:axId val="979422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162920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财政拨款收、支决算总计变动情况图</a:t>
            </a:r>
          </a:p>
        </c:rich>
      </c:tx>
      <c:layout>
        <c:manualLayout>
          <c:xMode val="edge"/>
          <c:yMode val="edge"/>
          <c:x val="0.248625"/>
          <c:y val="0.0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财政拨款支出</c:v>
                </c:pt>
              </c:strCache>
            </c:strRef>
          </c:cat>
          <c:val>
            <c:numRef>
              <c:f>Sheet1!$B$2:$B$5</c:f>
              <c:numCache>
                <c:formatCode>General</c:formatCode>
                <c:ptCount val="4"/>
                <c:pt idx="0">
                  <c:v>294.86</c:v>
                </c:pt>
                <c:pt idx="1">
                  <c:v>304.37</c:v>
                </c:pt>
              </c:numCache>
            </c:numRef>
          </c:val>
        </c:ser>
        <c:ser>
          <c:idx val="1"/>
          <c:order val="1"/>
          <c:tx>
            <c:strRef>
              <c:f>Sheet1!$C$1</c:f>
              <c:strCache>
                <c:ptCount val="1"/>
                <c:pt idx="0">
                  <c:v>2020年（单位：万元）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财政拨款支出</c:v>
                </c:pt>
              </c:strCache>
            </c:strRef>
          </c:cat>
          <c:val>
            <c:numRef>
              <c:f>Sheet1!$C$2:$C$5</c:f>
              <c:numCache>
                <c:formatCode>General</c:formatCode>
                <c:ptCount val="4"/>
                <c:pt idx="0">
                  <c:v>229.47</c:v>
                </c:pt>
                <c:pt idx="1">
                  <c:v>229.47</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财政拨款支出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219"/>
        <c:overlap val="-27"/>
        <c:axId val="303837928"/>
        <c:axId val="193821125"/>
      </c:barChart>
      <c:catAx>
        <c:axId val="30383792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3821125"/>
        <c:crosses val="autoZero"/>
        <c:auto val="1"/>
        <c:lblAlgn val="ctr"/>
        <c:lblOffset val="100"/>
        <c:noMultiLvlLbl val="0"/>
      </c:catAx>
      <c:valAx>
        <c:axId val="19382112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383792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财政拨款支出决算情况图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一般公共预算财政拨款支出</c:v>
                </c:pt>
              </c:strCache>
            </c:strRef>
          </c:cat>
          <c:val>
            <c:numRef>
              <c:f>Sheet1!$B$2:$B$5</c:f>
              <c:numCache>
                <c:formatCode>General</c:formatCode>
                <c:ptCount val="4"/>
                <c:pt idx="0">
                  <c:v>304.37</c:v>
                </c:pt>
              </c:numCache>
            </c:numRef>
          </c:val>
        </c:ser>
        <c:ser>
          <c:idx val="1"/>
          <c:order val="1"/>
          <c:tx>
            <c:strRef>
              <c:f>Sheet1!$C$1</c:f>
              <c:strCache>
                <c:ptCount val="1"/>
                <c:pt idx="0">
                  <c:v>2020年（单位：万元）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一般公共预算财政拨款支出</c:v>
                </c:pt>
              </c:strCache>
            </c:strRef>
          </c:cat>
          <c:val>
            <c:numRef>
              <c:f>Sheet1!$C$2:$C$5</c:f>
              <c:numCache>
                <c:formatCode>General</c:formatCode>
                <c:ptCount val="4"/>
                <c:pt idx="0">
                  <c:v>211.84</c:v>
                </c:pt>
              </c:numCache>
            </c:numRef>
          </c:val>
        </c:ser>
        <c:ser>
          <c:idx val="2"/>
          <c:order val="2"/>
          <c:tx>
            <c:strRef>
              <c:f>Sheet1!$D$1</c:f>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一般公共预算财政拨款支出</c:v>
                </c:pt>
              </c:strCache>
            </c:strRef>
          </c:cat>
          <c:val>
            <c:numRef>
              <c:f>Sheet1!$D$2:$D$5</c:f>
              <c:numCache>
                <c:formatCode>General</c:formatCode>
                <c:ptCount val="4"/>
              </c:numCache>
            </c:numRef>
          </c:val>
        </c:ser>
        <c:dLbls>
          <c:showLegendKey val="0"/>
          <c:showVal val="1"/>
          <c:showCatName val="0"/>
          <c:showSerName val="0"/>
          <c:showPercent val="0"/>
          <c:showBubbleSize val="0"/>
        </c:dLbls>
        <c:gapWidth val="219"/>
        <c:overlap val="-27"/>
        <c:axId val="625020750"/>
        <c:axId val="518305322"/>
      </c:barChart>
      <c:catAx>
        <c:axId val="6250207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8305322"/>
        <c:crosses val="autoZero"/>
        <c:auto val="1"/>
        <c:lblAlgn val="ctr"/>
        <c:lblOffset val="100"/>
        <c:noMultiLvlLbl val="0"/>
      </c:catAx>
      <c:valAx>
        <c:axId val="51830532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502075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财政拨款支出决算结构图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一般公共服务（类）支出</c:v>
                </c:pt>
                <c:pt idx="1">
                  <c:v>国防（类）支出</c:v>
                </c:pt>
              </c:strCache>
            </c:strRef>
          </c:cat>
          <c:val>
            <c:numRef>
              <c:f>Sheet1!$B$2:$B$5</c:f>
              <c:numCache>
                <c:formatCode>General</c:formatCode>
                <c:ptCount val="4"/>
                <c:pt idx="0">
                  <c:v>211.84</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C7EB44-006B-43EE-9E01-27DCF3324F64}">
  <ds:schemaRefs/>
</ds:datastoreItem>
</file>

<file path=docProps/app.xml><?xml version="1.0" encoding="utf-8"?>
<Properties xmlns="http://schemas.openxmlformats.org/officeDocument/2006/extended-properties" xmlns:vt="http://schemas.openxmlformats.org/officeDocument/2006/docPropsVTypes">
  <Template>Normal</Template>
  <Pages>40</Pages>
  <Words>2773</Words>
  <Characters>15812</Characters>
  <Lines>131</Lines>
  <Paragraphs>37</Paragraphs>
  <TotalTime>10</TotalTime>
  <ScaleCrop>false</ScaleCrop>
  <LinksUpToDate>false</LinksUpToDate>
  <CharactersWithSpaces>18548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2021-08-16T09:56:00Z</dcterms:created>
  <dc:creator>1</dc:creator>
  <cp:lastModifiedBy>Administrator</cp:lastModifiedBy>
  <dcterms:modified xsi:type="dcterms:W3CDTF">2021-08-27T08:00:01Z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F90B981305AD493CB442C3354FC7CCF3</vt:lpwstr>
  </property>
</Properties>
</file>