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200"/>
        <w:jc w:val="right"/>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方正小标宋简体" w:eastAsia="方正小标宋简体"/>
          <w:spacing w:val="60"/>
          <w:sz w:val="74"/>
        </w:rPr>
      </w:pPr>
      <w:r>
        <w:rPr>
          <w:rFonts w:hint="eastAsia" w:ascii="方正小标宋简体" w:eastAsia="方正小标宋简体"/>
          <w:spacing w:val="60"/>
          <w:sz w:val="74"/>
        </w:rPr>
        <w:t>2020年度</w:t>
      </w:r>
      <w:bookmarkStart w:id="0" w:name="_GoBack"/>
      <w:bookmarkEnd w:id="0"/>
    </w:p>
    <w:p>
      <w:pPr>
        <w:jc w:val="center"/>
        <w:rPr>
          <w:rFonts w:ascii="方正小标宋简体" w:eastAsia="方正小标宋简体"/>
          <w:spacing w:val="60"/>
          <w:sz w:val="74"/>
        </w:rPr>
      </w:pPr>
      <w:r>
        <w:rPr>
          <w:rFonts w:hint="eastAsia" w:ascii="方正小标宋简体" w:eastAsia="方正小标宋简体"/>
          <w:spacing w:val="60"/>
          <w:sz w:val="74"/>
        </w:rPr>
        <w:t>淄博市博山区水利局汇总</w:t>
      </w:r>
      <w:r>
        <w:rPr>
          <w:rFonts w:hint="eastAsia" w:ascii="方正小标宋简体" w:eastAsia="方正小标宋简体"/>
          <w:spacing w:val="60"/>
          <w:sz w:val="74"/>
          <w:lang w:eastAsia="zh-CN"/>
        </w:rPr>
        <w:t>部门</w:t>
      </w:r>
      <w:r>
        <w:rPr>
          <w:rFonts w:hint="eastAsia" w:ascii="方正小标宋简体" w:eastAsia="方正小标宋简体"/>
          <w:spacing w:val="60"/>
          <w:sz w:val="74"/>
        </w:rPr>
        <w:t>决算</w:t>
      </w:r>
    </w:p>
    <w:p>
      <w:pPr>
        <w:jc w:val="center"/>
        <w:rPr>
          <w:rFonts w:ascii="方正小标宋简体" w:eastAsia="方正小标宋简体"/>
          <w:spacing w:val="60"/>
          <w:sz w:val="74"/>
        </w:rPr>
      </w:pPr>
    </w:p>
    <w:p>
      <w:pPr>
        <w:jc w:val="center"/>
        <w:rPr>
          <w:rFonts w:ascii="楷体_GB2312" w:eastAsia="楷体_GB2312"/>
          <w:b/>
          <w:sz w:val="42"/>
        </w:rPr>
      </w:pPr>
    </w:p>
    <w:p>
      <w:pPr>
        <w:jc w:val="center"/>
        <w:rPr>
          <w:rFonts w:ascii="楷体_GB2312" w:eastAsia="楷体_GB2312"/>
          <w:b/>
          <w:sz w:val="42"/>
        </w:rPr>
      </w:pPr>
    </w:p>
    <w:p>
      <w:pPr>
        <w:jc w:val="center"/>
        <w:rPr>
          <w:rFonts w:ascii="仿宋_GB2312" w:eastAsia="仿宋_GB2312"/>
        </w:rPr>
      </w:pPr>
    </w:p>
    <w:p>
      <w:pPr>
        <w:rPr>
          <w:rFonts w:ascii="仿宋_GB2312" w:eastAsia="仿宋_GB2312"/>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ind w:firstLine="316" w:firstLineChars="100"/>
        <w:rPr>
          <w:rFonts w:ascii="黑体" w:hAnsi="黑体" w:eastAsia="黑体"/>
        </w:rPr>
      </w:pPr>
      <w:r>
        <w:rPr>
          <w:rFonts w:hint="eastAsia" w:ascii="黑体" w:hAnsi="黑体" w:eastAsia="黑体"/>
        </w:rPr>
        <w:t xml:space="preserve">第一部分  </w:t>
      </w:r>
      <w:r>
        <w:rPr>
          <w:rFonts w:hint="eastAsia" w:ascii="黑体" w:hAnsi="黑体" w:eastAsia="黑体"/>
          <w:lang w:eastAsia="zh-CN"/>
        </w:rPr>
        <w:t>部门</w:t>
      </w:r>
      <w:r>
        <w:rPr>
          <w:rFonts w:hint="eastAsia" w:ascii="黑体" w:hAnsi="黑体" w:eastAsia="黑体"/>
        </w:rPr>
        <w:t>概况</w:t>
      </w:r>
    </w:p>
    <w:p>
      <w:pPr>
        <w:spacing w:line="580" w:lineRule="exact"/>
        <w:ind w:firstLine="632" w:firstLineChars="200"/>
        <w:rPr>
          <w:rFonts w:ascii="仿宋_GB2312" w:eastAsia="仿宋_GB2312"/>
        </w:rPr>
      </w:pPr>
      <w:r>
        <w:rPr>
          <w:rFonts w:hint="eastAsia" w:ascii="仿宋_GB2312" w:eastAsia="仿宋_GB2312"/>
        </w:rPr>
        <w:t>一、</w:t>
      </w:r>
      <w:r>
        <w:rPr>
          <w:rFonts w:hint="eastAsia" w:ascii="仿宋_GB2312" w:eastAsia="仿宋_GB2312"/>
          <w:lang w:eastAsia="zh-CN"/>
        </w:rPr>
        <w:t>部门</w:t>
      </w:r>
      <w:r>
        <w:rPr>
          <w:rFonts w:hint="eastAsia" w:ascii="仿宋_GB2312" w:eastAsia="仿宋_GB2312"/>
        </w:rPr>
        <w:t>职责</w:t>
      </w:r>
    </w:p>
    <w:p>
      <w:pPr>
        <w:spacing w:line="580" w:lineRule="exact"/>
        <w:ind w:firstLine="632" w:firstLineChars="200"/>
        <w:rPr>
          <w:rFonts w:ascii="仿宋_GB2312" w:eastAsia="仿宋_GB2312"/>
        </w:rPr>
      </w:pPr>
      <w:r>
        <w:rPr>
          <w:rFonts w:hint="eastAsia" w:ascii="仿宋_GB2312" w:eastAsia="仿宋_GB2312"/>
        </w:rPr>
        <w:t>二、机构设置</w:t>
      </w:r>
    </w:p>
    <w:p>
      <w:pPr>
        <w:spacing w:line="580" w:lineRule="exact"/>
        <w:ind w:firstLine="316" w:firstLineChars="100"/>
        <w:rPr>
          <w:rFonts w:ascii="黑体" w:hAnsi="黑体" w:eastAsia="黑体"/>
        </w:rPr>
      </w:pPr>
      <w:r>
        <w:rPr>
          <w:rFonts w:hint="eastAsia" w:ascii="黑体" w:hAnsi="黑体" w:eastAsia="黑体"/>
        </w:rPr>
        <w:t>第二部分  2020年度</w:t>
      </w:r>
      <w:r>
        <w:rPr>
          <w:rFonts w:hint="eastAsia" w:ascii="黑体" w:hAnsi="黑体" w:eastAsia="黑体"/>
          <w:lang w:eastAsia="zh-CN"/>
        </w:rPr>
        <w:t>部门</w:t>
      </w:r>
      <w:r>
        <w:rPr>
          <w:rFonts w:hint="eastAsia" w:ascii="黑体" w:hAnsi="黑体" w:eastAsia="黑体"/>
        </w:rPr>
        <w:t>决算表</w:t>
      </w:r>
    </w:p>
    <w:p>
      <w:pPr>
        <w:spacing w:line="580" w:lineRule="exact"/>
        <w:ind w:firstLine="632" w:firstLineChars="200"/>
        <w:rPr>
          <w:rFonts w:ascii="仿宋_GB2312" w:eastAsia="仿宋_GB2312"/>
        </w:rPr>
      </w:pPr>
      <w:r>
        <w:rPr>
          <w:rFonts w:hint="eastAsia" w:ascii="仿宋_GB2312" w:eastAsia="仿宋_GB2312"/>
        </w:rPr>
        <w:t>一、收入支出决算总表</w:t>
      </w:r>
    </w:p>
    <w:p>
      <w:pPr>
        <w:spacing w:line="580" w:lineRule="exact"/>
        <w:ind w:firstLine="632" w:firstLineChars="200"/>
        <w:rPr>
          <w:rFonts w:ascii="仿宋_GB2312" w:eastAsia="仿宋_GB2312"/>
        </w:rPr>
      </w:pPr>
      <w:r>
        <w:rPr>
          <w:rFonts w:hint="eastAsia" w:ascii="仿宋_GB2312" w:eastAsia="仿宋_GB2312"/>
        </w:rPr>
        <w:t>二、收入决算表</w:t>
      </w:r>
    </w:p>
    <w:p>
      <w:pPr>
        <w:spacing w:line="580" w:lineRule="exact"/>
        <w:ind w:firstLine="632" w:firstLineChars="200"/>
        <w:rPr>
          <w:rFonts w:ascii="仿宋_GB2312" w:eastAsia="仿宋_GB2312"/>
        </w:rPr>
      </w:pPr>
      <w:r>
        <w:rPr>
          <w:rFonts w:hint="eastAsia" w:ascii="仿宋_GB2312" w:eastAsia="仿宋_GB2312"/>
        </w:rPr>
        <w:t>三、支出决算表</w:t>
      </w:r>
    </w:p>
    <w:p>
      <w:pPr>
        <w:spacing w:line="580" w:lineRule="exact"/>
        <w:ind w:firstLine="632" w:firstLineChars="200"/>
        <w:rPr>
          <w:rFonts w:ascii="仿宋_GB2312" w:eastAsia="仿宋_GB2312"/>
        </w:rPr>
      </w:pPr>
      <w:r>
        <w:rPr>
          <w:rFonts w:hint="eastAsia" w:ascii="仿宋_GB2312" w:eastAsia="仿宋_GB2312"/>
        </w:rPr>
        <w:t>四、财政拨款收入支出决算总表</w:t>
      </w:r>
    </w:p>
    <w:p>
      <w:pPr>
        <w:spacing w:line="580" w:lineRule="exact"/>
        <w:ind w:firstLine="632" w:firstLineChars="200"/>
        <w:rPr>
          <w:rFonts w:ascii="仿宋_GB2312" w:eastAsia="仿宋_GB2312"/>
        </w:rPr>
      </w:pPr>
      <w:r>
        <w:rPr>
          <w:rFonts w:hint="eastAsia" w:ascii="仿宋_GB2312" w:eastAsia="仿宋_GB2312"/>
        </w:rPr>
        <w:t>五、一般公共预算财政拨款支出决算表</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六、一般公共预算财政拨款基本支出决算表</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七、一般公共预算财政拨款“三公”经费支出决算表</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八、政府性基金预算财政拨款收入支出决算表</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九、国有资本经营预算财政拨款支出决算表</w:t>
      </w:r>
    </w:p>
    <w:p>
      <w:pPr>
        <w:spacing w:line="580" w:lineRule="exact"/>
        <w:ind w:firstLine="316" w:firstLineChars="100"/>
        <w:rPr>
          <w:rFonts w:ascii="黑体" w:hAnsi="黑体" w:eastAsia="黑体"/>
        </w:rPr>
      </w:pPr>
      <w:r>
        <w:rPr>
          <w:rFonts w:hint="eastAsia" w:ascii="黑体" w:hAnsi="黑体" w:eastAsia="黑体"/>
        </w:rPr>
        <w:t>第三部分  2020年度</w:t>
      </w:r>
      <w:r>
        <w:rPr>
          <w:rFonts w:hint="eastAsia" w:ascii="黑体" w:hAnsi="黑体" w:eastAsia="黑体"/>
          <w:lang w:eastAsia="zh-CN"/>
        </w:rPr>
        <w:t>部门</w:t>
      </w:r>
      <w:r>
        <w:rPr>
          <w:rFonts w:hint="eastAsia" w:ascii="黑体" w:hAnsi="黑体" w:eastAsia="黑体"/>
        </w:rPr>
        <w:t>决算情况说明</w:t>
      </w:r>
    </w:p>
    <w:p>
      <w:pPr>
        <w:spacing w:line="580" w:lineRule="exact"/>
        <w:ind w:firstLine="632" w:firstLineChars="200"/>
        <w:rPr>
          <w:rFonts w:ascii="仿宋_GB2312" w:eastAsia="仿宋_GB2312"/>
        </w:rPr>
      </w:pPr>
      <w:r>
        <w:rPr>
          <w:rFonts w:hint="eastAsia" w:ascii="仿宋_GB2312" w:eastAsia="仿宋_GB2312"/>
        </w:rPr>
        <w:t>一、收入支出决算总体情况说明</w:t>
      </w:r>
    </w:p>
    <w:p>
      <w:pPr>
        <w:spacing w:line="580" w:lineRule="exact"/>
        <w:ind w:firstLine="632" w:firstLineChars="200"/>
        <w:rPr>
          <w:rFonts w:ascii="仿宋_GB2312" w:eastAsia="仿宋_GB2312"/>
        </w:rPr>
      </w:pPr>
      <w:r>
        <w:rPr>
          <w:rFonts w:hint="eastAsia" w:ascii="仿宋_GB2312" w:eastAsia="仿宋_GB2312"/>
        </w:rPr>
        <w:t>二、收入决算情况说明</w:t>
      </w:r>
    </w:p>
    <w:p>
      <w:pPr>
        <w:spacing w:line="580" w:lineRule="exact"/>
        <w:ind w:firstLine="632" w:firstLineChars="200"/>
        <w:rPr>
          <w:rFonts w:ascii="仿宋_GB2312" w:eastAsia="仿宋_GB2312"/>
        </w:rPr>
      </w:pPr>
      <w:r>
        <w:rPr>
          <w:rFonts w:hint="eastAsia" w:ascii="仿宋_GB2312" w:eastAsia="仿宋_GB2312"/>
        </w:rPr>
        <w:t>三、支出决算情况说明</w:t>
      </w:r>
    </w:p>
    <w:p>
      <w:pPr>
        <w:spacing w:line="580" w:lineRule="exact"/>
        <w:ind w:firstLine="632" w:firstLineChars="200"/>
        <w:rPr>
          <w:rFonts w:ascii="仿宋_GB2312" w:eastAsia="仿宋_GB2312"/>
        </w:rPr>
      </w:pPr>
      <w:r>
        <w:rPr>
          <w:rFonts w:hint="eastAsia" w:ascii="仿宋_GB2312" w:eastAsia="仿宋_GB2312"/>
        </w:rPr>
        <w:t>四、财政拨款收入支出决算总体情况说明</w:t>
      </w:r>
    </w:p>
    <w:p>
      <w:pPr>
        <w:spacing w:line="580" w:lineRule="exact"/>
        <w:ind w:firstLine="632" w:firstLineChars="200"/>
        <w:rPr>
          <w:rFonts w:ascii="仿宋_GB2312" w:eastAsia="仿宋_GB2312"/>
        </w:rPr>
      </w:pPr>
      <w:r>
        <w:rPr>
          <w:rFonts w:hint="eastAsia" w:ascii="仿宋_GB2312" w:eastAsia="仿宋_GB2312"/>
        </w:rPr>
        <w:t>五、一般公共预算财政拨款支出决算情况说明</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六、一般公共预算财政拨款基本支出决算情况说明</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七、一般公共预算财政拨款“三公”经费支出决算情况说明</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八、政府性基金预算财政拨款收入支出决算情况说明</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九、国有资本经营预算财政拨款支出决算情况说明</w:t>
      </w:r>
    </w:p>
    <w:p>
      <w:pPr>
        <w:spacing w:line="580" w:lineRule="exact"/>
        <w:ind w:firstLine="632" w:firstLineChars="200"/>
        <w:rPr>
          <w:rFonts w:ascii="仿宋_GB2312" w:eastAsia="仿宋_GB2312"/>
        </w:rPr>
      </w:pPr>
      <w:r>
        <w:rPr>
          <w:rFonts w:hint="eastAsia" w:ascii="仿宋_GB2312" w:eastAsia="仿宋_GB2312"/>
        </w:rPr>
        <w:t>十、其他重要事项情况说明</w:t>
      </w:r>
    </w:p>
    <w:p>
      <w:pPr>
        <w:spacing w:line="580" w:lineRule="exact"/>
        <w:ind w:firstLine="632" w:firstLineChars="200"/>
        <w:rPr>
          <w:rFonts w:ascii="仿宋_GB2312" w:eastAsia="仿宋_GB2312"/>
        </w:rPr>
      </w:pPr>
      <w:r>
        <w:rPr>
          <w:rFonts w:hint="eastAsia" w:ascii="仿宋_GB2312" w:eastAsia="仿宋_GB2312"/>
        </w:rPr>
        <w:t>十一、预算绩效情况说明</w:t>
      </w:r>
    </w:p>
    <w:p>
      <w:pPr>
        <w:spacing w:line="580" w:lineRule="exact"/>
        <w:ind w:firstLine="316" w:firstLineChars="100"/>
        <w:rPr>
          <w:rFonts w:hint="eastAsia" w:ascii="黑体" w:hAnsi="黑体" w:eastAsia="黑体"/>
        </w:rPr>
      </w:pPr>
      <w:r>
        <w:rPr>
          <w:rFonts w:hint="eastAsia" w:ascii="黑体" w:hAnsi="黑体" w:eastAsia="黑体"/>
        </w:rPr>
        <w:t>第四部分  名词解释</w:t>
      </w:r>
    </w:p>
    <w:p>
      <w:pPr>
        <w:spacing w:line="580" w:lineRule="exact"/>
        <w:ind w:firstLine="316" w:firstLineChars="100"/>
        <w:rPr>
          <w:rFonts w:hint="eastAsia" w:ascii="黑体" w:hAnsi="黑体" w:eastAsia="黑体"/>
        </w:rPr>
      </w:pPr>
      <w:r>
        <w:rPr>
          <w:rFonts w:hint="eastAsia" w:ascii="黑体" w:hAnsi="黑体" w:eastAsia="黑体"/>
        </w:rPr>
        <w:t xml:space="preserve">第五部分  附件 </w:t>
      </w:r>
    </w:p>
    <w:p>
      <w:pPr>
        <w:spacing w:line="580" w:lineRule="exact"/>
        <w:rPr>
          <w:rFonts w:ascii="黑体" w:hAnsi="黑体" w:eastAsia="黑体"/>
        </w:rPr>
      </w:pPr>
    </w:p>
    <w:p>
      <w:pPr>
        <w:spacing w:line="580" w:lineRule="exact"/>
        <w:ind w:firstLine="316" w:firstLineChars="100"/>
        <w:rPr>
          <w:rFonts w:ascii="黑体" w:hAnsi="黑体" w:eastAsia="黑体"/>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第一部分</w:t>
      </w:r>
    </w:p>
    <w:p>
      <w:pPr>
        <w:jc w:val="center"/>
        <w:rPr>
          <w:rFonts w:ascii="方正小标宋简体" w:eastAsia="方正小标宋简体"/>
          <w:spacing w:val="60"/>
          <w:sz w:val="48"/>
        </w:rPr>
      </w:pPr>
    </w:p>
    <w:p>
      <w:pPr>
        <w:jc w:val="center"/>
        <w:rPr>
          <w:rFonts w:ascii="方正小标宋简体" w:eastAsia="方正小标宋简体"/>
          <w:spacing w:val="60"/>
          <w:sz w:val="48"/>
        </w:rPr>
      </w:pPr>
      <w:r>
        <w:rPr>
          <w:rFonts w:hint="eastAsia" w:ascii="方正小标宋简体" w:eastAsia="方正小标宋简体"/>
          <w:spacing w:val="60"/>
          <w:sz w:val="48"/>
          <w:lang w:eastAsia="zh-CN"/>
        </w:rPr>
        <w:t>部门</w:t>
      </w:r>
      <w:r>
        <w:rPr>
          <w:rFonts w:hint="eastAsia" w:ascii="方正小标宋简体" w:eastAsia="方正小标宋简体"/>
          <w:spacing w:val="60"/>
          <w:sz w:val="48"/>
        </w:rPr>
        <w:t>概况</w:t>
      </w:r>
    </w:p>
    <w:p>
      <w:pPr>
        <w:jc w:val="center"/>
        <w:rPr>
          <w:rFonts w:ascii="仿宋_GB2312" w:eastAsia="仿宋_GB2312"/>
        </w:rPr>
        <w:sectPr>
          <w:headerReference r:id="rId3" w:type="default"/>
          <w:footerReference r:id="rId4" w:type="default"/>
          <w:footerReference r:id="rId5" w:type="even"/>
          <w:pgSz w:w="11906" w:h="16838"/>
          <w:pgMar w:top="1701" w:right="1531" w:bottom="1701" w:left="1531" w:header="0" w:footer="1418" w:gutter="0"/>
          <w:cols w:space="720" w:num="1"/>
          <w:docGrid w:type="linesAndChars" w:linePitch="610" w:charSpace="-849"/>
        </w:sectPr>
      </w:pPr>
    </w:p>
    <w:p>
      <w:pPr>
        <w:spacing w:line="580" w:lineRule="exact"/>
        <w:ind w:firstLine="632" w:firstLineChars="200"/>
        <w:rPr>
          <w:rFonts w:ascii="黑体" w:hAnsi="黑体" w:eastAsia="黑体"/>
        </w:rPr>
      </w:pPr>
      <w:r>
        <w:rPr>
          <w:rFonts w:hint="eastAsia" w:ascii="黑体" w:hAnsi="黑体" w:eastAsia="黑体"/>
        </w:rPr>
        <w:t>一、</w:t>
      </w:r>
      <w:r>
        <w:rPr>
          <w:rFonts w:hint="eastAsia" w:ascii="黑体" w:hAnsi="黑体" w:eastAsia="黑体"/>
          <w:lang w:eastAsia="zh-CN"/>
        </w:rPr>
        <w:t>部门</w:t>
      </w:r>
      <w:r>
        <w:rPr>
          <w:rFonts w:hint="eastAsia" w:ascii="黑体" w:hAnsi="黑体" w:eastAsia="黑体"/>
        </w:rPr>
        <w:t>职责</w:t>
      </w:r>
    </w:p>
    <w:p>
      <w:pPr>
        <w:spacing w:line="480" w:lineRule="exact"/>
        <w:ind w:firstLine="632" w:firstLineChars="200"/>
        <w:rPr>
          <w:rFonts w:ascii="仿宋_GB2312" w:eastAsia="仿宋_GB2312"/>
        </w:rPr>
      </w:pPr>
      <w:r>
        <w:rPr>
          <w:rFonts w:hint="eastAsia" w:ascii="仿宋_GB2312" w:eastAsia="仿宋_GB2312"/>
        </w:rPr>
        <w:t>1.贯彻执行水利工作法律法规。负责全区水法治建设工作，贯彻执行水利相关法律法规；拟订全区水利政策，提出有关水利价格、税费、基金、信贷的政策建议。</w:t>
      </w:r>
    </w:p>
    <w:p>
      <w:pPr>
        <w:spacing w:line="480" w:lineRule="exact"/>
        <w:ind w:firstLine="632" w:firstLineChars="200"/>
        <w:rPr>
          <w:rFonts w:ascii="仿宋_GB2312" w:eastAsia="仿宋_GB2312"/>
        </w:rPr>
      </w:pPr>
      <w:r>
        <w:rPr>
          <w:rFonts w:hint="eastAsia" w:ascii="仿宋_GB2312" w:eastAsia="仿宋_GB2312"/>
        </w:rPr>
        <w:t>2.负责组织实施全区水利改革发展相关工作。拟订全区水利发展中长期规划，参与对水利改革发展成效考核；负责提出水利固定资产投资规模和方向、财政性资金安排建议，提出水利建设投资安排建议，按照规定权限审批、核准水利固定资产投资项目；负责区级水利资金和水利国有资产监督管理工作；指导全区水利行业行政事业性收费征收管理工作；负责水利行业招商引资工作。</w:t>
      </w:r>
    </w:p>
    <w:p>
      <w:pPr>
        <w:spacing w:line="480" w:lineRule="exact"/>
        <w:ind w:firstLine="632" w:firstLineChars="200"/>
        <w:rPr>
          <w:rFonts w:ascii="仿宋_GB2312" w:eastAsia="仿宋_GB2312"/>
        </w:rPr>
      </w:pPr>
      <w:r>
        <w:rPr>
          <w:rFonts w:hint="eastAsia" w:ascii="仿宋_GB2312" w:eastAsia="仿宋_GB2312"/>
        </w:rPr>
        <w:t>3.负责全区水资源的统一监督管理，保障水资源的合理开发利用。组织实施最严格水资源管理制度，拟订全区水中长期供求规划、水量分配方案并监督实施；组织编制水资源综合规划、流域综合规划和防洪规划等重大水利规划；负责全区水资源的统一规划和配置，负责生活、生产经营、生态环境用水的统筹和保障；负责重要流域、区域以及重点调水工程的水资源调度；组织实施水资源论证、取水许可等制度，指导开展全区水资源有偿使用工作。</w:t>
      </w:r>
    </w:p>
    <w:p>
      <w:pPr>
        <w:spacing w:line="480" w:lineRule="exact"/>
        <w:ind w:firstLine="632" w:firstLineChars="200"/>
        <w:rPr>
          <w:rFonts w:ascii="仿宋_GB2312" w:eastAsia="仿宋_GB2312"/>
        </w:rPr>
      </w:pPr>
      <w:r>
        <w:rPr>
          <w:rFonts w:hint="eastAsia" w:ascii="仿宋_GB2312" w:eastAsia="仿宋_GB2312"/>
        </w:rPr>
        <w:t>4.指导全区水资源保护工作。会同有关部门组织编制水资源保护规划；指导饮用水水源保护、地下水开发利用和管理保护工作；负责对本部门职责范围内的生态环境保护工作进行监督管理。组织指导地下水超采区综合治理；负责水资源监测工作，对地表水和地下水水量、水质实施监测，负责发布水资源公报。</w:t>
      </w:r>
    </w:p>
    <w:p>
      <w:pPr>
        <w:spacing w:line="480" w:lineRule="exact"/>
        <w:ind w:firstLine="632" w:firstLineChars="200"/>
        <w:rPr>
          <w:rFonts w:ascii="仿宋_GB2312" w:eastAsia="仿宋_GB2312"/>
        </w:rPr>
      </w:pPr>
      <w:r>
        <w:rPr>
          <w:rFonts w:hint="eastAsia" w:ascii="仿宋_GB2312" w:eastAsia="仿宋_GB2312"/>
        </w:rPr>
        <w:t>5.负责全区节约用水工作。负责节约用水的统一管理和监督工作，落实节约用水政策，组织编制节约用水规划并监督实施，组织落实有关标准；负责用水总量控制的监督和管理工作，指导和推动节水型社会建设工作；指导中水等非常规水资源和雨洪资源开发利用工作。</w:t>
      </w:r>
    </w:p>
    <w:p>
      <w:pPr>
        <w:spacing w:line="480" w:lineRule="exact"/>
        <w:ind w:firstLine="632" w:firstLineChars="200"/>
        <w:rPr>
          <w:rFonts w:ascii="仿宋_GB2312" w:eastAsia="仿宋_GB2312"/>
        </w:rPr>
      </w:pPr>
      <w:r>
        <w:rPr>
          <w:rFonts w:hint="eastAsia" w:ascii="仿宋_GB2312" w:eastAsia="仿宋_GB2312"/>
        </w:rPr>
        <w:t>6.负责水利行政执法监督工作。负责水政监察、水行政执法及监督工作；负责组织查处全区重大涉水违法事件，协助完成跨区县的水事纠纷。组织实施水利行政许可事项的许可与监督管理工作；负责全区水政监察队伍的业务培训和指导工作。</w:t>
      </w:r>
    </w:p>
    <w:p>
      <w:pPr>
        <w:spacing w:line="480" w:lineRule="exact"/>
        <w:ind w:firstLine="640"/>
        <w:rPr>
          <w:rFonts w:ascii="仿宋_GB2312" w:eastAsia="仿宋_GB2312"/>
        </w:rPr>
      </w:pPr>
      <w:r>
        <w:rPr>
          <w:rFonts w:hint="eastAsia" w:ascii="仿宋_GB2312" w:eastAsia="仿宋_GB2312"/>
        </w:rPr>
        <w:t>7.负责指导全区水利工程建设与管理工作。负责组织实施水利工程建设与管理有关制度；负责组织实施重要水利工程建设与运行管理；组织开展水利行业质量监督工作，执行水利行业地方技术标准、规程规范并监督实施。</w:t>
      </w:r>
    </w:p>
    <w:p>
      <w:pPr>
        <w:spacing w:line="480" w:lineRule="exact"/>
        <w:ind w:firstLine="632" w:firstLineChars="200"/>
        <w:rPr>
          <w:rFonts w:ascii="仿宋_GB2312" w:eastAsia="仿宋_GB2312"/>
        </w:rPr>
      </w:pPr>
      <w:r>
        <w:rPr>
          <w:rFonts w:hint="eastAsia" w:ascii="仿宋_GB2312" w:eastAsia="仿宋_GB2312"/>
        </w:rPr>
        <w:t>8.指导全区水利设施、水域及其岸线的管理、保护与综合利用。组织指导水利基础设施网络建设；指导河道湖泊的治理、开发和保护；指导河湖水生态保护与修复和河湖水系连通工作；负责推进全区河长制湖长制工作的组织协调、调度督导和检查考核等工作；承担区河湖长制办公室的日常工作。</w:t>
      </w:r>
    </w:p>
    <w:p>
      <w:pPr>
        <w:spacing w:line="480" w:lineRule="exact"/>
        <w:ind w:firstLine="632" w:firstLineChars="200"/>
        <w:rPr>
          <w:rFonts w:ascii="仿宋_GB2312" w:eastAsia="仿宋_GB2312"/>
        </w:rPr>
      </w:pPr>
      <w:r>
        <w:rPr>
          <w:rFonts w:hint="eastAsia" w:ascii="仿宋_GB2312" w:eastAsia="仿宋_GB2312"/>
        </w:rPr>
        <w:t>9.负责指导全区农村水利工作。组织编制农村水利发展规划并监督实施；组织实施农村饮水安全工程建设管理工作；指导节水灌溉有关工作；指导农村水利改革创新和基层水利服务体系建设；指导农村水能资源开发、小水电工作。</w:t>
      </w:r>
    </w:p>
    <w:p>
      <w:pPr>
        <w:spacing w:line="480" w:lineRule="exact"/>
        <w:ind w:firstLine="632" w:firstLineChars="200"/>
        <w:rPr>
          <w:rFonts w:ascii="仿宋_GB2312" w:eastAsia="仿宋_GB2312"/>
        </w:rPr>
      </w:pPr>
      <w:r>
        <w:rPr>
          <w:rFonts w:hint="eastAsia" w:ascii="仿宋_GB2312" w:eastAsia="仿宋_GB2312"/>
        </w:rPr>
        <w:t>10.指导全区城市供水管理工作。负责拟定全区城乡供水行业的规划并监督实施；指导全区供水企业生产经营工作。</w:t>
      </w:r>
    </w:p>
    <w:p>
      <w:pPr>
        <w:spacing w:line="480" w:lineRule="exact"/>
        <w:ind w:firstLine="632" w:firstLineChars="200"/>
        <w:rPr>
          <w:rFonts w:ascii="仿宋_GB2312" w:eastAsia="仿宋_GB2312"/>
        </w:rPr>
      </w:pPr>
      <w:r>
        <w:rPr>
          <w:rFonts w:hint="eastAsia" w:ascii="仿宋_GB2312" w:eastAsia="仿宋_GB2312"/>
        </w:rPr>
        <w:t>11.负责全区水土保持和水生态建设工作。拟订水土保持和水生态建设规划并监督实施，组织实施水土流失的综合防治、监测预报并定期公告；负责重点开发建设项目水土保持方案的审批、监督实施工作；牵头做好荒山、荒丘、荒沟治理开发的管理工作。</w:t>
      </w:r>
    </w:p>
    <w:p>
      <w:pPr>
        <w:spacing w:line="480" w:lineRule="exact"/>
        <w:ind w:firstLine="632" w:firstLineChars="200"/>
        <w:rPr>
          <w:rFonts w:ascii="仿宋_GB2312" w:eastAsia="仿宋_GB2312"/>
        </w:rPr>
      </w:pPr>
      <w:r>
        <w:rPr>
          <w:rFonts w:hint="eastAsia" w:ascii="仿宋_GB2312" w:eastAsia="仿宋_GB2312"/>
        </w:rPr>
        <w:t>12.负责全区水利工程移民工作。落实水利水电工程移民有关政策、规划并组织实施；负责大中型水利水电工程移民安置工作的管理和监督，组织实施水利水电工程移民安置接收、监督评估等制度；组织开展水库移民后期扶持工作并监督实施。</w:t>
      </w:r>
    </w:p>
    <w:p>
      <w:pPr>
        <w:spacing w:line="480" w:lineRule="exact"/>
        <w:ind w:firstLine="632" w:firstLineChars="200"/>
        <w:rPr>
          <w:rFonts w:ascii="仿宋_GB2312" w:eastAsia="仿宋_GB2312"/>
        </w:rPr>
      </w:pPr>
      <w:r>
        <w:rPr>
          <w:rFonts w:hint="eastAsia" w:ascii="仿宋_GB2312" w:eastAsia="仿宋_GB2312"/>
        </w:rPr>
        <w:t>13.负责水旱灾害防御工作。负责落实全区综合防灾减灾规划相关要求，组织编制洪水干旱灾害防治规划并指导实施；负责对土地利用总体规划、城市规划和其他涉及防洪的规划、重大建设项目布局的防洪论证提出意见，指导重要防洪保护区的洪水影响评价工作；承担水情旱情监测预警工作；组织编制重要河道、湖泊和重要水工程的防御洪水、抗御旱灾调度以及应急水量调度方案，按照程序报批并组织实施；承担防御洪水应急抢险的技术支撑工作；承担台风防御期间重要水工程调度工作。</w:t>
      </w:r>
    </w:p>
    <w:p>
      <w:pPr>
        <w:spacing w:line="480" w:lineRule="exact"/>
        <w:ind w:firstLine="632" w:firstLineChars="200"/>
        <w:rPr>
          <w:rFonts w:ascii="仿宋_GB2312" w:eastAsia="仿宋_GB2312"/>
        </w:rPr>
      </w:pPr>
      <w:r>
        <w:rPr>
          <w:rFonts w:hint="eastAsia" w:ascii="仿宋_GB2312" w:eastAsia="仿宋_GB2312"/>
        </w:rPr>
        <w:t>14.负责指导水利行业安全生产工作。负责重点水利工程安全生产监督管理工作；指导水利建设市场的监督管理，组织实施水利工程质量和安全监督。</w:t>
      </w:r>
    </w:p>
    <w:p>
      <w:pPr>
        <w:spacing w:line="480" w:lineRule="exact"/>
        <w:ind w:firstLine="632" w:firstLineChars="200"/>
        <w:rPr>
          <w:rFonts w:ascii="仿宋_GB2312" w:eastAsia="仿宋_GB2312"/>
        </w:rPr>
      </w:pPr>
      <w:r>
        <w:rPr>
          <w:rFonts w:hint="eastAsia" w:ascii="仿宋_GB2312" w:eastAsia="仿宋_GB2312"/>
        </w:rPr>
        <w:t>15.负责全区水利科技和外事工作。负责组织重大水利科学研究、技术推广和创新服务工作；指导全区水利系统对外交流合作、利用外资、引进国（境）外智力等工作；指导水利宣传、信息化、人才队伍建设等工作。</w:t>
      </w:r>
    </w:p>
    <w:p>
      <w:pPr>
        <w:spacing w:line="480" w:lineRule="exact"/>
        <w:ind w:firstLine="632" w:firstLineChars="200"/>
        <w:rPr>
          <w:rFonts w:ascii="仿宋_GB2312" w:eastAsia="仿宋_GB2312"/>
        </w:rPr>
      </w:pPr>
      <w:r>
        <w:rPr>
          <w:rFonts w:hint="eastAsia" w:ascii="仿宋_GB2312" w:eastAsia="仿宋_GB2312"/>
        </w:rPr>
        <w:t>16.负责本部门和所属单位党的建设工作。</w:t>
      </w:r>
    </w:p>
    <w:p>
      <w:pPr>
        <w:spacing w:line="580" w:lineRule="exact"/>
        <w:ind w:firstLine="632" w:firstLineChars="200"/>
        <w:rPr>
          <w:rFonts w:ascii="仿宋_GB2312" w:eastAsia="仿宋_GB2312"/>
        </w:rPr>
      </w:pPr>
      <w:r>
        <w:rPr>
          <w:rFonts w:hint="eastAsia" w:ascii="仿宋_GB2312" w:eastAsia="仿宋_GB2312"/>
        </w:rPr>
        <w:t>17.完成区委、区政府交办的其他任务。</w:t>
      </w:r>
    </w:p>
    <w:p>
      <w:pPr>
        <w:spacing w:line="580" w:lineRule="exact"/>
        <w:ind w:firstLine="632" w:firstLineChars="200"/>
        <w:rPr>
          <w:rFonts w:ascii="黑体" w:hAnsi="黑体" w:eastAsia="黑体"/>
        </w:rPr>
      </w:pPr>
      <w:r>
        <w:rPr>
          <w:rFonts w:hint="eastAsia" w:ascii="黑体" w:hAnsi="黑体" w:eastAsia="黑体"/>
        </w:rPr>
        <w:t>二、机构设置</w:t>
      </w:r>
    </w:p>
    <w:p>
      <w:pPr>
        <w:ind w:firstLine="632" w:firstLineChars="200"/>
        <w:rPr>
          <w:rFonts w:hint="eastAsia" w:ascii="仿宋_GB2312" w:eastAsia="仿宋_GB2312"/>
        </w:rPr>
      </w:pPr>
      <w:r>
        <w:rPr>
          <w:rFonts w:hint="eastAsia" w:ascii="仿宋_GB2312" w:eastAsia="仿宋_GB2312"/>
        </w:rPr>
        <w:t>从决算单位构成看，淄博市博山区水利局汇总部门决算包括：局本级决算、局属事业单位决算。</w:t>
      </w:r>
    </w:p>
    <w:p>
      <w:pPr>
        <w:ind w:firstLine="632" w:firstLineChars="200"/>
        <w:rPr>
          <w:rFonts w:hint="eastAsia" w:ascii="仿宋_GB2312" w:eastAsia="仿宋_GB2312"/>
        </w:rPr>
      </w:pPr>
      <w:r>
        <w:rPr>
          <w:rFonts w:hint="eastAsia" w:ascii="仿宋_GB2312" w:eastAsia="仿宋_GB2312"/>
        </w:rPr>
        <w:t>纳入淄博市博山区水利局汇总</w:t>
      </w:r>
      <w:r>
        <w:rPr>
          <w:rFonts w:hint="eastAsia" w:ascii="仿宋_GB2312" w:eastAsia="仿宋_GB2312"/>
          <w:lang w:val="en-US" w:eastAsia="zh-CN"/>
        </w:rPr>
        <w:t>2020</w:t>
      </w:r>
      <w:r>
        <w:rPr>
          <w:rFonts w:hint="eastAsia" w:ascii="仿宋_GB2312" w:eastAsia="仿宋_GB2312"/>
        </w:rPr>
        <w:t>年度部门决算编制范围的预算单位4个，包括：</w:t>
      </w:r>
    </w:p>
    <w:p>
      <w:pPr>
        <w:spacing w:line="580" w:lineRule="exact"/>
        <w:ind w:firstLine="632" w:firstLineChars="200"/>
        <w:rPr>
          <w:rFonts w:hint="eastAsia" w:ascii="仿宋_GB2312" w:hAnsi="宋体" w:eastAsia="仿宋_GB2312" w:cs="Courier New"/>
          <w:szCs w:val="32"/>
        </w:rPr>
      </w:pPr>
      <w:r>
        <w:rPr>
          <w:rFonts w:hint="eastAsia" w:ascii="仿宋_GB2312" w:hAnsi="宋体" w:eastAsia="仿宋_GB2312" w:cs="Courier New"/>
          <w:szCs w:val="32"/>
        </w:rPr>
        <w:t>1、淄博市博山区水利局本级</w:t>
      </w:r>
    </w:p>
    <w:p>
      <w:pPr>
        <w:spacing w:line="580" w:lineRule="exact"/>
        <w:ind w:firstLine="632" w:firstLineChars="200"/>
        <w:rPr>
          <w:rFonts w:hint="eastAsia" w:ascii="仿宋_GB2312" w:hAnsi="宋体" w:eastAsia="仿宋_GB2312" w:cs="Courier New"/>
          <w:szCs w:val="32"/>
        </w:rPr>
      </w:pPr>
      <w:r>
        <w:rPr>
          <w:rFonts w:hint="eastAsia" w:ascii="仿宋_GB2312" w:hAnsi="宋体" w:eastAsia="仿宋_GB2312" w:cs="Courier New"/>
          <w:szCs w:val="32"/>
        </w:rPr>
        <w:t>2、淄博市博山区石马水库管理所</w:t>
      </w:r>
    </w:p>
    <w:p>
      <w:pPr>
        <w:spacing w:line="580" w:lineRule="exact"/>
        <w:ind w:firstLine="632" w:firstLineChars="200"/>
        <w:rPr>
          <w:rFonts w:hint="eastAsia" w:ascii="仿宋_GB2312" w:hAnsi="宋体" w:eastAsia="仿宋_GB2312" w:cs="Courier New"/>
          <w:szCs w:val="32"/>
        </w:rPr>
      </w:pPr>
      <w:r>
        <w:rPr>
          <w:rFonts w:hint="eastAsia" w:ascii="仿宋_GB2312" w:hAnsi="宋体" w:eastAsia="仿宋_GB2312" w:cs="Courier New"/>
          <w:szCs w:val="32"/>
        </w:rPr>
        <w:t>3、淄博市博山区河道管理处</w:t>
      </w:r>
    </w:p>
    <w:p>
      <w:pPr>
        <w:spacing w:line="580" w:lineRule="exact"/>
        <w:ind w:firstLine="632" w:firstLineChars="200"/>
        <w:rPr>
          <w:rFonts w:hint="eastAsia" w:ascii="仿宋_GB2312" w:hAnsi="宋体" w:eastAsia="仿宋_GB2312" w:cs="Courier New"/>
          <w:szCs w:val="32"/>
        </w:rPr>
      </w:pPr>
      <w:r>
        <w:rPr>
          <w:rFonts w:hint="eastAsia" w:ascii="仿宋_GB2312" w:hAnsi="宋体" w:eastAsia="仿宋_GB2312" w:cs="Courier New"/>
          <w:szCs w:val="32"/>
        </w:rPr>
        <w:t>4、博山区淋漓湖水库管理处</w:t>
      </w:r>
    </w:p>
    <w:p>
      <w:pPr>
        <w:ind w:firstLine="632" w:firstLineChars="200"/>
        <w:rPr>
          <w:rFonts w:hint="eastAsia" w:ascii="仿宋_GB2312" w:eastAsia="仿宋_GB2312"/>
        </w:rPr>
        <w:sectPr>
          <w:pgSz w:w="11906" w:h="16838"/>
          <w:pgMar w:top="1701" w:right="1531" w:bottom="1701" w:left="1531" w:header="0" w:footer="1418" w:gutter="0"/>
          <w:cols w:space="720" w:num="1"/>
          <w:docGrid w:type="linesAndChars" w:linePitch="610" w:charSpace="-849"/>
        </w:sectPr>
      </w:pPr>
    </w:p>
    <w:p>
      <w:pPr>
        <w:spacing w:line="440" w:lineRule="exact"/>
        <w:ind w:firstLine="592" w:firstLineChars="200"/>
        <w:rPr>
          <w:rFonts w:ascii="文星简仿宋" w:eastAsia="文星简仿宋"/>
          <w:b/>
          <w:sz w:val="30"/>
          <w:szCs w:val="30"/>
          <w:highlight w:val="yellow"/>
        </w:rPr>
      </w:pPr>
    </w:p>
    <w:p>
      <w:pPr>
        <w:adjustRightInd w:val="0"/>
        <w:snapToGrid w:val="0"/>
        <w:spacing w:line="580" w:lineRule="exact"/>
        <w:ind w:firstLine="592" w:firstLineChars="200"/>
        <w:jc w:val="left"/>
        <w:rPr>
          <w:rFonts w:ascii="文星简仿宋" w:eastAsia="文星简仿宋"/>
          <w:b/>
          <w:sz w:val="30"/>
          <w:szCs w:val="30"/>
          <w:highlight w:val="yellow"/>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第二部分</w:t>
      </w:r>
    </w:p>
    <w:p>
      <w:pPr>
        <w:jc w:val="center"/>
        <w:rPr>
          <w:rFonts w:ascii="方正小标宋简体" w:eastAsia="方正小标宋简体"/>
          <w:spacing w:val="60"/>
          <w:sz w:val="42"/>
        </w:rPr>
      </w:pPr>
    </w:p>
    <w:p>
      <w:pPr>
        <w:jc w:val="center"/>
        <w:rPr>
          <w:rFonts w:ascii="方正小标宋简体" w:eastAsia="方正小标宋简体"/>
          <w:spacing w:val="60"/>
          <w:sz w:val="42"/>
        </w:rPr>
      </w:pPr>
      <w:r>
        <w:rPr>
          <w:rFonts w:hint="eastAsia" w:ascii="方正小标宋简体" w:eastAsia="方正小标宋简体"/>
          <w:spacing w:val="60"/>
          <w:sz w:val="48"/>
        </w:rPr>
        <w:t>2020年度</w:t>
      </w:r>
      <w:r>
        <w:rPr>
          <w:rFonts w:hint="eastAsia" w:ascii="方正小标宋简体" w:eastAsia="方正小标宋简体"/>
          <w:spacing w:val="60"/>
          <w:sz w:val="48"/>
          <w:lang w:eastAsia="zh-CN"/>
        </w:rPr>
        <w:t>部门</w:t>
      </w:r>
      <w:r>
        <w:rPr>
          <w:rFonts w:hint="eastAsia" w:ascii="方正小标宋简体" w:eastAsia="方正小标宋简体"/>
          <w:spacing w:val="60"/>
          <w:sz w:val="48"/>
        </w:rPr>
        <w:t>决算表</w:t>
      </w:r>
    </w:p>
    <w:p>
      <w:pPr>
        <w:spacing w:line="520" w:lineRule="exact"/>
        <w:rPr>
          <w:rFonts w:ascii="仿宋_GB2312" w:eastAsia="仿宋_GB2312"/>
          <w:b/>
          <w:sz w:val="28"/>
          <w:szCs w:val="28"/>
          <w:highlight w:val="yellow"/>
        </w:rPr>
      </w:pPr>
    </w:p>
    <w:p>
      <w:pPr>
        <w:spacing w:line="440" w:lineRule="exact"/>
        <w:ind w:firstLine="552" w:firstLineChars="200"/>
        <w:rPr>
          <w:rFonts w:ascii="仿宋_GB2312" w:eastAsia="仿宋_GB2312"/>
          <w:b/>
          <w:sz w:val="28"/>
          <w:szCs w:val="28"/>
          <w:highlight w:val="yellow"/>
        </w:rPr>
      </w:pPr>
    </w:p>
    <w:p>
      <w:pPr>
        <w:spacing w:line="440" w:lineRule="exact"/>
        <w:ind w:firstLine="552" w:firstLineChars="200"/>
        <w:rPr>
          <w:rFonts w:ascii="仿宋_GB2312" w:eastAsia="仿宋_GB2312"/>
          <w:b/>
          <w:sz w:val="28"/>
          <w:szCs w:val="28"/>
        </w:rPr>
      </w:pPr>
    </w:p>
    <w:p>
      <w:pPr>
        <w:jc w:val="center"/>
        <w:rPr>
          <w:rFonts w:ascii="方正小标宋简体" w:eastAsia="方正小标宋简体"/>
          <w:spacing w:val="60"/>
          <w:sz w:val="42"/>
        </w:rPr>
        <w:sectPr>
          <w:pgSz w:w="11906" w:h="16838"/>
          <w:pgMar w:top="1701" w:right="1531" w:bottom="1701" w:left="153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收入支出决算总表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公开01表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color w:val="auto"/>
          <w:sz w:val="28"/>
          <w:szCs w:val="28"/>
          <w:highlight w:val="none"/>
          <w:lang w:eastAsia="zh-CN"/>
        </w:rPr>
        <w:t>部门</w:t>
      </w:r>
      <w:r>
        <w:rPr>
          <w:rFonts w:hint="eastAsia" w:ascii="楷体_GB2312" w:eastAsia="楷体_GB2312"/>
          <w:color w:val="auto"/>
          <w:sz w:val="28"/>
          <w:szCs w:val="28"/>
          <w:highlight w:val="none"/>
        </w:rPr>
        <w:t>：</w:t>
      </w:r>
      <w:r>
        <w:rPr>
          <w:rFonts w:hint="eastAsia" w:ascii="楷体_GB2312" w:eastAsia="楷体_GB2312"/>
          <w:sz w:val="28"/>
          <w:szCs w:val="28"/>
        </w:rPr>
        <w:t>淄博市博山区水利局汇总                     金额单位：万元</w:t>
      </w:r>
    </w:p>
    <w:tbl>
      <w:tblPr>
        <w:tblStyle w:val="10"/>
        <w:tblW w:w="4999" w:type="pct"/>
        <w:tblInd w:w="0" w:type="dxa"/>
        <w:shd w:val="clear" w:color="auto" w:fill="auto"/>
        <w:tblLayout w:type="autofit"/>
        <w:tblCellMar>
          <w:top w:w="0" w:type="dxa"/>
          <w:left w:w="108" w:type="dxa"/>
          <w:bottom w:w="0" w:type="dxa"/>
          <w:right w:w="108" w:type="dxa"/>
        </w:tblCellMar>
      </w:tblPr>
      <w:tblGrid>
        <w:gridCol w:w="3065"/>
        <w:gridCol w:w="568"/>
        <w:gridCol w:w="920"/>
        <w:gridCol w:w="3003"/>
        <w:gridCol w:w="568"/>
        <w:gridCol w:w="934"/>
      </w:tblGrid>
      <w:tr>
        <w:tblPrEx>
          <w:shd w:val="clear" w:color="auto" w:fill="auto"/>
          <w:tblCellMar>
            <w:top w:w="0" w:type="dxa"/>
            <w:left w:w="108" w:type="dxa"/>
            <w:bottom w:w="0" w:type="dxa"/>
            <w:right w:w="108" w:type="dxa"/>
          </w:tblCellMar>
        </w:tblPrEx>
        <w:trPr>
          <w:trHeight w:val="235" w:hRule="atLeast"/>
        </w:trPr>
        <w:tc>
          <w:tcPr>
            <w:tcW w:w="249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收入</w:t>
            </w:r>
          </w:p>
        </w:tc>
        <w:tc>
          <w:tcPr>
            <w:tcW w:w="250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支出</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决算数</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决算数</w:t>
            </w:r>
          </w:p>
        </w:tc>
      </w:tr>
      <w:tr>
        <w:tblPrEx>
          <w:shd w:val="clear" w:color="auto" w:fill="auto"/>
          <w:tblCellMar>
            <w:top w:w="0" w:type="dxa"/>
            <w:left w:w="108" w:type="dxa"/>
            <w:bottom w:w="0" w:type="dxa"/>
            <w:right w:w="108" w:type="dxa"/>
          </w:tblCellMar>
        </w:tblPrEx>
        <w:trPr>
          <w:trHeight w:val="90"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栏次</w:t>
            </w:r>
          </w:p>
        </w:tc>
        <w:tc>
          <w:tcPr>
            <w:tcW w:w="300"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栏次</w:t>
            </w:r>
          </w:p>
        </w:tc>
        <w:tc>
          <w:tcPr>
            <w:tcW w:w="312"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一、一般公共预算财政拨款收入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7352.62</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一、一般公共服务支出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二、政府性基金预算财政拨款收入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7888.32</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二、外交支出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33</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三、国有资本经营预算财政拨款收入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三、国防支出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34</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四、上级补助收入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四、公共安全支出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35</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五、事业收入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五、教育支出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36</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六、经营收入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六、科学技术支出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37</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七、附属单位上缴收入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七、文化旅游体育与传媒支出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38</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八、其他收入</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八、社会保障和就业支出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39</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574.8</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九、卫生健康支出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40</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38.73</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十、节能环保支出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41</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十一、城乡社区支出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42</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十二、农林水支出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6969.14</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13</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十三、交通运输支出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44</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十四、资源勘探工业信息等支出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45</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500" w:type="pct"/>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十五、商业服务业等支出</w:t>
            </w:r>
          </w:p>
        </w:tc>
        <w:tc>
          <w:tcPr>
            <w:tcW w:w="31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46</w:t>
            </w:r>
          </w:p>
        </w:tc>
        <w:tc>
          <w:tcPr>
            <w:tcW w:w="52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06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收入项目</w:t>
            </w:r>
          </w:p>
        </w:tc>
        <w:tc>
          <w:tcPr>
            <w:tcW w:w="56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92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决算数</w:t>
            </w:r>
          </w:p>
        </w:tc>
        <w:tc>
          <w:tcPr>
            <w:tcW w:w="300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支出项目</w:t>
            </w:r>
          </w:p>
        </w:tc>
        <w:tc>
          <w:tcPr>
            <w:tcW w:w="56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934"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决算数</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十六、金融支出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47</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17</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十七、援助其他地区支出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48</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十八、自然资源海洋气象等支出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49</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十九、住房保障支出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50</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二十、粮油物资储备支出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21</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二十一、国有资本经营预算支出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52</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二十二、灾害防治及应急管理支出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53</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23</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二十三、其他支出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54</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5800.5</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bCs/>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二十四、债务还本支出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55</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25</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二十五、债务付息支出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56</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26</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二十六、抗疫特别国债安排的支出</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57</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1569</w:t>
            </w:r>
          </w:p>
        </w:tc>
      </w:tr>
      <w:tr>
        <w:tblPrEx>
          <w:shd w:val="clear" w:color="auto" w:fill="auto"/>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本年收入合计</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27</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15240.94</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本年支出合计</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58</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14952.17</w:t>
            </w:r>
          </w:p>
        </w:tc>
      </w:tr>
      <w:tr>
        <w:tblPrEx>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使用非财政拨款结余</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28</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结余分配</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59</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年初结转和结余</w:t>
            </w: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29</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166.69</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年末结转和结余</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455.46</w:t>
            </w:r>
          </w:p>
        </w:tc>
      </w:tr>
      <w:tr>
        <w:tblPrEx>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500"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6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61</w:t>
            </w:r>
          </w:p>
        </w:tc>
        <w:tc>
          <w:tcPr>
            <w:tcW w:w="522"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r>
      <w:tr>
        <w:tblPrEx>
          <w:tblCellMar>
            <w:top w:w="0" w:type="dxa"/>
            <w:left w:w="108" w:type="dxa"/>
            <w:bottom w:w="0" w:type="dxa"/>
            <w:right w:w="108" w:type="dxa"/>
          </w:tblCellMar>
        </w:tblPrEx>
        <w:trPr>
          <w:trHeight w:val="235" w:hRule="atLeast"/>
        </w:trPr>
        <w:tc>
          <w:tcPr>
            <w:tcW w:w="16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总计</w:t>
            </w:r>
          </w:p>
        </w:tc>
        <w:tc>
          <w:tcPr>
            <w:tcW w:w="300" w:type="pct"/>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31</w:t>
            </w:r>
          </w:p>
        </w:tc>
        <w:tc>
          <w:tcPr>
            <w:tcW w:w="50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15407.63</w:t>
            </w:r>
          </w:p>
        </w:tc>
        <w:tc>
          <w:tcPr>
            <w:tcW w:w="16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总计</w:t>
            </w:r>
          </w:p>
        </w:tc>
        <w:tc>
          <w:tcPr>
            <w:tcW w:w="31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62</w:t>
            </w:r>
          </w:p>
        </w:tc>
        <w:tc>
          <w:tcPr>
            <w:tcW w:w="5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15407.63</w:t>
            </w:r>
          </w:p>
        </w:tc>
      </w:tr>
    </w:tbl>
    <w:p>
      <w:pPr>
        <w:ind w:firstLine="88" w:firstLineChars="50"/>
        <w:rPr>
          <w:rFonts w:ascii="楷体_GB2312" w:eastAsia="楷体_GB2312"/>
          <w:sz w:val="28"/>
          <w:szCs w:val="28"/>
        </w:rPr>
        <w:sectPr>
          <w:pgSz w:w="11906" w:h="16838"/>
          <w:pgMar w:top="1701" w:right="1531" w:bottom="1701" w:left="1531" w:header="0" w:footer="1418" w:gutter="0"/>
          <w:cols w:space="720" w:num="1"/>
          <w:docGrid w:type="linesAndChars" w:linePitch="610" w:charSpace="-849"/>
        </w:sectPr>
      </w:pPr>
      <w:r>
        <w:rPr>
          <w:rFonts w:hint="eastAsia" w:ascii="仿宋_GB2312" w:hAnsi="宋体" w:eastAsia="仿宋_GB2312"/>
          <w:sz w:val="18"/>
          <w:szCs w:val="18"/>
        </w:rPr>
        <w:t>注：1.本表反</w:t>
      </w:r>
      <w:r>
        <w:rPr>
          <w:rFonts w:hint="eastAsia" w:ascii="仿宋_GB2312" w:hAnsi="宋体" w:eastAsia="仿宋_GB2312"/>
          <w:sz w:val="18"/>
          <w:szCs w:val="18"/>
          <w:highlight w:val="none"/>
        </w:rPr>
        <w:t>映单位</w:t>
      </w:r>
      <w:r>
        <w:rPr>
          <w:rFonts w:hint="eastAsia" w:ascii="仿宋_GB2312" w:hAnsi="宋体" w:eastAsia="仿宋_GB2312"/>
          <w:sz w:val="18"/>
          <w:szCs w:val="18"/>
        </w:rPr>
        <w:t>本年度的总收支和年末结转结余情况。2.本套报表金额单位转换时可能存在尾数误差。</w:t>
      </w:r>
    </w:p>
    <w:p>
      <w:pPr>
        <w:jc w:val="center"/>
        <w:rPr>
          <w:rFonts w:ascii="方正小标宋简体" w:eastAsia="方正小标宋简体"/>
          <w:sz w:val="44"/>
          <w:szCs w:val="44"/>
        </w:rPr>
      </w:pPr>
      <w:r>
        <w:rPr>
          <w:rFonts w:hint="eastAsia" w:ascii="方正小标宋简体" w:eastAsia="方正小标宋简体"/>
          <w:sz w:val="44"/>
          <w:szCs w:val="44"/>
        </w:rPr>
        <w:t>收入决算表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公开02表 </w:t>
      </w:r>
    </w:p>
    <w:p>
      <w:pPr>
        <w:tabs>
          <w:tab w:val="left" w:pos="13467"/>
        </w:tabs>
        <w:wordWrap w:val="0"/>
        <w:spacing w:line="400" w:lineRule="exact"/>
        <w:ind w:right="107"/>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rPr>
        <w:t xml:space="preserve">淄博市博山区水利局汇总                                   </w:t>
      </w:r>
      <w:r>
        <w:rPr>
          <w:rFonts w:ascii="楷体_GB2312" w:eastAsia="楷体_GB2312"/>
          <w:sz w:val="28"/>
          <w:szCs w:val="28"/>
        </w:rPr>
        <w:t xml:space="preserve">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972"/>
        <w:gridCol w:w="5401"/>
        <w:gridCol w:w="1213"/>
        <w:gridCol w:w="1213"/>
        <w:gridCol w:w="1080"/>
        <w:gridCol w:w="942"/>
        <w:gridCol w:w="942"/>
        <w:gridCol w:w="942"/>
        <w:gridCol w:w="942"/>
      </w:tblGrid>
      <w:tr>
        <w:tblPrEx>
          <w:shd w:val="clear" w:color="auto" w:fill="auto"/>
          <w:tblCellMar>
            <w:top w:w="0" w:type="dxa"/>
            <w:left w:w="108" w:type="dxa"/>
            <w:bottom w:w="0" w:type="dxa"/>
            <w:right w:w="108" w:type="dxa"/>
          </w:tblCellMar>
        </w:tblPrEx>
        <w:trPr>
          <w:trHeight w:val="235" w:hRule="atLeast"/>
        </w:trPr>
        <w:tc>
          <w:tcPr>
            <w:tcW w:w="233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444"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本年收入合计</w:t>
            </w:r>
          </w:p>
        </w:tc>
        <w:tc>
          <w:tcPr>
            <w:tcW w:w="444"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财政拨款收入</w:t>
            </w:r>
          </w:p>
        </w:tc>
        <w:tc>
          <w:tcPr>
            <w:tcW w:w="39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上级补助收入</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事业收入</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经营收入</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附属单位上缴收入</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其他收入</w:t>
            </w:r>
          </w:p>
        </w:tc>
      </w:tr>
      <w:tr>
        <w:tblPrEx>
          <w:shd w:val="clear" w:color="auto" w:fill="auto"/>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kern w:val="0"/>
                <w:sz w:val="22"/>
                <w:szCs w:val="22"/>
              </w:rPr>
              <w:t>功能分类  科目编码</w:t>
            </w:r>
          </w:p>
        </w:tc>
        <w:tc>
          <w:tcPr>
            <w:tcW w:w="1978"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978"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978"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33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44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44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39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r>
      <w:tr>
        <w:tblPrEx>
          <w:shd w:val="clear" w:color="auto" w:fill="auto"/>
          <w:tblCellMar>
            <w:top w:w="0" w:type="dxa"/>
            <w:left w:w="108" w:type="dxa"/>
            <w:bottom w:w="0" w:type="dxa"/>
            <w:right w:w="108" w:type="dxa"/>
          </w:tblCellMar>
        </w:tblPrEx>
        <w:trPr>
          <w:trHeight w:val="235" w:hRule="atLeast"/>
        </w:trPr>
        <w:tc>
          <w:tcPr>
            <w:tcW w:w="233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15240.94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15240.94</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657.73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657.73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2080505</w:t>
            </w:r>
          </w:p>
        </w:tc>
        <w:tc>
          <w:tcPr>
            <w:tcW w:w="197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机关事业单位基本养老保险缴费支出</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39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single" w:color="auto"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197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本年收入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财政拨款</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9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上级补助</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事业收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附属单</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位上缴</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其他收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大中型水库移民后期扶持基金支出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519.17</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519.17</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2082201</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移民补助</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440.84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440.84</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小型水库移民扶助基金安排的支出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197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39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197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本年收入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财政拨款</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9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上级补助</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事业收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附属单</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位上缴</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其他收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事业单位医疗</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2101103</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公务员医疗补助</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7174.98</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7174.98</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7174.98</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7174.98</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653.5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653.5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5702.32</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5702.32</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176.94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176.94</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120.32</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120.32</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197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39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197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本年收入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财政拨款</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9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上级补助</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事业收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附属单</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位上缴</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其他收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99.9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99.9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2130316</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农村水利</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其他政府性基金及对应专项债务收入安排的支出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2290402</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其他地方自行试点项目收益专项债券收入安排的支出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抗疫特别国债安排的支出</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w:t>
            </w:r>
          </w:p>
        </w:tc>
        <w:tc>
          <w:tcPr>
            <w:tcW w:w="197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基础设施建设</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56" w:type="pct"/>
            <w:tcBorders>
              <w:top w:val="single" w:color="auto"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197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本年收入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4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财政拨款</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9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上级补助</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事业收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附属单</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位上缴</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收入</w:t>
            </w:r>
          </w:p>
        </w:tc>
        <w:tc>
          <w:tcPr>
            <w:tcW w:w="34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其他收</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入</w:t>
            </w:r>
          </w:p>
        </w:tc>
      </w:tr>
      <w:tr>
        <w:tblPrEx>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2340199</w:t>
            </w:r>
          </w:p>
        </w:tc>
        <w:tc>
          <w:tcPr>
            <w:tcW w:w="197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其他基础设施建设</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ind w:firstLine="108" w:firstLineChars="50"/>
        <w:rPr>
          <w:rFonts w:hint="eastAsia"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w:t>
      </w:r>
      <w:r>
        <w:rPr>
          <w:rFonts w:hint="eastAsia" w:ascii="仿宋_GB2312" w:hAnsi="宋体" w:eastAsia="仿宋_GB2312"/>
          <w:sz w:val="22"/>
          <w:szCs w:val="22"/>
        </w:rPr>
        <w:t>本年度取得的各项收入情况。</w:t>
      </w: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jc w:val="center"/>
        <w:rPr>
          <w:rFonts w:ascii="方正小标宋简体" w:eastAsia="方正小标宋简体"/>
          <w:sz w:val="44"/>
          <w:szCs w:val="44"/>
        </w:rPr>
      </w:pPr>
      <w:r>
        <w:rPr>
          <w:rFonts w:hint="eastAsia" w:ascii="方正小标宋简体" w:eastAsia="方正小标宋简体"/>
          <w:sz w:val="44"/>
          <w:szCs w:val="44"/>
        </w:rPr>
        <w:t>支出决算表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公开03表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054"/>
        <w:gridCol w:w="5862"/>
        <w:gridCol w:w="1343"/>
        <w:gridCol w:w="1207"/>
        <w:gridCol w:w="1346"/>
        <w:gridCol w:w="945"/>
        <w:gridCol w:w="945"/>
        <w:gridCol w:w="945"/>
      </w:tblGrid>
      <w:tr>
        <w:tblPrEx>
          <w:shd w:val="clear" w:color="auto" w:fill="auto"/>
          <w:tblCellMar>
            <w:top w:w="0" w:type="dxa"/>
            <w:left w:w="108" w:type="dxa"/>
            <w:bottom w:w="0" w:type="dxa"/>
            <w:right w:w="108" w:type="dxa"/>
          </w:tblCellMar>
        </w:tblPrEx>
        <w:trPr>
          <w:trHeight w:val="235" w:hRule="atLeast"/>
        </w:trPr>
        <w:tc>
          <w:tcPr>
            <w:tcW w:w="2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49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本年支出合计</w:t>
            </w:r>
          </w:p>
        </w:tc>
        <w:tc>
          <w:tcPr>
            <w:tcW w:w="44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49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项目支出</w:t>
            </w:r>
          </w:p>
        </w:tc>
        <w:tc>
          <w:tcPr>
            <w:tcW w:w="34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上缴上级支出</w:t>
            </w:r>
          </w:p>
        </w:tc>
        <w:tc>
          <w:tcPr>
            <w:tcW w:w="34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经营支出</w:t>
            </w:r>
          </w:p>
        </w:tc>
        <w:tc>
          <w:tcPr>
            <w:tcW w:w="34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对附属单位补助支出</w:t>
            </w:r>
          </w:p>
        </w:tc>
      </w:tr>
      <w:tr>
        <w:tblPrEx>
          <w:shd w:val="clear" w:color="auto" w:fill="auto"/>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功能分类科目编码</w:t>
            </w:r>
          </w:p>
        </w:tc>
        <w:tc>
          <w:tcPr>
            <w:tcW w:w="2147"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147"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147"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53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492"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442"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493"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34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4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34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253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14952.17</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789.5</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14162.68</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574.8</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138.4</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436.4</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2080505</w:t>
            </w:r>
          </w:p>
        </w:tc>
        <w:tc>
          <w:tcPr>
            <w:tcW w:w="2147"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机关事业单位基本养老保险缴费支出</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44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49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2147"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9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本年支出合</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计</w:t>
            </w:r>
          </w:p>
        </w:tc>
        <w:tc>
          <w:tcPr>
            <w:tcW w:w="44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49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项目支出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上缴上</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级支出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经营支</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对附属</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单位补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助支出</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大中型水库移民后期扶持基金支出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436.25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436.25</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移民补助</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357.92</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357.92</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小型水库移民扶助基金安排的支出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2147"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9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2147"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9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本年支出合</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计</w:t>
            </w:r>
          </w:p>
        </w:tc>
        <w:tc>
          <w:tcPr>
            <w:tcW w:w="44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49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项目支出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上缴上</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级支出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经营支</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对附属</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单位补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助支出</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事业单位医疗</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2101103</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公务员医疗补助</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6969.14</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6357.28</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6969.14</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6357.28</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631.86</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5662.57</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5662.57</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161.33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161.33</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2147"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44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类科目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编码</w:t>
            </w:r>
          </w:p>
        </w:tc>
        <w:tc>
          <w:tcPr>
            <w:tcW w:w="2147"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9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本年支出合</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计</w:t>
            </w:r>
          </w:p>
        </w:tc>
        <w:tc>
          <w:tcPr>
            <w:tcW w:w="442"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49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项目支出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上缴上</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级支出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经营支</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出</w:t>
            </w:r>
          </w:p>
        </w:tc>
        <w:tc>
          <w:tcPr>
            <w:tcW w:w="34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对附属</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单位补</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助支出</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其他政府性基金及对应专项债务收入安排的支出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2290402</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其他地方自行试点项目收益专项债券收入安排的支出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抗疫特别国债安排的支出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基础设施建设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2340199</w:t>
            </w:r>
          </w:p>
        </w:tc>
        <w:tc>
          <w:tcPr>
            <w:tcW w:w="21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其他基础设施建设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w:t>
      </w:r>
      <w:r>
        <w:rPr>
          <w:rFonts w:hint="eastAsia" w:ascii="仿宋_GB2312" w:hAnsi="宋体" w:eastAsia="仿宋_GB2312"/>
          <w:sz w:val="22"/>
          <w:szCs w:val="22"/>
        </w:rPr>
        <w:t>本年度各项支出情况。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财政拨款收入支出决算总表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公开04表</w:t>
      </w:r>
    </w:p>
    <w:p>
      <w:pPr>
        <w:spacing w:line="400" w:lineRule="exact"/>
        <w:jc w:val="lef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highlight w:val="none"/>
          <w:lang w:eastAsia="zh-CN"/>
        </w:rPr>
        <w:t>淄博市博山区水利局</w:t>
      </w:r>
      <w:r>
        <w:rPr>
          <w:rFonts w:hint="eastAsia" w:ascii="楷体_GB2312" w:eastAsia="楷体_GB2312"/>
          <w:sz w:val="28"/>
          <w:szCs w:val="28"/>
          <w:highlight w:val="none"/>
          <w:lang w:val="en-US" w:eastAsia="zh-CN"/>
        </w:rPr>
        <w:t>汇总</w:t>
      </w:r>
      <w:r>
        <w:rPr>
          <w:rFonts w:hint="eastAsia" w:ascii="楷体_GB2312" w:eastAsia="楷体_GB2312"/>
          <w:sz w:val="28"/>
          <w:szCs w:val="28"/>
        </w:rPr>
        <w:t xml:space="preserve">                                                      金额单位：万元</w:t>
      </w:r>
    </w:p>
    <w:tbl>
      <w:tblPr>
        <w:tblStyle w:val="10"/>
        <w:tblW w:w="13273" w:type="dxa"/>
        <w:tblInd w:w="96" w:type="dxa"/>
        <w:shd w:val="clear" w:color="auto" w:fill="auto"/>
        <w:tblLayout w:type="autofit"/>
        <w:tblCellMar>
          <w:top w:w="0" w:type="dxa"/>
          <w:left w:w="108" w:type="dxa"/>
          <w:bottom w:w="0" w:type="dxa"/>
          <w:right w:w="108" w:type="dxa"/>
        </w:tblCellMar>
      </w:tblPr>
      <w:tblGrid>
        <w:gridCol w:w="2958"/>
        <w:gridCol w:w="430"/>
        <w:gridCol w:w="1029"/>
        <w:gridCol w:w="3368"/>
        <w:gridCol w:w="452"/>
        <w:gridCol w:w="1044"/>
        <w:gridCol w:w="1317"/>
        <w:gridCol w:w="1487"/>
        <w:gridCol w:w="1188"/>
      </w:tblGrid>
      <w:tr>
        <w:tblPrEx>
          <w:shd w:val="clear" w:color="auto" w:fill="auto"/>
          <w:tblCellMar>
            <w:top w:w="0" w:type="dxa"/>
            <w:left w:w="108" w:type="dxa"/>
            <w:bottom w:w="0" w:type="dxa"/>
            <w:right w:w="108" w:type="dxa"/>
          </w:tblCellMar>
        </w:tblPrEx>
        <w:trPr>
          <w:trHeight w:val="235" w:hRule="atLeast"/>
        </w:trPr>
        <w:tc>
          <w:tcPr>
            <w:tcW w:w="44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收     入</w:t>
            </w:r>
          </w:p>
        </w:tc>
        <w:tc>
          <w:tcPr>
            <w:tcW w:w="8856"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支     出</w:t>
            </w:r>
          </w:p>
        </w:tc>
      </w:tr>
      <w:tr>
        <w:tblPrEx>
          <w:shd w:val="clear" w:color="auto" w:fill="auto"/>
          <w:tblCellMar>
            <w:top w:w="0" w:type="dxa"/>
            <w:left w:w="108" w:type="dxa"/>
            <w:bottom w:w="0" w:type="dxa"/>
            <w:right w:w="108" w:type="dxa"/>
          </w:tblCellMar>
        </w:tblPrEx>
        <w:trPr>
          <w:trHeight w:val="224" w:hRule="atLeast"/>
        </w:trPr>
        <w:tc>
          <w:tcPr>
            <w:tcW w:w="295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项目</w:t>
            </w:r>
          </w:p>
        </w:tc>
        <w:tc>
          <w:tcPr>
            <w:tcW w:w="43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行次</w:t>
            </w:r>
          </w:p>
        </w:tc>
        <w:tc>
          <w:tcPr>
            <w:tcW w:w="102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金额</w:t>
            </w:r>
          </w:p>
        </w:tc>
        <w:tc>
          <w:tcPr>
            <w:tcW w:w="329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项目</w:t>
            </w:r>
          </w:p>
        </w:tc>
        <w:tc>
          <w:tcPr>
            <w:tcW w:w="45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行次</w:t>
            </w:r>
          </w:p>
        </w:tc>
        <w:tc>
          <w:tcPr>
            <w:tcW w:w="0" w:type="auto"/>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合计</w:t>
            </w:r>
          </w:p>
        </w:tc>
        <w:tc>
          <w:tcPr>
            <w:tcW w:w="13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一般公共预算财政拨款</w:t>
            </w:r>
          </w:p>
        </w:tc>
        <w:tc>
          <w:tcPr>
            <w:tcW w:w="145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政府性基金预算财政拨款</w:t>
            </w:r>
          </w:p>
        </w:tc>
        <w:tc>
          <w:tcPr>
            <w:tcW w:w="127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国有资本经营预算财政拨款</w:t>
            </w:r>
          </w:p>
        </w:tc>
      </w:tr>
      <w:tr>
        <w:tblPrEx>
          <w:shd w:val="clear" w:color="auto" w:fill="auto"/>
          <w:tblCellMar>
            <w:top w:w="0" w:type="dxa"/>
            <w:left w:w="108" w:type="dxa"/>
            <w:bottom w:w="0" w:type="dxa"/>
            <w:right w:w="108" w:type="dxa"/>
          </w:tblCellMar>
        </w:tblPrEx>
        <w:trPr>
          <w:trHeight w:val="471" w:hRule="atLeast"/>
        </w:trPr>
        <w:tc>
          <w:tcPr>
            <w:tcW w:w="295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4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029"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329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45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0"/>
                <w:szCs w:val="20"/>
                <w:u w:val="none"/>
              </w:rPr>
            </w:pPr>
          </w:p>
        </w:tc>
        <w:tc>
          <w:tcPr>
            <w:tcW w:w="13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45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27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一、一般公共预算财政拨款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7352.62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7888.32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二、外交支出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三、国有资本经营预算财政拨款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三、国防支出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四、公共安全支出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五、教育支出</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37</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0"/>
                <w:szCs w:val="20"/>
                <w:u w:val="none"/>
                <w:lang w:eastAsia="zh-CN"/>
              </w:rPr>
            </w:pPr>
            <w:r>
              <w:rPr>
                <w:rFonts w:hint="eastAsia" w:ascii="仿宋_GB2312" w:hAnsi="仿宋_GB2312" w:eastAsia="仿宋_GB2312" w:cs="仿宋_GB2312"/>
                <w:i w:val="0"/>
                <w:iCs w:val="0"/>
                <w:color w:val="000000"/>
                <w:sz w:val="20"/>
                <w:szCs w:val="20"/>
                <w:u w:val="none"/>
                <w:lang w:eastAsia="zh-CN"/>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0"/>
                <w:szCs w:val="20"/>
                <w:u w:val="none"/>
                <w:lang w:eastAsia="zh-CN"/>
              </w:rPr>
            </w:pPr>
            <w:r>
              <w:rPr>
                <w:rFonts w:hint="eastAsia" w:ascii="仿宋_GB2312" w:hAnsi="仿宋_GB2312" w:eastAsia="仿宋_GB2312" w:cs="仿宋_GB2312"/>
                <w:i w:val="0"/>
                <w:iCs w:val="0"/>
                <w:color w:val="000000"/>
                <w:sz w:val="20"/>
                <w:szCs w:val="20"/>
                <w:u w:val="none"/>
                <w:lang w:eastAsia="zh-CN"/>
              </w:rPr>
              <w:t>金额</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合计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一般公共预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政府性基金预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国有资本</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经营预算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财政拨款</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574.8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138.4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436.4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38.73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38.73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6969.14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6969.14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0" w:type="auto"/>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十六、金融支出</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eastAsia="zh-CN"/>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eastAsia="zh-CN"/>
              </w:rPr>
              <w:t>金额</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合计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一般公共预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政府性基金预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国有资本</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经营预算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财政拨款</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5800.5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5800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25</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本年收入合计</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27</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15240.94</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本年支出合计</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59</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14952.17</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7146.77</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7805.4</w:t>
            </w:r>
          </w:p>
        </w:tc>
        <w:tc>
          <w:tcPr>
            <w:tcW w:w="0" w:type="auto"/>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eastAsia="zh-CN"/>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eastAsia="zh-CN"/>
              </w:rPr>
              <w:t>金额</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项目</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行</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合计</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一般公共预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政府性基金预</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算财政拨款</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国有资本</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经营预算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财政拨款</w:t>
            </w: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年初财政拨款结转和结余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166.69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年末财政拨款结转和结余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455.46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217.51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237.95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一般公共预算财政拨款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11.66</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61</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政府性基金预算财政拨款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155.03</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62</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国有资本经营预算财政拨款</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63</w:t>
            </w: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总计</w:t>
            </w:r>
          </w:p>
        </w:tc>
        <w:tc>
          <w:tcPr>
            <w:tcW w:w="0" w:type="auto"/>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15407.63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15407.63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7364.28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8043.35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bl>
    <w:p>
      <w:pPr>
        <w:ind w:firstLine="108" w:firstLineChars="50"/>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r>
        <w:rPr>
          <w:rFonts w:hint="eastAsia" w:ascii="仿宋_GB2312" w:hAnsi="宋体" w:eastAsia="仿宋_GB2312"/>
          <w:sz w:val="22"/>
          <w:szCs w:val="22"/>
        </w:rPr>
        <w:t>注：本表反</w:t>
      </w:r>
      <w:r>
        <w:rPr>
          <w:rFonts w:hint="eastAsia" w:ascii="仿宋_GB2312" w:hAnsi="宋体" w:eastAsia="仿宋_GB2312"/>
          <w:sz w:val="22"/>
          <w:szCs w:val="22"/>
          <w:highlight w:val="none"/>
        </w:rPr>
        <w:t>映单位</w:t>
      </w:r>
      <w:r>
        <w:rPr>
          <w:rFonts w:hint="eastAsia" w:ascii="仿宋_GB2312" w:hAnsi="宋体" w:eastAsia="仿宋_GB2312"/>
          <w:sz w:val="22"/>
          <w:szCs w:val="22"/>
        </w:rPr>
        <w:t>本年度一般公共预算财政拨款、政府性基金预算财政拨款和国有资本经营预算财政拨款的总收支和年末结转结余情况。</w:t>
      </w: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公开05表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417"/>
        <w:gridCol w:w="5684"/>
        <w:gridCol w:w="2200"/>
        <w:gridCol w:w="2140"/>
        <w:gridCol w:w="2206"/>
      </w:tblGrid>
      <w:tr>
        <w:tblPrEx>
          <w:shd w:val="clear" w:color="auto" w:fill="auto"/>
          <w:tblCellMar>
            <w:top w:w="0" w:type="dxa"/>
            <w:left w:w="108" w:type="dxa"/>
            <w:bottom w:w="0" w:type="dxa"/>
            <w:right w:w="108" w:type="dxa"/>
          </w:tblCellMar>
        </w:tblPrEx>
        <w:trPr>
          <w:trHeight w:val="235" w:hRule="atLeast"/>
        </w:trPr>
        <w:tc>
          <w:tcPr>
            <w:tcW w:w="26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2398"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本年支出</w:t>
            </w:r>
          </w:p>
        </w:tc>
      </w:tr>
      <w:tr>
        <w:tblPrEx>
          <w:shd w:val="clear" w:color="auto" w:fill="auto"/>
          <w:tblCellMar>
            <w:top w:w="0" w:type="dxa"/>
            <w:left w:w="108" w:type="dxa"/>
            <w:bottom w:w="0" w:type="dxa"/>
            <w:right w:w="108" w:type="dxa"/>
          </w:tblCellMar>
        </w:tblPrEx>
        <w:trPr>
          <w:trHeight w:val="235" w:hRule="atLeast"/>
        </w:trPr>
        <w:tc>
          <w:tcPr>
            <w:tcW w:w="5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功能分类科目编码</w:t>
            </w:r>
          </w:p>
        </w:tc>
        <w:tc>
          <w:tcPr>
            <w:tcW w:w="2081"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80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78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80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项目支出</w:t>
            </w:r>
          </w:p>
        </w:tc>
      </w:tr>
      <w:tr>
        <w:tblPrEx>
          <w:shd w:val="clear" w:color="auto" w:fill="auto"/>
          <w:tblCellMar>
            <w:top w:w="0" w:type="dxa"/>
            <w:left w:w="108" w:type="dxa"/>
            <w:bottom w:w="0" w:type="dxa"/>
            <w:right w:w="108" w:type="dxa"/>
          </w:tblCellMar>
        </w:tblPrEx>
        <w:trPr>
          <w:trHeight w:val="212" w:hRule="atLeast"/>
        </w:trPr>
        <w:tc>
          <w:tcPr>
            <w:tcW w:w="5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081"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80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78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5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081"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80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78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601"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r>
      <w:tr>
        <w:tblPrEx>
          <w:shd w:val="clear" w:color="auto" w:fill="auto"/>
          <w:tblCellMar>
            <w:top w:w="0" w:type="dxa"/>
            <w:left w:w="108" w:type="dxa"/>
            <w:bottom w:w="0" w:type="dxa"/>
            <w:right w:w="108" w:type="dxa"/>
          </w:tblCellMar>
        </w:tblPrEx>
        <w:trPr>
          <w:trHeight w:val="235" w:hRule="atLeast"/>
        </w:trPr>
        <w:tc>
          <w:tcPr>
            <w:tcW w:w="2601"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7146.77</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789.5</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6357.28</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138.4</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138.4</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108.47</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69.59</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2080505</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机关事业单位基本养老保险缴费支出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21.87</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208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80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78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17.02</w:t>
            </w:r>
          </w:p>
        </w:tc>
        <w:tc>
          <w:tcPr>
            <w:tcW w:w="8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科目编码</w:t>
            </w:r>
          </w:p>
        </w:tc>
        <w:tc>
          <w:tcPr>
            <w:tcW w:w="2081"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80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78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8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项目支出</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29.93</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38.73</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2101102</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事业单位医疗</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10.31</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2101103</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公务员医疗补助</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5.39</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6969.14</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6357.28</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6969.14</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6357.28</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631.86</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611.86</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208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80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5662.57</w:t>
            </w:r>
          </w:p>
        </w:tc>
        <w:tc>
          <w:tcPr>
            <w:tcW w:w="78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5662.57</w:t>
            </w:r>
          </w:p>
        </w:tc>
      </w:tr>
      <w:tr>
        <w:tblPrEx>
          <w:shd w:val="clear" w:color="auto" w:fill="auto"/>
          <w:tblCellMar>
            <w:top w:w="0" w:type="dxa"/>
            <w:left w:w="108" w:type="dxa"/>
            <w:bottom w:w="0" w:type="dxa"/>
            <w:right w:w="108" w:type="dxa"/>
          </w:tblCellMar>
        </w:tblPrEx>
        <w:trPr>
          <w:trHeight w:val="235" w:hRule="atLeast"/>
        </w:trPr>
        <w:tc>
          <w:tcPr>
            <w:tcW w:w="519"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功能分类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科目编码</w:t>
            </w:r>
          </w:p>
        </w:tc>
        <w:tc>
          <w:tcPr>
            <w:tcW w:w="2081"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80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78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8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项目支出</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161.33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161.33</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20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80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78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单位本年</w:t>
      </w:r>
      <w:r>
        <w:rPr>
          <w:rFonts w:hint="eastAsia" w:ascii="仿宋_GB2312" w:hAnsi="宋体" w:eastAsia="仿宋_GB2312"/>
          <w:sz w:val="22"/>
          <w:szCs w:val="22"/>
        </w:rPr>
        <w:t>度一般公共预算财政拨款支出情况。</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一般公共预算财政拨款基本支出决算表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公开06表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706"/>
        <w:gridCol w:w="3154"/>
        <w:gridCol w:w="804"/>
        <w:gridCol w:w="706"/>
        <w:gridCol w:w="2175"/>
        <w:gridCol w:w="706"/>
        <w:gridCol w:w="706"/>
        <w:gridCol w:w="3942"/>
        <w:gridCol w:w="748"/>
      </w:tblGrid>
      <w:tr>
        <w:tblPrEx>
          <w:shd w:val="clear" w:color="auto" w:fill="auto"/>
          <w:tblCellMar>
            <w:top w:w="0" w:type="dxa"/>
            <w:left w:w="108" w:type="dxa"/>
            <w:bottom w:w="0" w:type="dxa"/>
            <w:right w:w="108" w:type="dxa"/>
          </w:tblCellMar>
        </w:tblPrEx>
        <w:trPr>
          <w:trHeight w:val="235" w:hRule="atLeast"/>
        </w:trPr>
        <w:tc>
          <w:tcPr>
            <w:tcW w:w="17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人员经费</w:t>
            </w:r>
          </w:p>
        </w:tc>
        <w:tc>
          <w:tcPr>
            <w:tcW w:w="3291"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公用经费</w:t>
            </w:r>
          </w:p>
        </w:tc>
      </w:tr>
      <w:tr>
        <w:tblPrEx>
          <w:shd w:val="clear" w:color="auto" w:fill="auto"/>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115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9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79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1443"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74" w:type="pct"/>
            <w:vMerge w:val="restar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决算数</w:t>
            </w:r>
          </w:p>
        </w:tc>
      </w:tr>
      <w:tr>
        <w:tblPrEx>
          <w:shd w:val="clear" w:color="auto" w:fill="auto"/>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15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9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79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443"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74" w:type="pct"/>
            <w:vMerge w:val="continue"/>
            <w:tcBorders>
              <w:top w:val="nil"/>
              <w:left w:val="nil"/>
              <w:bottom w:val="single" w:color="000000" w:sz="4" w:space="0"/>
              <w:right w:val="single" w:color="000000" w:sz="8"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工资福利支出</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612.41</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商品和服务支出</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54.96</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债务利息及费用支出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基本工资</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157.91</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30201</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办公费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13.27</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30701</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国内债务付息</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津贴补贴</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172.3</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30202</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印刷费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3.36</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30702</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国外债务付息</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奖金</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13.11</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30203</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咨询费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30703</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国内债务发行费用</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30106</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伙食补助费</w:t>
            </w:r>
          </w:p>
        </w:tc>
        <w:tc>
          <w:tcPr>
            <w:tcW w:w="29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30204</w:t>
            </w:r>
          </w:p>
        </w:tc>
        <w:tc>
          <w:tcPr>
            <w:tcW w:w="79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手续费</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30704</w:t>
            </w:r>
          </w:p>
        </w:tc>
        <w:tc>
          <w:tcPr>
            <w:tcW w:w="144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国外债务发行费用</w:t>
            </w:r>
          </w:p>
        </w:tc>
        <w:tc>
          <w:tcPr>
            <w:tcW w:w="274"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15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9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79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44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74" w:type="pct"/>
            <w:tcBorders>
              <w:top w:val="single" w:color="auto" w:sz="4" w:space="0"/>
              <w:left w:val="nil"/>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30107</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绩效工资</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38.89</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30205</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水费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资本性支出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30108</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机关事业单位基本养老保险缴费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76.89</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30206</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电费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31001</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房屋建筑物购建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职业年金缴费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27.08</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30207</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邮电费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1.58</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31002</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办公设备购置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30110</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职工基本医疗保险缴费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23.44</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30208</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取暖费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6.9</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31003</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专用设备购置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公务员医疗补助缴费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15.3</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30209</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物业管理费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31005</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基础设施建设</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其他社会保障缴费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2.12</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30211</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差旅费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1.67</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31006</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大型修缮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住房公积金</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72.95</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30212</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因公出国（境）费用</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31007</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信息网络及软件购置更新</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30114</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医疗费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30213</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维修（护）费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31008</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物资储备</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30199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其他工资福利支出</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12.43</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30214</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租赁费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土地补偿</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对个人和家庭的补助</w:t>
            </w:r>
          </w:p>
        </w:tc>
        <w:tc>
          <w:tcPr>
            <w:tcW w:w="29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122.12</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30215</w:t>
            </w:r>
          </w:p>
        </w:tc>
        <w:tc>
          <w:tcPr>
            <w:tcW w:w="79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会议费</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31010</w:t>
            </w:r>
          </w:p>
        </w:tc>
        <w:tc>
          <w:tcPr>
            <w:tcW w:w="144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安置补助</w:t>
            </w:r>
          </w:p>
        </w:tc>
        <w:tc>
          <w:tcPr>
            <w:tcW w:w="274"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15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9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79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44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74" w:type="pct"/>
            <w:tcBorders>
              <w:top w:val="single" w:color="auto" w:sz="4" w:space="0"/>
              <w:left w:val="nil"/>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离休费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30216</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培训费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0.04</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31011</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地上附着物和青苗补偿</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退休费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76.12</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30217</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公务接待费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0.44</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31012</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拆迁补偿</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59"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退职（役）费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30218</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专用材料费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31013</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公务用车购置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30304</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抚恤金</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29.93</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30224</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被装购置费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其他交通工具购置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30305</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生活补助</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11.86</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30225</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专用燃料费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31021</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文物和陈列品购置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30306</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救济费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30226</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劳务费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15.77</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31022</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无形资产购置</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30307</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医疗费补助</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30227</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委托业务费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31099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其他资本性支出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30308</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助学金</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30228</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工会经费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3.34</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对企业补助</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奖励金</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4.22</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30229</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福利费</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31201</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资本金注入</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30310</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个人农业生产补贴</w:t>
            </w:r>
          </w:p>
        </w:tc>
        <w:tc>
          <w:tcPr>
            <w:tcW w:w="29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30231</w:t>
            </w:r>
          </w:p>
        </w:tc>
        <w:tc>
          <w:tcPr>
            <w:tcW w:w="79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公务用车运行维护费</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3.11</w:t>
            </w:r>
          </w:p>
        </w:tc>
        <w:tc>
          <w:tcPr>
            <w:tcW w:w="2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31203</w:t>
            </w:r>
          </w:p>
        </w:tc>
        <w:tc>
          <w:tcPr>
            <w:tcW w:w="144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政府投资基金股权投资</w:t>
            </w:r>
          </w:p>
        </w:tc>
        <w:tc>
          <w:tcPr>
            <w:tcW w:w="274"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155"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94"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796"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c>
          <w:tcPr>
            <w:tcW w:w="25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经济</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分类</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编码</w:t>
            </w:r>
          </w:p>
        </w:tc>
        <w:tc>
          <w:tcPr>
            <w:tcW w:w="144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74" w:type="pct"/>
            <w:tcBorders>
              <w:top w:val="single" w:color="auto" w:sz="4" w:space="0"/>
              <w:left w:val="nil"/>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决算</w:t>
            </w:r>
          </w:p>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数</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30311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代缴社会保险费</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30239</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其他交通费用</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5.48</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31204</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费用补贴</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30399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其他对个人和家庭的补助</w:t>
            </w:r>
          </w:p>
        </w:tc>
        <w:tc>
          <w:tcPr>
            <w:tcW w:w="29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30240</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税金及附加费用</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31205</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利息补贴</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30299</w:t>
            </w:r>
          </w:p>
        </w:tc>
        <w:tc>
          <w:tcPr>
            <w:tcW w:w="7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其他商品和服务支出</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31299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其他对企业补助</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其他支出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39906</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赠与</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39907</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国家赔偿费用支出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39908</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对民间非营利组织和群众性自治组织补贴</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39999</w:t>
            </w:r>
          </w:p>
        </w:tc>
        <w:tc>
          <w:tcPr>
            <w:tcW w:w="1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其他支出</w:t>
            </w:r>
          </w:p>
        </w:tc>
        <w:tc>
          <w:tcPr>
            <w:tcW w:w="274"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1414" w:type="pct"/>
            <w:gridSpan w:val="2"/>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人员经费合计</w:t>
            </w:r>
          </w:p>
        </w:tc>
        <w:tc>
          <w:tcPr>
            <w:tcW w:w="294" w:type="pct"/>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734.53</w:t>
            </w:r>
          </w:p>
        </w:tc>
        <w:tc>
          <w:tcPr>
            <w:tcW w:w="3016" w:type="pct"/>
            <w:gridSpan w:val="5"/>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公用经费合计</w:t>
            </w:r>
          </w:p>
        </w:tc>
        <w:tc>
          <w:tcPr>
            <w:tcW w:w="27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54.96</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w:t>
      </w:r>
      <w:r>
        <w:rPr>
          <w:rFonts w:hint="eastAsia" w:ascii="仿宋_GB2312" w:hAnsi="宋体" w:eastAsia="仿宋_GB2312"/>
          <w:sz w:val="22"/>
          <w:szCs w:val="22"/>
          <w:highlight w:val="none"/>
        </w:rPr>
        <w:t>映单位本</w:t>
      </w:r>
      <w:r>
        <w:rPr>
          <w:rFonts w:hint="eastAsia" w:ascii="仿宋_GB2312" w:hAnsi="宋体" w:eastAsia="仿宋_GB2312"/>
          <w:sz w:val="22"/>
          <w:szCs w:val="22"/>
        </w:rPr>
        <w:t>年度一般公共预算财政拨款基本支出明细情况。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一般公共预算财政拨款“三公”经费支出决算表</w:t>
      </w:r>
    </w:p>
    <w:p>
      <w:pPr>
        <w:wordWrap w:val="0"/>
        <w:spacing w:line="400" w:lineRule="exact"/>
        <w:jc w:val="right"/>
        <w:rPr>
          <w:rFonts w:ascii="楷体_GB2312" w:eastAsia="楷体_GB2312"/>
          <w:sz w:val="28"/>
          <w:szCs w:val="28"/>
        </w:rPr>
      </w:pPr>
      <w:r>
        <w:rPr>
          <w:rFonts w:hint="eastAsia" w:ascii="方正小标宋简体" w:eastAsia="方正小标宋简体"/>
          <w:sz w:val="44"/>
          <w:szCs w:val="44"/>
        </w:rPr>
        <w:t>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公开07表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13537" w:type="dxa"/>
        <w:tblInd w:w="96" w:type="dxa"/>
        <w:shd w:val="clear" w:color="auto" w:fill="auto"/>
        <w:tblLayout w:type="autofit"/>
        <w:tblCellMar>
          <w:top w:w="0" w:type="dxa"/>
          <w:left w:w="108" w:type="dxa"/>
          <w:bottom w:w="0" w:type="dxa"/>
          <w:right w:w="108" w:type="dxa"/>
        </w:tblCellMar>
      </w:tblPr>
      <w:tblGrid>
        <w:gridCol w:w="1128"/>
        <w:gridCol w:w="1128"/>
        <w:gridCol w:w="1128"/>
        <w:gridCol w:w="1128"/>
        <w:gridCol w:w="1128"/>
        <w:gridCol w:w="1128"/>
        <w:gridCol w:w="1128"/>
        <w:gridCol w:w="1128"/>
        <w:gridCol w:w="1128"/>
        <w:gridCol w:w="1128"/>
        <w:gridCol w:w="1128"/>
        <w:gridCol w:w="1129"/>
      </w:tblGrid>
      <w:tr>
        <w:tblPrEx>
          <w:shd w:val="clear" w:color="auto" w:fill="auto"/>
          <w:tblCellMar>
            <w:top w:w="0" w:type="dxa"/>
            <w:left w:w="108" w:type="dxa"/>
            <w:bottom w:w="0" w:type="dxa"/>
            <w:right w:w="108" w:type="dxa"/>
          </w:tblCellMar>
        </w:tblPrEx>
        <w:trPr>
          <w:trHeight w:val="235" w:hRule="atLeast"/>
        </w:trPr>
        <w:tc>
          <w:tcPr>
            <w:tcW w:w="6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预算数</w:t>
            </w:r>
          </w:p>
        </w:tc>
        <w:tc>
          <w:tcPr>
            <w:tcW w:w="6768"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决算数</w:t>
            </w:r>
          </w:p>
        </w:tc>
      </w:tr>
      <w:tr>
        <w:tblPrEx>
          <w:shd w:val="clear" w:color="auto" w:fill="auto"/>
          <w:tblCellMar>
            <w:top w:w="0" w:type="dxa"/>
            <w:left w:w="108" w:type="dxa"/>
            <w:bottom w:w="0" w:type="dxa"/>
            <w:right w:w="108" w:type="dxa"/>
          </w:tblCellMar>
        </w:tblPrEx>
        <w:trPr>
          <w:trHeight w:val="235" w:hRule="atLeast"/>
        </w:trPr>
        <w:tc>
          <w:tcPr>
            <w:tcW w:w="112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11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因公出国（境）费</w:t>
            </w:r>
          </w:p>
        </w:tc>
        <w:tc>
          <w:tcPr>
            <w:tcW w:w="3384"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公务用车购置及运行维护费</w:t>
            </w:r>
          </w:p>
        </w:tc>
        <w:tc>
          <w:tcPr>
            <w:tcW w:w="11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公务接待费</w:t>
            </w:r>
          </w:p>
        </w:tc>
        <w:tc>
          <w:tcPr>
            <w:tcW w:w="11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11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因公出国（境）费</w:t>
            </w:r>
          </w:p>
        </w:tc>
        <w:tc>
          <w:tcPr>
            <w:tcW w:w="3384"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公务用车购置及运行维护费</w:t>
            </w:r>
          </w:p>
        </w:tc>
        <w:tc>
          <w:tcPr>
            <w:tcW w:w="112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公务接待费</w:t>
            </w:r>
          </w:p>
        </w:tc>
      </w:tr>
      <w:tr>
        <w:tblPrEx>
          <w:tblCellMar>
            <w:top w:w="0" w:type="dxa"/>
            <w:left w:w="108" w:type="dxa"/>
            <w:bottom w:w="0" w:type="dxa"/>
            <w:right w:w="108" w:type="dxa"/>
          </w:tblCellMar>
        </w:tblPrEx>
        <w:trPr>
          <w:trHeight w:val="920" w:hRule="atLeast"/>
        </w:trPr>
        <w:tc>
          <w:tcPr>
            <w:tcW w:w="112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1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公务用车购置费</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公务用车运行维护费</w:t>
            </w:r>
          </w:p>
        </w:tc>
        <w:tc>
          <w:tcPr>
            <w:tcW w:w="11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1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1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公务用车购置费</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公务用车运行维护费</w:t>
            </w:r>
          </w:p>
        </w:tc>
        <w:tc>
          <w:tcPr>
            <w:tcW w:w="112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tblCellMar>
            <w:top w:w="0" w:type="dxa"/>
            <w:left w:w="108" w:type="dxa"/>
            <w:bottom w:w="0" w:type="dxa"/>
            <w:right w:w="108" w:type="dxa"/>
          </w:tblCellMar>
        </w:tblPrEx>
        <w:trPr>
          <w:trHeight w:val="235" w:hRule="atLeast"/>
        </w:trPr>
        <w:tc>
          <w:tcPr>
            <w:tcW w:w="112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112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r>
      <w:tr>
        <w:tblPrEx>
          <w:tblCellMar>
            <w:top w:w="0" w:type="dxa"/>
            <w:left w:w="108" w:type="dxa"/>
            <w:bottom w:w="0" w:type="dxa"/>
            <w:right w:w="108" w:type="dxa"/>
          </w:tblCellMar>
        </w:tblPrEx>
        <w:trPr>
          <w:trHeight w:val="23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0.44</w:t>
            </w:r>
          </w:p>
        </w:tc>
      </w:tr>
    </w:tbl>
    <w:p>
      <w:pPr>
        <w:spacing w:line="360" w:lineRule="exact"/>
        <w:ind w:firstLine="108" w:firstLineChars="50"/>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单位本</w:t>
      </w:r>
      <w:r>
        <w:rPr>
          <w:rFonts w:hint="eastAsia" w:ascii="仿宋_GB2312" w:hAnsi="宋体" w:eastAsia="仿宋_GB2312"/>
          <w:sz w:val="22"/>
          <w:szCs w:val="22"/>
        </w:rPr>
        <w:t>年度“三公”经费支出预决算情况。其中，预算数为“三公”经费年初预算数；决算数是包括当年一般公共预算财政拨款和以前年度结转资金安排的实际支出。</w:t>
      </w:r>
    </w:p>
    <w:p>
      <w:pPr>
        <w:spacing w:line="440" w:lineRule="exact"/>
        <w:ind w:firstLine="108" w:firstLineChars="50"/>
        <w:rPr>
          <w:rFonts w:ascii="仿宋_GB2312" w:hAnsi="宋体" w:eastAsia="仿宋_GB2312"/>
          <w:sz w:val="22"/>
          <w:szCs w:val="22"/>
          <w:highlight w:val="yellow"/>
        </w:rPr>
      </w:pPr>
    </w:p>
    <w:p>
      <w:pPr>
        <w:ind w:firstLine="108" w:firstLineChars="50"/>
        <w:rPr>
          <w:rFonts w:ascii="仿宋_GB2312" w:hAnsi="宋体" w:eastAsia="仿宋_GB2312"/>
          <w:sz w:val="22"/>
          <w:szCs w:val="22"/>
        </w:rPr>
      </w:pPr>
    </w:p>
    <w:p>
      <w:pPr>
        <w:jc w:val="center"/>
        <w:rPr>
          <w:rFonts w:ascii="方正小标宋简体" w:eastAsia="方正小标宋简体"/>
          <w:sz w:val="44"/>
          <w:szCs w:val="44"/>
        </w:rPr>
      </w:pPr>
      <w:r>
        <w:rPr>
          <w:rFonts w:hint="eastAsia" w:ascii="方正小标宋简体" w:eastAsia="方正小标宋简体"/>
          <w:sz w:val="44"/>
          <w:szCs w:val="44"/>
        </w:rPr>
        <w:t>政府性基金预算财政拨款收入支出决算表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公开08表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103"/>
        <w:gridCol w:w="6143"/>
        <w:gridCol w:w="1114"/>
        <w:gridCol w:w="1210"/>
        <w:gridCol w:w="1114"/>
        <w:gridCol w:w="732"/>
        <w:gridCol w:w="1117"/>
        <w:gridCol w:w="1114"/>
      </w:tblGrid>
      <w:tr>
        <w:tblPrEx>
          <w:shd w:val="clear" w:color="auto" w:fill="auto"/>
          <w:tblCellMar>
            <w:top w:w="0" w:type="dxa"/>
            <w:left w:w="108" w:type="dxa"/>
            <w:bottom w:w="0" w:type="dxa"/>
            <w:right w:w="108" w:type="dxa"/>
          </w:tblCellMar>
        </w:tblPrEx>
        <w:trPr>
          <w:trHeight w:val="235" w:hRule="atLeast"/>
        </w:trPr>
        <w:tc>
          <w:tcPr>
            <w:tcW w:w="265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w:t>
            </w:r>
          </w:p>
        </w:tc>
        <w:tc>
          <w:tcPr>
            <w:tcW w:w="408"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年初结转和结余</w:t>
            </w:r>
          </w:p>
        </w:tc>
        <w:tc>
          <w:tcPr>
            <w:tcW w:w="44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本年收入</w:t>
            </w:r>
          </w:p>
        </w:tc>
        <w:tc>
          <w:tcPr>
            <w:tcW w:w="108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本年支出</w:t>
            </w:r>
          </w:p>
        </w:tc>
        <w:tc>
          <w:tcPr>
            <w:tcW w:w="408"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年末结转和结余</w:t>
            </w:r>
          </w:p>
        </w:tc>
      </w:tr>
      <w:tr>
        <w:tblPrEx>
          <w:shd w:val="clear" w:color="auto" w:fill="auto"/>
          <w:tblCellMar>
            <w:top w:w="0" w:type="dxa"/>
            <w:left w:w="108" w:type="dxa"/>
            <w:bottom w:w="0" w:type="dxa"/>
            <w:right w:w="108" w:type="dxa"/>
          </w:tblCellMar>
        </w:tblPrEx>
        <w:trPr>
          <w:trHeight w:val="235" w:hRule="atLeast"/>
        </w:trPr>
        <w:tc>
          <w:tcPr>
            <w:tcW w:w="40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功能分类科目编码</w:t>
            </w:r>
          </w:p>
        </w:tc>
        <w:tc>
          <w:tcPr>
            <w:tcW w:w="2249"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科目名称</w:t>
            </w: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小计</w:t>
            </w:r>
          </w:p>
        </w:tc>
        <w:tc>
          <w:tcPr>
            <w:tcW w:w="26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基本支出</w:t>
            </w:r>
          </w:p>
        </w:tc>
        <w:tc>
          <w:tcPr>
            <w:tcW w:w="40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项目支出</w:t>
            </w: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249"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6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249"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6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65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栏次</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265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7888.32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7805.4</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7805.4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社会保障和就业支出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519.32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436.4</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大中型水库移民后期扶持基金支出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519.17</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436.25</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436.25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2082201</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移民补助</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2082202</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基础设施建设和经济发展</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440.84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357.92</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357.92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20823</w:t>
            </w:r>
          </w:p>
        </w:tc>
        <w:tc>
          <w:tcPr>
            <w:tcW w:w="224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小型水库移民扶助基金安排的支出</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26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功能科目</w:t>
            </w:r>
          </w:p>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分类编码</w:t>
            </w:r>
          </w:p>
        </w:tc>
        <w:tc>
          <w:tcPr>
            <w:tcW w:w="2249"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科目名称</w:t>
            </w:r>
          </w:p>
        </w:tc>
        <w:tc>
          <w:tcPr>
            <w:tcW w:w="4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年初结转</w:t>
            </w:r>
          </w:p>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和结余</w:t>
            </w:r>
          </w:p>
        </w:tc>
        <w:tc>
          <w:tcPr>
            <w:tcW w:w="443"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本年收入</w:t>
            </w:r>
          </w:p>
        </w:tc>
        <w:tc>
          <w:tcPr>
            <w:tcW w:w="4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小计</w:t>
            </w:r>
          </w:p>
        </w:tc>
        <w:tc>
          <w:tcPr>
            <w:tcW w:w="26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基本</w:t>
            </w:r>
          </w:p>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支出</w:t>
            </w:r>
          </w:p>
        </w:tc>
        <w:tc>
          <w:tcPr>
            <w:tcW w:w="4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项目支出</w:t>
            </w:r>
          </w:p>
        </w:tc>
        <w:tc>
          <w:tcPr>
            <w:tcW w:w="408" w:type="pc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年末结转</w:t>
            </w:r>
          </w:p>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2"/>
                <w:szCs w:val="22"/>
                <w:u w:val="none"/>
                <w:lang w:val="en-US" w:eastAsia="zh-CN" w:bidi="ar"/>
              </w:rPr>
            </w:pPr>
            <w:r>
              <w:rPr>
                <w:rFonts w:hint="eastAsia" w:ascii="仿宋_GB2312" w:hAnsi="仿宋_GB2312" w:eastAsia="仿宋_GB2312" w:cs="仿宋_GB2312"/>
                <w:b w:val="0"/>
                <w:bCs w:val="0"/>
                <w:i w:val="0"/>
                <w:iCs w:val="0"/>
                <w:color w:val="000000"/>
                <w:kern w:val="0"/>
                <w:sz w:val="22"/>
                <w:szCs w:val="22"/>
                <w:u w:val="none"/>
                <w:lang w:val="en-US" w:eastAsia="zh-CN" w:bidi="ar"/>
              </w:rPr>
              <w:t>和结余</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2082302</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基础设施建设和经济发展</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其他支出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22904</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其他政府性基金及对应专项债务收入安排的支出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2290402</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其他地方自行试点项目收益专项债券收入安排的支出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抗疫特别国债安排的支出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23401</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基础设施建设</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2340199</w:t>
            </w:r>
          </w:p>
        </w:tc>
        <w:tc>
          <w:tcPr>
            <w:tcW w:w="224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其他基础设施建设</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注：本表反映单位本年度政府性基金预算财政拨款收入、支出及结转和结余情况。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国有资本经营预算财政拨款支出决算表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公开09表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lang w:eastAsia="zh-CN"/>
        </w:rPr>
        <w:t>部门</w:t>
      </w:r>
      <w:r>
        <w:rPr>
          <w:rFonts w:hint="eastAsia" w:ascii="楷体_GB2312" w:eastAsia="楷体_GB2312"/>
          <w:sz w:val="28"/>
          <w:szCs w:val="28"/>
          <w:highlight w:val="none"/>
        </w:rPr>
        <w:t>：</w:t>
      </w:r>
      <w:r>
        <w:rPr>
          <w:rFonts w:hint="eastAsia" w:ascii="楷体_GB2312" w:eastAsia="楷体_GB2312"/>
          <w:sz w:val="28"/>
          <w:szCs w:val="28"/>
          <w:lang w:eastAsia="zh-CN"/>
        </w:rPr>
        <w:t>淄博市博山区水利局汇总</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0" w:type="auto"/>
        <w:jc w:val="center"/>
        <w:tblLayout w:type="fixed"/>
        <w:tblCellMar>
          <w:top w:w="0" w:type="dxa"/>
          <w:left w:w="108" w:type="dxa"/>
          <w:bottom w:w="0" w:type="dxa"/>
          <w:right w:w="108" w:type="dxa"/>
        </w:tblCellMar>
      </w:tblPr>
      <w:tblGrid>
        <w:gridCol w:w="1701"/>
        <w:gridCol w:w="3170"/>
        <w:gridCol w:w="2783"/>
        <w:gridCol w:w="2978"/>
        <w:gridCol w:w="2520"/>
      </w:tblGrid>
      <w:tr>
        <w:tblPrEx>
          <w:tblCellMar>
            <w:top w:w="0" w:type="dxa"/>
            <w:left w:w="108" w:type="dxa"/>
            <w:bottom w:w="0" w:type="dxa"/>
            <w:right w:w="108" w:type="dxa"/>
          </w:tblCellMar>
        </w:tblPrEx>
        <w:trPr>
          <w:trHeight w:val="428" w:hRule="atLeas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8281"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r>
      <w:tr>
        <w:tblPrEx>
          <w:tblCellMar>
            <w:top w:w="0" w:type="dxa"/>
            <w:left w:w="108" w:type="dxa"/>
            <w:bottom w:w="0" w:type="dxa"/>
            <w:right w:w="108" w:type="dxa"/>
          </w:tblCellMar>
        </w:tblPrEx>
        <w:trPr>
          <w:trHeight w:val="675" w:hRule="exact"/>
          <w:jc w:val="center"/>
        </w:trPr>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科目编码</w:t>
            </w:r>
          </w:p>
        </w:tc>
        <w:tc>
          <w:tcPr>
            <w:tcW w:w="317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2978"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25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400" w:lineRule="exact"/>
        <w:ind w:firstLine="108" w:firstLineChars="50"/>
        <w:jc w:val="left"/>
        <w:rPr>
          <w:rFonts w:hint="eastAsia" w:ascii="仿宋_GB2312" w:hAnsi="宋体" w:eastAsia="仿宋_GB2312"/>
          <w:sz w:val="22"/>
          <w:szCs w:val="22"/>
        </w:rPr>
      </w:pPr>
      <w:r>
        <w:rPr>
          <w:rFonts w:hint="eastAsia" w:ascii="仿宋_GB2312" w:hAnsi="宋体" w:eastAsia="仿宋_GB2312"/>
          <w:sz w:val="22"/>
          <w:szCs w:val="22"/>
        </w:rPr>
        <w:t>注</w:t>
      </w:r>
      <w:r>
        <w:rPr>
          <w:rFonts w:hint="eastAsia" w:ascii="仿宋_GB2312" w:hAnsi="宋体" w:eastAsia="仿宋_GB2312"/>
          <w:sz w:val="22"/>
          <w:szCs w:val="22"/>
          <w:highlight w:val="none"/>
        </w:rPr>
        <w:t>：本表反映单位本</w:t>
      </w:r>
      <w:r>
        <w:rPr>
          <w:rFonts w:hint="eastAsia" w:ascii="仿宋_GB2312" w:hAnsi="宋体" w:eastAsia="仿宋_GB2312"/>
          <w:sz w:val="22"/>
          <w:szCs w:val="22"/>
        </w:rPr>
        <w:t>年度国有资本经营预算财政拨款支出情况。</w:t>
      </w:r>
    </w:p>
    <w:p>
      <w:pPr>
        <w:spacing w:line="400" w:lineRule="exact"/>
        <w:ind w:firstLine="108" w:firstLineChars="50"/>
        <w:jc w:val="left"/>
        <w:rPr>
          <w:rFonts w:hint="eastAsia" w:ascii="仿宋_GB2312" w:hAnsi="宋体" w:eastAsia="仿宋_GB2312"/>
          <w:sz w:val="22"/>
          <w:szCs w:val="22"/>
          <w:lang w:eastAsia="zh-CN"/>
        </w:rPr>
      </w:pPr>
      <w:r>
        <w:rPr>
          <w:rFonts w:hint="eastAsia" w:ascii="仿宋_GB2312" w:hAnsi="宋体" w:eastAsia="仿宋_GB2312"/>
          <w:sz w:val="22"/>
          <w:szCs w:val="22"/>
          <w:lang w:eastAsia="zh-CN"/>
        </w:rPr>
        <w:t>说明：</w:t>
      </w:r>
      <w:r>
        <w:rPr>
          <w:rFonts w:hint="eastAsia" w:ascii="仿宋_GB2312" w:hAnsi="宋体" w:eastAsia="仿宋_GB2312"/>
          <w:sz w:val="22"/>
          <w:szCs w:val="22"/>
          <w:highlight w:val="none"/>
        </w:rPr>
        <w:t>本单位没有使用国有资本经营预算安排的支出，故本表无数据。</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第三部分</w:t>
      </w: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sectPr>
          <w:pgSz w:w="11906" w:h="16838"/>
          <w:pgMar w:top="1701" w:right="1531" w:bottom="1701" w:left="1531" w:header="0" w:footer="1418" w:gutter="0"/>
          <w:cols w:space="720" w:num="1"/>
          <w:docGrid w:type="linesAndChars" w:linePitch="610" w:charSpace="-849"/>
        </w:sectPr>
      </w:pPr>
      <w:r>
        <w:rPr>
          <w:rFonts w:hint="eastAsia" w:ascii="方正小标宋简体" w:eastAsia="方正小标宋简体"/>
          <w:spacing w:val="60"/>
          <w:sz w:val="48"/>
        </w:rPr>
        <w:t>2020年度</w:t>
      </w:r>
      <w:r>
        <w:rPr>
          <w:rFonts w:hint="eastAsia" w:ascii="方正小标宋简体" w:eastAsia="方正小标宋简体"/>
          <w:spacing w:val="60"/>
          <w:sz w:val="48"/>
          <w:lang w:eastAsia="zh-CN"/>
        </w:rPr>
        <w:t>部门</w:t>
      </w:r>
      <w:r>
        <w:rPr>
          <w:rFonts w:hint="eastAsia" w:ascii="方正小标宋简体" w:eastAsia="方正小标宋简体"/>
          <w:spacing w:val="60"/>
          <w:sz w:val="48"/>
        </w:rPr>
        <w:t>决算情况说明</w:t>
      </w:r>
    </w:p>
    <w:p>
      <w:pPr>
        <w:spacing w:line="580" w:lineRule="exact"/>
        <w:ind w:firstLine="640" w:firstLineChars="200"/>
        <w:rPr>
          <w:rFonts w:ascii="黑体" w:hAnsi="黑体" w:eastAsia="黑体"/>
          <w:szCs w:val="32"/>
        </w:rPr>
      </w:pPr>
      <w:r>
        <w:rPr>
          <w:rFonts w:hint="eastAsia" w:ascii="黑体" w:hAnsi="黑体" w:eastAsia="黑体"/>
          <w:szCs w:val="32"/>
        </w:rPr>
        <w:t>一、收入支出决算总体情况说明</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年度收入总计</w:t>
      </w:r>
      <w:r>
        <w:rPr>
          <w:rFonts w:hint="eastAsia" w:ascii="仿宋_GB2312" w:eastAsia="仿宋_GB2312"/>
          <w:szCs w:val="32"/>
          <w:lang w:val="en-US" w:eastAsia="zh-CN"/>
        </w:rPr>
        <w:t>15407.63</w:t>
      </w:r>
      <w:r>
        <w:rPr>
          <w:rFonts w:hint="eastAsia" w:ascii="仿宋_GB2312" w:eastAsia="仿宋_GB2312"/>
          <w:szCs w:val="32"/>
        </w:rPr>
        <w:t>万元，支出总计</w:t>
      </w:r>
      <w:r>
        <w:rPr>
          <w:rFonts w:hint="eastAsia" w:ascii="仿宋_GB2312" w:eastAsia="仿宋_GB2312"/>
          <w:szCs w:val="32"/>
          <w:lang w:val="en-US" w:eastAsia="zh-CN"/>
        </w:rPr>
        <w:t>15407.63</w:t>
      </w:r>
      <w:r>
        <w:rPr>
          <w:rFonts w:hint="eastAsia" w:ascii="仿宋_GB2312" w:eastAsia="仿宋_GB2312"/>
          <w:szCs w:val="32"/>
        </w:rPr>
        <w:t>万元。与201</w:t>
      </w:r>
      <w:r>
        <w:rPr>
          <w:rFonts w:hint="eastAsia" w:ascii="仿宋_GB2312" w:eastAsia="仿宋_GB2312"/>
          <w:szCs w:val="32"/>
          <w:lang w:val="en-US" w:eastAsia="zh-CN"/>
        </w:rPr>
        <w:t>9</w:t>
      </w:r>
      <w:r>
        <w:rPr>
          <w:rFonts w:hint="eastAsia" w:ascii="仿宋_GB2312" w:eastAsia="仿宋_GB2312"/>
          <w:szCs w:val="32"/>
        </w:rPr>
        <w:t>年相比，收入总计增加</w:t>
      </w:r>
      <w:r>
        <w:rPr>
          <w:rFonts w:hint="eastAsia" w:ascii="仿宋_GB2312" w:eastAsia="仿宋_GB2312"/>
          <w:szCs w:val="32"/>
          <w:lang w:val="en-US" w:eastAsia="zh-CN"/>
        </w:rPr>
        <w:t>11334.28</w:t>
      </w:r>
      <w:r>
        <w:rPr>
          <w:rFonts w:hint="eastAsia" w:ascii="仿宋_GB2312" w:eastAsia="仿宋_GB2312"/>
          <w:szCs w:val="32"/>
        </w:rPr>
        <w:t>万元，增长</w:t>
      </w:r>
      <w:r>
        <w:rPr>
          <w:rFonts w:hint="eastAsia" w:ascii="仿宋_GB2312" w:eastAsia="仿宋_GB2312"/>
          <w:szCs w:val="32"/>
          <w:lang w:val="en-US" w:eastAsia="zh-CN"/>
        </w:rPr>
        <w:t>278.25</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年项目拨款比201</w:t>
      </w:r>
      <w:r>
        <w:rPr>
          <w:rFonts w:hint="eastAsia" w:ascii="仿宋_GB2312" w:eastAsia="仿宋_GB2312"/>
          <w:szCs w:val="32"/>
          <w:lang w:val="en-US" w:eastAsia="zh-CN"/>
        </w:rPr>
        <w:t>9</w:t>
      </w:r>
      <w:r>
        <w:rPr>
          <w:rFonts w:hint="eastAsia" w:ascii="仿宋_GB2312" w:eastAsia="仿宋_GB2312"/>
          <w:szCs w:val="32"/>
        </w:rPr>
        <w:t>年增加；支出总计增加</w:t>
      </w:r>
      <w:r>
        <w:rPr>
          <w:rFonts w:hint="eastAsia" w:ascii="仿宋_GB2312" w:eastAsia="仿宋_GB2312"/>
          <w:szCs w:val="32"/>
          <w:lang w:val="en-US" w:eastAsia="zh-CN"/>
        </w:rPr>
        <w:t>11334.28</w:t>
      </w:r>
      <w:r>
        <w:rPr>
          <w:rFonts w:hint="eastAsia" w:ascii="仿宋_GB2312" w:eastAsia="仿宋_GB2312"/>
          <w:szCs w:val="32"/>
        </w:rPr>
        <w:t>万元，增长</w:t>
      </w:r>
      <w:r>
        <w:rPr>
          <w:rFonts w:hint="eastAsia" w:ascii="仿宋_GB2312" w:eastAsia="仿宋_GB2312"/>
          <w:szCs w:val="32"/>
          <w:lang w:val="en-US" w:eastAsia="zh-CN"/>
        </w:rPr>
        <w:t>278.25</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643" w:firstLineChars="200"/>
        <w:rPr>
          <w:rFonts w:hint="eastAsia" w:ascii="仿宋_GB2312" w:eastAsia="仿宋_GB2312"/>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年收、支决算总计变动情况图</w:t>
      </w:r>
    </w:p>
    <w:p>
      <w:pPr>
        <w:ind w:firstLine="640" w:firstLineChars="200"/>
        <w:rPr>
          <w:rFonts w:hint="eastAsia" w:ascii="仿宋_GB2312" w:eastAsia="仿宋_GB2312"/>
          <w:b/>
          <w:szCs w:val="32"/>
        </w:rPr>
      </w:pPr>
      <w:r>
        <w:rPr>
          <w:rFonts w:ascii="仿宋_GB2312" w:eastAsia="仿宋_GB2312"/>
          <w:szCs w:val="32"/>
        </w:rPr>
        <w:object>
          <v:shape id="_x0000_i1025" o:spt="75" type="#_x0000_t75" style="height:149.85pt;width:222pt;" o:ole="t" filled="f" o:preferrelative="t" stroked="f" coordsize="21600,21600">
            <v:path/>
            <v:fill on="f" focussize="0,0"/>
            <v:stroke on="f"/>
            <v:imagedata r:id="rId8" o:title=""/>
            <o:lock v:ext="edit" aspectratio="t"/>
            <w10:wrap type="none"/>
            <w10:anchorlock/>
          </v:shape>
          <o:OLEObject Type="Embed" ProgID="MSGraph.Chart.8" ShapeID="_x0000_i1025" DrawAspect="Content" ObjectID="_1468075725" r:id="rId7">
            <o:LockedField>false</o:LockedField>
          </o:OLEObject>
        </w:object>
      </w:r>
    </w:p>
    <w:p>
      <w:pPr>
        <w:spacing w:line="580" w:lineRule="exact"/>
        <w:ind w:firstLine="640" w:firstLineChars="200"/>
        <w:rPr>
          <w:rFonts w:ascii="黑体" w:hAnsi="黑体" w:eastAsia="黑体"/>
          <w:szCs w:val="32"/>
        </w:rPr>
      </w:pPr>
      <w:r>
        <w:rPr>
          <w:rFonts w:hint="eastAsia" w:ascii="黑体" w:hAnsi="黑体" w:eastAsia="黑体"/>
          <w:szCs w:val="32"/>
        </w:rPr>
        <w:t>二、收入决算情况说明</w:t>
      </w:r>
    </w:p>
    <w:p>
      <w:pPr>
        <w:spacing w:line="580" w:lineRule="exact"/>
        <w:ind w:firstLine="640" w:firstLineChars="200"/>
        <w:rPr>
          <w:rFonts w:ascii="楷体_GB2312" w:eastAsia="楷体_GB2312"/>
          <w:szCs w:val="32"/>
        </w:rPr>
      </w:pPr>
      <w:r>
        <w:rPr>
          <w:rFonts w:hint="eastAsia" w:ascii="楷体_GB2312" w:eastAsia="楷体_GB2312"/>
          <w:szCs w:val="32"/>
          <w:highlight w:val="none"/>
        </w:rPr>
        <w:t>（一）收入决算结构情况</w:t>
      </w:r>
      <w:r>
        <w:rPr>
          <w:rFonts w:hint="eastAsia" w:ascii="楷体_GB2312" w:eastAsia="楷体_GB2312"/>
          <w:szCs w:val="32"/>
        </w:rPr>
        <w:t xml:space="preserve"> </w:t>
      </w:r>
    </w:p>
    <w:p>
      <w:pPr>
        <w:ind w:firstLine="640" w:firstLineChars="200"/>
        <w:rPr>
          <w:rFonts w:hint="eastAsia" w:ascii="仿宋_GB2312" w:eastAsia="仿宋_GB2312"/>
          <w:szCs w:val="32"/>
        </w:rPr>
      </w:pPr>
      <w:r>
        <w:rPr>
          <w:rFonts w:hint="eastAsia" w:ascii="仿宋_GB2312" w:eastAsia="仿宋_GB2312"/>
          <w:szCs w:val="32"/>
        </w:rPr>
        <w:t>本年收入合计</w:t>
      </w:r>
      <w:r>
        <w:rPr>
          <w:rFonts w:hint="eastAsia" w:ascii="仿宋_GB2312" w:eastAsia="仿宋_GB2312"/>
          <w:szCs w:val="32"/>
          <w:lang w:val="en-US" w:eastAsia="zh-CN"/>
        </w:rPr>
        <w:t>15240.94</w:t>
      </w:r>
      <w:r>
        <w:rPr>
          <w:rFonts w:hint="eastAsia" w:ascii="仿宋_GB2312" w:eastAsia="仿宋_GB2312"/>
          <w:szCs w:val="32"/>
        </w:rPr>
        <w:t>万元，其中：财政拨款收入</w:t>
      </w:r>
      <w:r>
        <w:rPr>
          <w:rFonts w:hint="eastAsia" w:ascii="仿宋_GB2312" w:eastAsia="仿宋_GB2312"/>
          <w:szCs w:val="32"/>
          <w:lang w:val="en-US" w:eastAsia="zh-CN"/>
        </w:rPr>
        <w:t>15240.94</w:t>
      </w:r>
      <w:r>
        <w:rPr>
          <w:rFonts w:hint="eastAsia" w:ascii="仿宋_GB2312" w:eastAsia="仿宋_GB2312"/>
          <w:szCs w:val="32"/>
        </w:rPr>
        <w:t>万元，占100%；上级补助收入0万元，占0%；其他收入0万元，占0%。</w:t>
      </w:r>
    </w:p>
    <w:p>
      <w:pPr>
        <w:ind w:firstLine="2554" w:firstLineChars="795"/>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年收入决算结构图</w:t>
      </w:r>
    </w:p>
    <w:p>
      <w:pPr>
        <w:rPr>
          <w:rFonts w:hint="eastAsia" w:ascii="仿宋_GB2312" w:eastAsia="仿宋_GB2312"/>
          <w:szCs w:val="32"/>
        </w:rPr>
      </w:pPr>
      <w:r>
        <w:rPr>
          <w:rFonts w:hint="eastAsia" w:ascii="仿宋_GB2312" w:eastAsia="仿宋_GB2312"/>
          <w:szCs w:val="32"/>
        </w:rPr>
        <w:pict>
          <v:shape id="Object 4" o:spid="_x0000_s1026" o:spt="75" type="#_x0000_t75" style="position:absolute;left:0pt;margin-left:70.9pt;margin-top:3.7pt;height:247.3pt;width:333pt;mso-wrap-distance-bottom:0pt;mso-wrap-distance-left:9pt;mso-wrap-distance-right:9pt;mso-wrap-distance-top:0pt;z-index:251659264;mso-width-relative:page;mso-height-relative:page;" o:ole="t" filled="f" o:preferrelative="t" stroked="f" coordsize="21600,21600">
            <v:path/>
            <v:fill on="f" alignshape="1" focussize="0,0"/>
            <v:stroke on="f"/>
            <v:imagedata r:id="rId10" o:title=""/>
            <o:lock v:ext="edit" aspectratio="t"/>
            <w10:wrap type="square" side="right"/>
          </v:shape>
          <o:OLEObject Type="Embed" ProgID="MSGraph.Chart.8" ShapeID="Object 4" DrawAspect="Content" ObjectID="_1468075726" r:id="rId9">
            <o:LockedField>false</o:LockedField>
          </o:OLEObject>
        </w:pic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（二）收入决算具体情况</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1、财政拨款收入</w:t>
      </w:r>
      <w:r>
        <w:rPr>
          <w:rFonts w:hint="eastAsia" w:ascii="仿宋_GB2312" w:eastAsia="仿宋_GB2312"/>
          <w:szCs w:val="32"/>
          <w:lang w:val="en-US" w:eastAsia="zh-CN"/>
        </w:rPr>
        <w:t>15240.94</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12973.83</w:t>
      </w:r>
      <w:r>
        <w:rPr>
          <w:rFonts w:hint="eastAsia" w:ascii="仿宋_GB2312" w:eastAsia="仿宋_GB2312"/>
          <w:szCs w:val="32"/>
          <w:highlight w:val="none"/>
        </w:rPr>
        <w:t>万元，增长</w:t>
      </w:r>
      <w:r>
        <w:rPr>
          <w:rFonts w:hint="eastAsia" w:ascii="仿宋_GB2312" w:eastAsia="仿宋_GB2312"/>
          <w:szCs w:val="32"/>
          <w:highlight w:val="none"/>
          <w:lang w:val="en-US" w:eastAsia="zh-CN"/>
        </w:rPr>
        <w:t>572.26</w:t>
      </w:r>
      <w:r>
        <w:rPr>
          <w:rFonts w:hint="eastAsia" w:ascii="仿宋_GB2312" w:eastAsia="仿宋_GB2312"/>
          <w:szCs w:val="32"/>
          <w:highlight w:val="none"/>
        </w:rPr>
        <w:t>%。主要是</w:t>
      </w:r>
      <w:r>
        <w:rPr>
          <w:rFonts w:hint="eastAsia" w:ascii="仿宋_GB2312" w:eastAsia="仿宋_GB2312"/>
          <w:szCs w:val="32"/>
          <w:highlight w:val="none"/>
          <w:lang w:eastAsia="zh-CN"/>
        </w:rPr>
        <w:t>项目收入</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2、上级补助收入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3、事业收入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4、经营收入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5、附属单位上缴收入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b/>
          <w:szCs w:val="32"/>
        </w:rPr>
      </w:pPr>
      <w:r>
        <w:rPr>
          <w:rFonts w:hint="eastAsia" w:ascii="仿宋_GB2312" w:eastAsia="仿宋_GB2312"/>
          <w:szCs w:val="32"/>
          <w:highlight w:val="none"/>
        </w:rPr>
        <w:t>6、其他收入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黑体" w:hAnsi="黑体" w:eastAsia="黑体"/>
          <w:szCs w:val="32"/>
        </w:rPr>
      </w:pPr>
      <w:r>
        <w:rPr>
          <w:rFonts w:hint="eastAsia" w:ascii="黑体" w:hAnsi="黑体" w:eastAsia="黑体"/>
          <w:szCs w:val="32"/>
        </w:rPr>
        <w:t>三、支出决算情况说明</w: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（一）支出决算结构情况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本年支出合计14952.17万元，其中：基本支出789.5万元，占</w:t>
      </w:r>
      <w:r>
        <w:rPr>
          <w:rFonts w:hint="eastAsia" w:ascii="仿宋_GB2312" w:eastAsia="仿宋_GB2312"/>
          <w:szCs w:val="32"/>
          <w:lang w:val="en-US" w:eastAsia="zh-CN"/>
        </w:rPr>
        <w:t>5.28</w:t>
      </w:r>
      <w:r>
        <w:rPr>
          <w:rFonts w:hint="eastAsia" w:ascii="仿宋_GB2312" w:eastAsia="仿宋_GB2312"/>
          <w:szCs w:val="32"/>
        </w:rPr>
        <w:t>%；项目支出14162.68万元，占</w:t>
      </w:r>
      <w:r>
        <w:rPr>
          <w:rFonts w:hint="eastAsia" w:ascii="仿宋_GB2312" w:eastAsia="仿宋_GB2312"/>
          <w:szCs w:val="32"/>
          <w:lang w:val="en-US" w:eastAsia="zh-CN"/>
        </w:rPr>
        <w:t>94.72</w:t>
      </w:r>
      <w:r>
        <w:rPr>
          <w:rFonts w:hint="eastAsia" w:ascii="仿宋_GB2312" w:eastAsia="仿宋_GB2312"/>
          <w:szCs w:val="32"/>
        </w:rPr>
        <w:t>%；对附属单位补助支出</w:t>
      </w:r>
      <w:r>
        <w:rPr>
          <w:rFonts w:hint="eastAsia" w:ascii="仿宋_GB2312" w:eastAsia="仿宋_GB2312"/>
          <w:szCs w:val="32"/>
          <w:lang w:val="en-US" w:eastAsia="zh-CN"/>
        </w:rPr>
        <w:t>0</w:t>
      </w:r>
      <w:r>
        <w:rPr>
          <w:rFonts w:hint="eastAsia" w:ascii="仿宋_GB2312" w:eastAsia="仿宋_GB2312"/>
          <w:szCs w:val="32"/>
        </w:rPr>
        <w:t>万元，占</w:t>
      </w:r>
      <w:r>
        <w:rPr>
          <w:rFonts w:hint="eastAsia" w:ascii="仿宋_GB2312" w:eastAsia="仿宋_GB2312"/>
          <w:szCs w:val="32"/>
          <w:lang w:val="en-US" w:eastAsia="zh-CN"/>
        </w:rPr>
        <w:t>0</w:t>
      </w:r>
      <w:r>
        <w:rPr>
          <w:rFonts w:hint="eastAsia" w:ascii="仿宋_GB2312" w:eastAsia="仿宋_GB2312"/>
          <w:szCs w:val="32"/>
        </w:rPr>
        <w:t>%。</w:t>
      </w:r>
    </w:p>
    <w:p>
      <w:pPr>
        <w:ind w:firstLine="2554" w:firstLineChars="795"/>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w:t>
      </w:r>
      <w:r>
        <w:rPr>
          <w:rFonts w:hint="eastAsia" w:ascii="仿宋_GB2312" w:eastAsia="仿宋_GB2312"/>
          <w:b/>
          <w:szCs w:val="32"/>
          <w:lang w:eastAsia="zh-CN"/>
        </w:rPr>
        <w:t>支出</w:t>
      </w:r>
      <w:r>
        <w:rPr>
          <w:rFonts w:hint="eastAsia" w:ascii="仿宋_GB2312" w:eastAsia="仿宋_GB2312"/>
          <w:b/>
          <w:szCs w:val="32"/>
        </w:rPr>
        <w:t>决算结构图</w:t>
      </w:r>
    </w:p>
    <w:p>
      <w:pPr>
        <w:rPr>
          <w:rFonts w:hint="eastAsia" w:ascii="仿宋_GB2312" w:eastAsia="仿宋_GB2312"/>
          <w:szCs w:val="32"/>
        </w:rPr>
      </w:pPr>
      <w:r>
        <w:rPr>
          <w:rFonts w:hint="eastAsia" w:ascii="仿宋_GB2312" w:eastAsia="仿宋_GB2312"/>
          <w:szCs w:val="32"/>
        </w:rPr>
        <w:pict>
          <v:shape id="_x0000_s1028" o:spid="_x0000_s1028" o:spt="75" type="#_x0000_t75" style="position:absolute;left:0pt;margin-left:70.9pt;margin-top:3.7pt;height:252.2pt;width:337.9pt;mso-wrap-distance-bottom:0pt;mso-wrap-distance-left:9pt;mso-wrap-distance-right:9pt;mso-wrap-distance-top:0pt;z-index:251660288;mso-width-relative:page;mso-height-relative:page;" o:ole="t" filled="f" o:preferrelative="t" stroked="f" coordsize="21600,21600">
            <v:path/>
            <v:fill on="f" focussize="0,0"/>
            <v:stroke on="f"/>
            <v:imagedata r:id="rId12" o:title=""/>
            <o:lock v:ext="edit" aspectratio="t"/>
            <w10:wrap type="square" side="right"/>
          </v:shape>
          <o:OLEObject Type="Embed" ProgID="MSGraph.Chart.8" ShapeID="_x0000_s1028" DrawAspect="Content" ObjectID="_1468075727" r:id="rId11">
            <o:LockedField>false</o:LockedField>
          </o:OLEObject>
        </w:pict>
      </w:r>
    </w:p>
    <w:p>
      <w:pPr>
        <w:spacing w:line="580" w:lineRule="exact"/>
        <w:ind w:firstLine="640" w:firstLineChars="200"/>
        <w:rPr>
          <w:rFonts w:hint="eastAsia" w:ascii="仿宋_GB2312" w:eastAsia="仿宋_GB2312"/>
          <w:szCs w:val="32"/>
        </w:rPr>
      </w:pPr>
    </w:p>
    <w:p>
      <w:pPr>
        <w:spacing w:line="580" w:lineRule="exact"/>
        <w:ind w:firstLine="643" w:firstLineChars="200"/>
        <w:rPr>
          <w:rFonts w:ascii="仿宋_GB2312" w:eastAsia="仿宋_GB2312"/>
          <w:b/>
          <w:szCs w:val="32"/>
        </w:rPr>
      </w:pPr>
      <w:r>
        <w:rPr>
          <w:rFonts w:hint="eastAsia" w:ascii="仿宋_GB2312" w:eastAsia="仿宋_GB2312"/>
          <w:b/>
          <w:szCs w:val="32"/>
        </w:rPr>
        <w:t xml:space="preserve"> </w: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（二）支出决算具体情况</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1、基本支出</w:t>
      </w:r>
      <w:r>
        <w:rPr>
          <w:rFonts w:hint="eastAsia" w:ascii="仿宋_GB2312" w:eastAsia="仿宋_GB2312"/>
          <w:szCs w:val="32"/>
          <w:highlight w:val="none"/>
          <w:lang w:val="en-US" w:eastAsia="zh-CN"/>
        </w:rPr>
        <w:t>789.5</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4.97</w:t>
      </w:r>
      <w:r>
        <w:rPr>
          <w:rFonts w:hint="eastAsia" w:ascii="仿宋_GB2312" w:eastAsia="仿宋_GB2312"/>
          <w:szCs w:val="32"/>
          <w:highlight w:val="none"/>
        </w:rPr>
        <w:t>万元，增长（下降）</w:t>
      </w:r>
      <w:r>
        <w:rPr>
          <w:rFonts w:hint="eastAsia" w:ascii="仿宋_GB2312" w:eastAsia="仿宋_GB2312"/>
          <w:szCs w:val="32"/>
          <w:highlight w:val="none"/>
          <w:lang w:val="en-US" w:eastAsia="zh-CN"/>
        </w:rPr>
        <w:t>0.63</w:t>
      </w:r>
      <w:r>
        <w:rPr>
          <w:rFonts w:hint="eastAsia" w:ascii="仿宋_GB2312" w:eastAsia="仿宋_GB2312"/>
          <w:szCs w:val="32"/>
          <w:highlight w:val="none"/>
        </w:rPr>
        <w:t>%。主要是</w:t>
      </w:r>
      <w:r>
        <w:rPr>
          <w:rFonts w:hint="eastAsia" w:ascii="仿宋_GB2312" w:eastAsia="仿宋_GB2312"/>
          <w:szCs w:val="32"/>
          <w:highlight w:val="none"/>
          <w:lang w:eastAsia="zh-CN"/>
        </w:rPr>
        <w:t>人员支出</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2、项目支出14162.68万元。与2019年度相比，增加</w:t>
      </w:r>
      <w:r>
        <w:rPr>
          <w:rFonts w:hint="eastAsia" w:ascii="仿宋_GB2312" w:eastAsia="仿宋_GB2312"/>
          <w:szCs w:val="32"/>
          <w:highlight w:val="none"/>
          <w:lang w:val="en-US" w:eastAsia="zh-CN"/>
        </w:rPr>
        <w:t>12564.2</w:t>
      </w:r>
      <w:r>
        <w:rPr>
          <w:rFonts w:hint="eastAsia" w:ascii="仿宋_GB2312" w:eastAsia="仿宋_GB2312"/>
          <w:szCs w:val="32"/>
          <w:highlight w:val="none"/>
        </w:rPr>
        <w:t>万元，增长</w:t>
      </w:r>
      <w:r>
        <w:rPr>
          <w:rFonts w:hint="eastAsia" w:ascii="仿宋_GB2312" w:eastAsia="仿宋_GB2312"/>
          <w:szCs w:val="32"/>
          <w:highlight w:val="none"/>
          <w:lang w:val="en-US" w:eastAsia="zh-CN"/>
        </w:rPr>
        <w:t>785.94</w:t>
      </w:r>
      <w:r>
        <w:rPr>
          <w:rFonts w:hint="eastAsia" w:ascii="仿宋_GB2312" w:eastAsia="仿宋_GB2312"/>
          <w:szCs w:val="32"/>
          <w:highlight w:val="none"/>
        </w:rPr>
        <w:t>%。主要是</w:t>
      </w:r>
      <w:r>
        <w:rPr>
          <w:rFonts w:hint="eastAsia" w:ascii="仿宋_GB2312" w:eastAsia="仿宋_GB2312"/>
          <w:szCs w:val="32"/>
          <w:highlight w:val="none"/>
          <w:lang w:eastAsia="zh-CN"/>
        </w:rPr>
        <w:t>重点工程支出</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3、上缴上级支出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4、经营支出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5、对附属单位补助支出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黑体" w:hAnsi="黑体" w:eastAsia="黑体"/>
          <w:szCs w:val="32"/>
        </w:rPr>
      </w:pPr>
      <w:r>
        <w:rPr>
          <w:rFonts w:hint="eastAsia" w:ascii="黑体" w:hAnsi="黑体" w:eastAsia="黑体"/>
          <w:szCs w:val="32"/>
        </w:rPr>
        <w:t>四、财政拨款收入支出决算总体情况说明</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w:t>
      </w:r>
      <w:r>
        <w:rPr>
          <w:rFonts w:hint="eastAsia" w:ascii="仿宋_GB2312" w:eastAsia="仿宋_GB2312"/>
          <w:szCs w:val="32"/>
          <w:lang w:eastAsia="zh-CN"/>
        </w:rPr>
        <w:t>财政拨款</w:t>
      </w:r>
      <w:r>
        <w:rPr>
          <w:rFonts w:hint="eastAsia" w:ascii="仿宋_GB2312" w:eastAsia="仿宋_GB2312"/>
          <w:szCs w:val="32"/>
        </w:rPr>
        <w:t>收入总计</w:t>
      </w:r>
      <w:r>
        <w:rPr>
          <w:rFonts w:hint="eastAsia" w:ascii="仿宋_GB2312" w:eastAsia="仿宋_GB2312"/>
          <w:szCs w:val="32"/>
          <w:lang w:val="en-US" w:eastAsia="zh-CN"/>
        </w:rPr>
        <w:t>15407.63</w:t>
      </w:r>
      <w:r>
        <w:rPr>
          <w:rFonts w:hint="eastAsia" w:ascii="仿宋_GB2312" w:eastAsia="仿宋_GB2312"/>
          <w:szCs w:val="32"/>
        </w:rPr>
        <w:t>万元，</w:t>
      </w:r>
      <w:r>
        <w:rPr>
          <w:rFonts w:hint="eastAsia" w:ascii="仿宋_GB2312" w:eastAsia="仿宋_GB2312"/>
          <w:szCs w:val="32"/>
          <w:lang w:eastAsia="zh-CN"/>
        </w:rPr>
        <w:t>财政拨款</w:t>
      </w:r>
      <w:r>
        <w:rPr>
          <w:rFonts w:hint="eastAsia" w:ascii="仿宋_GB2312" w:eastAsia="仿宋_GB2312"/>
          <w:szCs w:val="32"/>
        </w:rPr>
        <w:t>支出总计</w:t>
      </w:r>
      <w:r>
        <w:rPr>
          <w:rFonts w:hint="eastAsia" w:ascii="仿宋_GB2312" w:eastAsia="仿宋_GB2312"/>
          <w:szCs w:val="32"/>
          <w:lang w:val="en-US" w:eastAsia="zh-CN"/>
        </w:rPr>
        <w:t>15407.63</w:t>
      </w:r>
      <w:r>
        <w:rPr>
          <w:rFonts w:hint="eastAsia" w:ascii="仿宋_GB2312" w:eastAsia="仿宋_GB2312"/>
          <w:szCs w:val="32"/>
        </w:rPr>
        <w:t>万元。与201</w:t>
      </w:r>
      <w:r>
        <w:rPr>
          <w:rFonts w:hint="eastAsia" w:ascii="仿宋_GB2312" w:eastAsia="仿宋_GB2312"/>
          <w:szCs w:val="32"/>
          <w:lang w:val="en-US" w:eastAsia="zh-CN"/>
        </w:rPr>
        <w:t>9</w:t>
      </w:r>
      <w:r>
        <w:rPr>
          <w:rFonts w:hint="eastAsia" w:ascii="仿宋_GB2312" w:eastAsia="仿宋_GB2312"/>
          <w:szCs w:val="32"/>
        </w:rPr>
        <w:t>年相比，</w:t>
      </w:r>
      <w:r>
        <w:rPr>
          <w:rFonts w:hint="eastAsia" w:ascii="仿宋_GB2312" w:eastAsia="仿宋_GB2312"/>
          <w:szCs w:val="32"/>
          <w:lang w:eastAsia="zh-CN"/>
        </w:rPr>
        <w:t>财政拨款</w:t>
      </w:r>
      <w:r>
        <w:rPr>
          <w:rFonts w:hint="eastAsia" w:ascii="仿宋_GB2312" w:eastAsia="仿宋_GB2312"/>
          <w:szCs w:val="32"/>
        </w:rPr>
        <w:t>收入总计增加</w:t>
      </w:r>
      <w:r>
        <w:rPr>
          <w:rFonts w:hint="eastAsia" w:ascii="仿宋_GB2312" w:eastAsia="仿宋_GB2312"/>
          <w:szCs w:val="32"/>
          <w:lang w:val="en-US" w:eastAsia="zh-CN"/>
        </w:rPr>
        <w:t>11334.28</w:t>
      </w:r>
      <w:r>
        <w:rPr>
          <w:rFonts w:hint="eastAsia" w:ascii="仿宋_GB2312" w:eastAsia="仿宋_GB2312"/>
          <w:szCs w:val="32"/>
        </w:rPr>
        <w:t>万元，增长</w:t>
      </w:r>
      <w:r>
        <w:rPr>
          <w:rFonts w:hint="eastAsia" w:ascii="仿宋_GB2312" w:eastAsia="仿宋_GB2312"/>
          <w:szCs w:val="32"/>
          <w:lang w:val="en-US" w:eastAsia="zh-CN"/>
        </w:rPr>
        <w:t>278.25</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年项目拨款比201</w:t>
      </w:r>
      <w:r>
        <w:rPr>
          <w:rFonts w:hint="eastAsia" w:ascii="仿宋_GB2312" w:eastAsia="仿宋_GB2312"/>
          <w:szCs w:val="32"/>
          <w:lang w:val="en-US" w:eastAsia="zh-CN"/>
        </w:rPr>
        <w:t>9</w:t>
      </w:r>
      <w:r>
        <w:rPr>
          <w:rFonts w:hint="eastAsia" w:ascii="仿宋_GB2312" w:eastAsia="仿宋_GB2312"/>
          <w:szCs w:val="32"/>
        </w:rPr>
        <w:t>年增加；</w:t>
      </w:r>
      <w:r>
        <w:rPr>
          <w:rFonts w:hint="eastAsia" w:ascii="仿宋_GB2312" w:eastAsia="仿宋_GB2312"/>
          <w:szCs w:val="32"/>
          <w:lang w:eastAsia="zh-CN"/>
        </w:rPr>
        <w:t>财政拨款</w:t>
      </w:r>
      <w:r>
        <w:rPr>
          <w:rFonts w:hint="eastAsia" w:ascii="仿宋_GB2312" w:eastAsia="仿宋_GB2312"/>
          <w:szCs w:val="32"/>
        </w:rPr>
        <w:t>支出总计增加</w:t>
      </w:r>
      <w:r>
        <w:rPr>
          <w:rFonts w:hint="eastAsia" w:ascii="仿宋_GB2312" w:eastAsia="仿宋_GB2312"/>
          <w:szCs w:val="32"/>
          <w:lang w:val="en-US" w:eastAsia="zh-CN"/>
        </w:rPr>
        <w:t>11334.28</w:t>
      </w:r>
      <w:r>
        <w:rPr>
          <w:rFonts w:hint="eastAsia" w:ascii="仿宋_GB2312" w:eastAsia="仿宋_GB2312"/>
          <w:szCs w:val="32"/>
        </w:rPr>
        <w:t>万元，增长</w:t>
      </w:r>
      <w:r>
        <w:rPr>
          <w:rFonts w:hint="eastAsia" w:ascii="仿宋_GB2312" w:eastAsia="仿宋_GB2312"/>
          <w:szCs w:val="32"/>
          <w:lang w:val="en-US" w:eastAsia="zh-CN"/>
        </w:rPr>
        <w:t>278.25</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643" w:firstLineChars="200"/>
        <w:rPr>
          <w:rFonts w:hint="eastAsia" w:ascii="仿宋_GB2312" w:eastAsia="仿宋_GB2312"/>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年收、支决算总计变动情况图</w:t>
      </w:r>
    </w:p>
    <w:p>
      <w:pPr>
        <w:ind w:firstLine="640" w:firstLineChars="200"/>
        <w:rPr>
          <w:rFonts w:ascii="仿宋_GB2312" w:eastAsia="仿宋_GB2312"/>
          <w:szCs w:val="32"/>
        </w:rPr>
      </w:pPr>
      <w:r>
        <w:rPr>
          <w:rFonts w:ascii="仿宋_GB2312" w:eastAsia="仿宋_GB2312"/>
          <w:szCs w:val="32"/>
        </w:rPr>
        <w:object>
          <v:shape id="_x0000_i1026" o:spt="75" type="#_x0000_t75" style="height:149.85pt;width:222pt;" o:ole="t" filled="f" o:preferrelative="t" stroked="f" coordsize="21600,21600">
            <v:path/>
            <v:fill on="f" focussize="0,0"/>
            <v:stroke on="f"/>
            <v:imagedata r:id="rId8" o:title=""/>
            <o:lock v:ext="edit" aspectratio="t"/>
            <w10:wrap type="none"/>
            <w10:anchorlock/>
          </v:shape>
          <o:OLEObject Type="Embed" ProgID="MSGraph.Chart.8" ShapeID="_x0000_i1026" DrawAspect="Content" ObjectID="_1468075728" r:id="rId13">
            <o:LockedField>false</o:LockedField>
          </o:OLEObject>
        </w:object>
      </w:r>
    </w:p>
    <w:p>
      <w:pPr>
        <w:ind w:firstLine="640" w:firstLineChars="200"/>
        <w:rPr>
          <w:rFonts w:hint="eastAsia" w:ascii="仿宋_GB2312" w:eastAsia="仿宋_GB2312"/>
          <w:szCs w:val="32"/>
        </w:rPr>
      </w:pPr>
    </w:p>
    <w:p>
      <w:pPr>
        <w:spacing w:line="580" w:lineRule="exact"/>
        <w:ind w:firstLine="640" w:firstLineChars="200"/>
        <w:rPr>
          <w:rFonts w:ascii="黑体" w:hAnsi="黑体" w:eastAsia="黑体"/>
          <w:szCs w:val="32"/>
        </w:rPr>
      </w:pPr>
      <w:r>
        <w:rPr>
          <w:rFonts w:hint="eastAsia" w:ascii="黑体" w:hAnsi="黑体" w:eastAsia="黑体"/>
          <w:szCs w:val="32"/>
        </w:rPr>
        <w:t>五、一般公共预算财政拨款支出决算情况说明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（一）一般公共预算财政拨款支出决算总体情况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7146.77</w:t>
      </w:r>
      <w:r>
        <w:rPr>
          <w:rFonts w:hint="eastAsia" w:ascii="仿宋_GB2312" w:eastAsia="仿宋_GB2312"/>
          <w:szCs w:val="32"/>
        </w:rPr>
        <w:t>万元，占本年支出合计的</w:t>
      </w:r>
      <w:r>
        <w:rPr>
          <w:rFonts w:hint="eastAsia" w:ascii="仿宋_GB2312" w:eastAsia="仿宋_GB2312"/>
          <w:szCs w:val="32"/>
          <w:lang w:val="en-US" w:eastAsia="zh-CN"/>
        </w:rPr>
        <w:t>47.8</w:t>
      </w:r>
      <w:r>
        <w:rPr>
          <w:rFonts w:hint="eastAsia" w:ascii="仿宋_GB2312" w:eastAsia="仿宋_GB2312"/>
          <w:szCs w:val="32"/>
        </w:rPr>
        <w:t>%。与2019年度相比，一般公共预算财政拨款支出增加</w:t>
      </w:r>
      <w:r>
        <w:rPr>
          <w:rFonts w:hint="eastAsia" w:ascii="仿宋_GB2312" w:eastAsia="仿宋_GB2312"/>
          <w:szCs w:val="32"/>
          <w:lang w:val="en-US" w:eastAsia="zh-CN"/>
        </w:rPr>
        <w:t>5123.17</w:t>
      </w:r>
      <w:r>
        <w:rPr>
          <w:rFonts w:hint="eastAsia" w:ascii="仿宋_GB2312" w:eastAsia="仿宋_GB2312"/>
          <w:szCs w:val="32"/>
        </w:rPr>
        <w:t>万元，增长</w:t>
      </w:r>
      <w:r>
        <w:rPr>
          <w:rFonts w:hint="eastAsia" w:ascii="仿宋_GB2312" w:eastAsia="仿宋_GB2312"/>
          <w:szCs w:val="32"/>
          <w:lang w:val="en-US" w:eastAsia="zh-CN"/>
        </w:rPr>
        <w:t>253.17</w:t>
      </w:r>
      <w:r>
        <w:rPr>
          <w:rFonts w:hint="eastAsia" w:ascii="仿宋_GB2312" w:eastAsia="仿宋_GB2312"/>
          <w:szCs w:val="32"/>
        </w:rPr>
        <w:t>%。主要是</w:t>
      </w:r>
      <w:r>
        <w:rPr>
          <w:rFonts w:hint="eastAsia" w:ascii="仿宋_GB2312" w:eastAsia="仿宋_GB2312"/>
          <w:szCs w:val="32"/>
          <w:lang w:val="en-US" w:eastAsia="zh-CN"/>
        </w:rPr>
        <w:t>2020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1285" w:firstLineChars="400"/>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年财政拨款支出决算变动情况图</w:t>
      </w:r>
    </w:p>
    <w:p>
      <w:pPr>
        <w:ind w:firstLine="640" w:firstLineChars="200"/>
        <w:rPr>
          <w:rFonts w:hint="eastAsia" w:ascii="仿宋_GB2312" w:eastAsia="仿宋_GB2312"/>
          <w:szCs w:val="32"/>
        </w:rPr>
      </w:pPr>
      <w:r>
        <w:rPr>
          <w:rFonts w:ascii="仿宋_GB2312" w:eastAsia="仿宋_GB2312"/>
          <w:szCs w:val="32"/>
        </w:rPr>
        <w:object>
          <v:shape id="_x0000_i1027" o:spt="75" type="#_x0000_t75" style="height:151.5pt;width:223.8pt;" o:ole="t" filled="f" o:preferrelative="t" stroked="f" coordsize="21600,21600">
            <v:path/>
            <v:fill on="f" focussize="0,0"/>
            <v:stroke on="f"/>
            <v:imagedata r:id="rId15" o:title=""/>
            <o:lock v:ext="edit" aspectratio="t"/>
            <w10:wrap type="none"/>
            <w10:anchorlock/>
          </v:shape>
          <o:OLEObject Type="Embed" ProgID="MSGraph.Chart.8" ShapeID="_x0000_i1027" DrawAspect="Content" ObjectID="_1468075729" r:id="rId14">
            <o:LockedField>false</o:LockedField>
          </o:OLEObject>
        </w:object>
      </w:r>
    </w:p>
    <w:p>
      <w:pPr>
        <w:spacing w:line="580" w:lineRule="exact"/>
        <w:ind w:firstLine="640" w:firstLineChars="200"/>
        <w:rPr>
          <w:rFonts w:ascii="楷体_GB2312" w:eastAsia="楷体_GB2312"/>
          <w:szCs w:val="32"/>
        </w:rPr>
      </w:pPr>
      <w:r>
        <w:rPr>
          <w:rFonts w:hint="eastAsia" w:ascii="楷体_GB2312" w:eastAsia="楷体_GB2312"/>
          <w:szCs w:val="32"/>
        </w:rPr>
        <w:t>（二）一般公共预算财政拨款支出决算结构情况</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年度一般公共预算财政拨款支出</w:t>
      </w:r>
      <w:r>
        <w:rPr>
          <w:rFonts w:hint="eastAsia" w:ascii="仿宋_GB2312" w:eastAsia="仿宋_GB2312"/>
          <w:szCs w:val="32"/>
          <w:lang w:val="en-US" w:eastAsia="zh-CN"/>
        </w:rPr>
        <w:t>7146.77</w:t>
      </w:r>
      <w:r>
        <w:rPr>
          <w:rFonts w:hint="eastAsia" w:ascii="仿宋_GB2312" w:eastAsia="仿宋_GB2312"/>
          <w:szCs w:val="32"/>
        </w:rPr>
        <w:t>万元，主要用于以下方面：社会保障和就业（类）支出</w:t>
      </w:r>
      <w:r>
        <w:rPr>
          <w:rFonts w:hint="eastAsia" w:ascii="仿宋_GB2312" w:eastAsia="仿宋_GB2312"/>
          <w:szCs w:val="32"/>
          <w:lang w:val="en-US" w:eastAsia="zh-CN"/>
        </w:rPr>
        <w:t>138.4</w:t>
      </w:r>
      <w:r>
        <w:rPr>
          <w:rFonts w:hint="eastAsia" w:ascii="仿宋_GB2312" w:eastAsia="仿宋_GB2312"/>
          <w:szCs w:val="32"/>
        </w:rPr>
        <w:t>万元，占</w:t>
      </w:r>
      <w:r>
        <w:rPr>
          <w:rFonts w:hint="eastAsia" w:ascii="仿宋_GB2312" w:eastAsia="仿宋_GB2312"/>
          <w:szCs w:val="32"/>
          <w:lang w:val="en-US" w:eastAsia="zh-CN"/>
        </w:rPr>
        <w:t>1.94</w:t>
      </w:r>
      <w:r>
        <w:rPr>
          <w:rFonts w:hint="eastAsia" w:ascii="仿宋_GB2312" w:eastAsia="仿宋_GB2312"/>
          <w:szCs w:val="32"/>
        </w:rPr>
        <w:t>%；卫生健康（类）支出</w:t>
      </w:r>
      <w:r>
        <w:rPr>
          <w:rFonts w:hint="eastAsia" w:ascii="仿宋_GB2312" w:eastAsia="仿宋_GB2312"/>
          <w:szCs w:val="32"/>
          <w:lang w:val="en-US" w:eastAsia="zh-CN"/>
        </w:rPr>
        <w:t>38.73</w:t>
      </w:r>
      <w:r>
        <w:rPr>
          <w:rFonts w:hint="eastAsia" w:ascii="仿宋_GB2312" w:eastAsia="仿宋_GB2312"/>
          <w:szCs w:val="32"/>
        </w:rPr>
        <w:t>万元，占</w:t>
      </w:r>
      <w:r>
        <w:rPr>
          <w:rFonts w:hint="eastAsia" w:ascii="仿宋_GB2312" w:eastAsia="仿宋_GB2312"/>
          <w:szCs w:val="32"/>
          <w:lang w:val="en-US" w:eastAsia="zh-CN"/>
        </w:rPr>
        <w:t>0.54</w:t>
      </w:r>
      <w:r>
        <w:rPr>
          <w:rFonts w:hint="eastAsia" w:ascii="仿宋_GB2312" w:eastAsia="仿宋_GB2312"/>
          <w:szCs w:val="32"/>
        </w:rPr>
        <w:t>%；农林水（类）支出6969.14万元，占</w:t>
      </w:r>
      <w:r>
        <w:rPr>
          <w:rFonts w:hint="eastAsia" w:ascii="仿宋_GB2312" w:eastAsia="仿宋_GB2312"/>
          <w:szCs w:val="32"/>
          <w:lang w:val="en-US" w:eastAsia="zh-CN"/>
        </w:rPr>
        <w:t>97.51</w:t>
      </w:r>
      <w:r>
        <w:rPr>
          <w:rFonts w:hint="eastAsia" w:ascii="仿宋_GB2312" w:eastAsia="仿宋_GB2312"/>
          <w:szCs w:val="32"/>
        </w:rPr>
        <w:t>%</w:t>
      </w:r>
      <w:r>
        <w:rPr>
          <w:rFonts w:hint="eastAsia" w:ascii="仿宋_GB2312" w:eastAsia="仿宋_GB2312"/>
          <w:szCs w:val="32"/>
          <w:lang w:eastAsia="zh-CN"/>
        </w:rPr>
        <w:t>；其他</w:t>
      </w:r>
      <w:r>
        <w:rPr>
          <w:rFonts w:hint="eastAsia" w:ascii="仿宋_GB2312" w:eastAsia="仿宋_GB2312"/>
          <w:szCs w:val="32"/>
        </w:rPr>
        <w:t>（类）支出</w:t>
      </w:r>
      <w:r>
        <w:rPr>
          <w:rFonts w:hint="eastAsia" w:ascii="仿宋_GB2312" w:eastAsia="仿宋_GB2312"/>
          <w:szCs w:val="32"/>
          <w:lang w:val="en-US" w:eastAsia="zh-CN"/>
        </w:rPr>
        <w:t>0.5</w:t>
      </w:r>
      <w:r>
        <w:rPr>
          <w:rFonts w:hint="eastAsia" w:ascii="仿宋_GB2312" w:eastAsia="仿宋_GB2312"/>
          <w:szCs w:val="32"/>
        </w:rPr>
        <w:t>万元，占</w:t>
      </w:r>
      <w:r>
        <w:rPr>
          <w:rFonts w:hint="eastAsia" w:ascii="仿宋_GB2312" w:eastAsia="仿宋_GB2312"/>
          <w:szCs w:val="32"/>
          <w:lang w:val="en-US" w:eastAsia="zh-CN"/>
        </w:rPr>
        <w:t>0.01</w:t>
      </w:r>
      <w:r>
        <w:rPr>
          <w:rFonts w:hint="eastAsia" w:ascii="仿宋_GB2312" w:eastAsia="仿宋_GB2312"/>
          <w:szCs w:val="32"/>
        </w:rPr>
        <w:t>%。</w:t>
      </w:r>
    </w:p>
    <w:p>
      <w:pPr>
        <w:ind w:firstLine="803" w:firstLineChars="250"/>
        <w:rPr>
          <w:rFonts w:hint="eastAsia" w:ascii="楷体_GB2312" w:eastAsia="楷体_GB2312"/>
          <w:b/>
          <w:szCs w:val="32"/>
        </w:rPr>
      </w:pPr>
      <w:r>
        <w:rPr>
          <w:rFonts w:hint="eastAsia" w:ascii="楷体_GB2312" w:eastAsia="楷体_GB2312"/>
          <w:b/>
          <w:szCs w:val="32"/>
        </w:rPr>
        <w:t>20</w:t>
      </w:r>
      <w:r>
        <w:rPr>
          <w:rFonts w:hint="eastAsia" w:ascii="楷体_GB2312" w:eastAsia="楷体_GB2312"/>
          <w:b/>
          <w:szCs w:val="32"/>
          <w:lang w:val="en-US" w:eastAsia="zh-CN"/>
        </w:rPr>
        <w:t>20</w:t>
      </w:r>
      <w:r>
        <w:rPr>
          <w:rFonts w:hint="eastAsia" w:ascii="楷体_GB2312" w:eastAsia="楷体_GB2312"/>
          <w:b/>
          <w:szCs w:val="32"/>
        </w:rPr>
        <w:t>年一般公共预算财政拨款支出决算结构图</w:t>
      </w:r>
    </w:p>
    <w:p>
      <w:pPr>
        <w:ind w:firstLine="640" w:firstLineChars="200"/>
        <w:rPr>
          <w:rFonts w:hint="eastAsia"/>
        </w:rPr>
      </w:pPr>
      <w:r>
        <w:object>
          <v:shape id="_x0000_i1028" o:spt="75" type="#_x0000_t75" style="height:199.2pt;width:331.2pt;" o:ole="t" filled="f" o:preferrelative="t" stroked="f" coordsize="21600,21600">
            <v:path/>
            <v:fill on="f" focussize="0,0"/>
            <v:stroke on="f"/>
            <v:imagedata r:id="rId17" o:title=""/>
            <o:lock v:ext="edit" aspectratio="t"/>
            <w10:wrap type="none"/>
            <w10:anchorlock/>
          </v:shape>
          <o:OLEObject Type="Embed" ProgID="MSGraph.Chart.8" ShapeID="_x0000_i1028" DrawAspect="Content" ObjectID="_1468075730" r:id="rId16">
            <o:LockedField>false</o:LockedField>
          </o:OLEObject>
        </w:object>
      </w:r>
    </w:p>
    <w:p>
      <w:pPr>
        <w:spacing w:line="580" w:lineRule="exact"/>
        <w:ind w:firstLine="640" w:firstLineChars="200"/>
        <w:rPr>
          <w:rFonts w:ascii="楷体_GB2312" w:eastAsia="楷体_GB2312"/>
          <w:szCs w:val="32"/>
        </w:rPr>
      </w:pPr>
      <w:r>
        <w:rPr>
          <w:rFonts w:hint="eastAsia" w:ascii="楷体_GB2312" w:eastAsia="楷体_GB2312"/>
          <w:szCs w:val="32"/>
        </w:rPr>
        <w:t>（三）一般公共预算财政拨款支出决算具体情况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2020年度一般公共预算财政拨款支出年初预算为</w:t>
      </w:r>
      <w:r>
        <w:rPr>
          <w:rFonts w:hint="eastAsia" w:ascii="仿宋_GB2312" w:eastAsia="仿宋_GB2312"/>
          <w:szCs w:val="32"/>
          <w:lang w:val="en-US" w:eastAsia="zh-CN"/>
        </w:rPr>
        <w:t>2058.22</w:t>
      </w:r>
      <w:r>
        <w:rPr>
          <w:rFonts w:hint="eastAsia" w:ascii="仿宋_GB2312" w:eastAsia="仿宋_GB2312"/>
          <w:szCs w:val="32"/>
        </w:rPr>
        <w:t>万元，支出决算为</w:t>
      </w:r>
      <w:r>
        <w:rPr>
          <w:rFonts w:hint="eastAsia" w:ascii="仿宋_GB2312" w:eastAsia="仿宋_GB2312"/>
          <w:szCs w:val="32"/>
          <w:lang w:val="en-US" w:eastAsia="zh-CN"/>
        </w:rPr>
        <w:t>7146.77</w:t>
      </w:r>
      <w:r>
        <w:rPr>
          <w:rFonts w:hint="eastAsia" w:ascii="仿宋_GB2312" w:eastAsia="仿宋_GB2312"/>
          <w:szCs w:val="32"/>
        </w:rPr>
        <w:t>万元，完成年初预算的</w:t>
      </w:r>
      <w:r>
        <w:rPr>
          <w:rFonts w:hint="eastAsia" w:ascii="仿宋_GB2312" w:eastAsia="仿宋_GB2312"/>
          <w:szCs w:val="32"/>
          <w:lang w:val="en-US" w:eastAsia="zh-CN"/>
        </w:rPr>
        <w:t>347.23</w:t>
      </w:r>
      <w:r>
        <w:rPr>
          <w:rFonts w:hint="eastAsia" w:ascii="仿宋_GB2312" w:eastAsia="仿宋_GB2312"/>
          <w:szCs w:val="32"/>
        </w:rPr>
        <w:t>%。决算数大于年初预算数的主要原因</w:t>
      </w:r>
      <w:r>
        <w:rPr>
          <w:rFonts w:hint="eastAsia" w:ascii="仿宋_GB2312" w:eastAsia="仿宋_GB2312"/>
          <w:szCs w:val="32"/>
          <w:lang w:eastAsia="zh-CN"/>
        </w:rPr>
        <w:t>是</w:t>
      </w:r>
      <w:r>
        <w:rPr>
          <w:rFonts w:hint="eastAsia" w:ascii="仿宋_GB2312" w:eastAsia="仿宋_GB2312"/>
          <w:szCs w:val="32"/>
          <w:lang w:val="en-US" w:eastAsia="zh-CN"/>
        </w:rPr>
        <w:t>2020年重点水利工程支出增加</w:t>
      </w:r>
      <w:r>
        <w:rPr>
          <w:rFonts w:hint="eastAsia" w:ascii="仿宋_GB2312" w:eastAsia="仿宋_GB2312"/>
          <w:szCs w:val="32"/>
        </w:rPr>
        <w:t>。其中：</w:t>
      </w:r>
    </w:p>
    <w:p>
      <w:pPr>
        <w:spacing w:line="580" w:lineRule="exact"/>
        <w:ind w:firstLine="640" w:firstLineChars="200"/>
        <w:rPr>
          <w:rFonts w:hint="eastAsia" w:ascii="仿宋_GB2312" w:eastAsia="仿宋_GB2312"/>
          <w:szCs w:val="32"/>
        </w:rPr>
      </w:pPr>
      <w:r>
        <w:rPr>
          <w:rFonts w:hint="eastAsia" w:ascii="仿宋_GB2312" w:eastAsia="仿宋_GB2312"/>
          <w:szCs w:val="32"/>
        </w:rPr>
        <w:t>（1）社会保障和就业支出（类）行政事业单位离退休（款）事业单位离退休（项）。主要反映用于离退休人员经费支出。年初预算为</w:t>
      </w:r>
      <w:r>
        <w:rPr>
          <w:rFonts w:hint="eastAsia" w:ascii="仿宋_GB2312" w:eastAsia="仿宋_GB2312"/>
          <w:szCs w:val="32"/>
          <w:lang w:val="en-US" w:eastAsia="zh-CN"/>
        </w:rPr>
        <w:t>57.74</w:t>
      </w:r>
      <w:r>
        <w:rPr>
          <w:rFonts w:hint="eastAsia" w:ascii="仿宋_GB2312" w:eastAsia="仿宋_GB2312"/>
          <w:szCs w:val="32"/>
        </w:rPr>
        <w:t>万元，支出决算为</w:t>
      </w:r>
      <w:r>
        <w:rPr>
          <w:rFonts w:hint="eastAsia" w:ascii="仿宋_GB2312" w:eastAsia="仿宋_GB2312"/>
          <w:szCs w:val="32"/>
          <w:lang w:val="en-US" w:eastAsia="zh-CN"/>
        </w:rPr>
        <w:t>69.59</w:t>
      </w:r>
      <w:r>
        <w:rPr>
          <w:rFonts w:hint="eastAsia" w:ascii="仿宋_GB2312" w:eastAsia="仿宋_GB2312"/>
          <w:szCs w:val="32"/>
        </w:rPr>
        <w:t>万元，完成年初预算的</w:t>
      </w:r>
      <w:r>
        <w:rPr>
          <w:rFonts w:hint="eastAsia" w:ascii="仿宋_GB2312" w:eastAsia="仿宋_GB2312"/>
          <w:szCs w:val="32"/>
          <w:lang w:val="en-US" w:eastAsia="zh-CN"/>
        </w:rPr>
        <w:t>120.52</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预算数主要原因是人员调动，工资支出</w:t>
      </w:r>
      <w:r>
        <w:rPr>
          <w:rFonts w:hint="eastAsia" w:ascii="仿宋_GB2312" w:eastAsia="仿宋_GB2312"/>
          <w:szCs w:val="32"/>
          <w:lang w:eastAsia="zh-CN"/>
        </w:rPr>
        <w:t>增加</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（2）卫生健康（类）行政事业单位医疗（款）行政单位医疗（项）。主要反映用于医疗保险支出。年初预算为</w:t>
      </w:r>
      <w:r>
        <w:rPr>
          <w:rFonts w:hint="eastAsia" w:ascii="仿宋_GB2312" w:eastAsia="仿宋_GB2312"/>
          <w:szCs w:val="32"/>
          <w:lang w:val="en-US" w:eastAsia="zh-CN"/>
        </w:rPr>
        <w:t>4.31</w:t>
      </w:r>
      <w:r>
        <w:rPr>
          <w:rFonts w:hint="eastAsia" w:ascii="仿宋_GB2312" w:eastAsia="仿宋_GB2312"/>
          <w:szCs w:val="32"/>
        </w:rPr>
        <w:t>万元，支出决算为</w:t>
      </w:r>
      <w:r>
        <w:rPr>
          <w:rFonts w:hint="eastAsia" w:ascii="仿宋_GB2312" w:eastAsia="仿宋_GB2312"/>
          <w:szCs w:val="32"/>
          <w:lang w:val="en-US" w:eastAsia="zh-CN"/>
        </w:rPr>
        <w:t>38.73</w:t>
      </w:r>
      <w:r>
        <w:rPr>
          <w:rFonts w:hint="eastAsia" w:ascii="仿宋_GB2312" w:eastAsia="仿宋_GB2312"/>
          <w:szCs w:val="32"/>
        </w:rPr>
        <w:t>万元，完成年初预算的</w:t>
      </w:r>
      <w:r>
        <w:rPr>
          <w:rFonts w:hint="eastAsia" w:ascii="仿宋_GB2312" w:eastAsia="仿宋_GB2312"/>
          <w:szCs w:val="32"/>
          <w:lang w:val="en-US" w:eastAsia="zh-CN"/>
        </w:rPr>
        <w:t>898.61</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w:t>
      </w:r>
      <w:r>
        <w:rPr>
          <w:rFonts w:hint="eastAsia" w:ascii="仿宋_GB2312" w:eastAsia="仿宋_GB2312"/>
          <w:szCs w:val="32"/>
          <w:lang w:eastAsia="zh-CN"/>
        </w:rPr>
        <w:t>类款项录入到其他项目</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（3）农林水支出（类）水利（款）行政运行（项）。主要反映用于工资及养老保险等支出。年初预算为</w:t>
      </w:r>
      <w:r>
        <w:rPr>
          <w:rFonts w:hint="eastAsia" w:ascii="仿宋_GB2312" w:eastAsia="仿宋_GB2312"/>
          <w:szCs w:val="32"/>
          <w:lang w:val="en-US" w:eastAsia="zh-CN"/>
        </w:rPr>
        <w:t>689.09</w:t>
      </w:r>
      <w:r>
        <w:rPr>
          <w:rFonts w:hint="eastAsia" w:ascii="仿宋_GB2312" w:eastAsia="仿宋_GB2312"/>
          <w:szCs w:val="32"/>
        </w:rPr>
        <w:t xml:space="preserve"> 万元，支出决算为</w:t>
      </w:r>
      <w:r>
        <w:rPr>
          <w:rFonts w:hint="eastAsia" w:ascii="仿宋_GB2312" w:eastAsia="仿宋_GB2312"/>
          <w:szCs w:val="32"/>
          <w:lang w:val="en-US" w:eastAsia="zh-CN"/>
        </w:rPr>
        <w:t>631.86</w:t>
      </w:r>
      <w:r>
        <w:rPr>
          <w:rFonts w:hint="eastAsia" w:ascii="仿宋_GB2312" w:eastAsia="仿宋_GB2312"/>
          <w:szCs w:val="32"/>
        </w:rPr>
        <w:t>万元，完成年初预算的</w:t>
      </w:r>
      <w:r>
        <w:rPr>
          <w:rFonts w:hint="eastAsia" w:ascii="仿宋_GB2312" w:eastAsia="仿宋_GB2312"/>
          <w:szCs w:val="32"/>
          <w:lang w:val="en-US" w:eastAsia="zh-CN"/>
        </w:rPr>
        <w:t>91.69</w:t>
      </w:r>
      <w:r>
        <w:rPr>
          <w:rFonts w:hint="eastAsia" w:ascii="仿宋_GB2312" w:eastAsia="仿宋_GB2312"/>
          <w:szCs w:val="32"/>
        </w:rPr>
        <w:t>%。决算数小于预算数主要原因是20</w:t>
      </w:r>
      <w:r>
        <w:rPr>
          <w:rFonts w:hint="eastAsia" w:ascii="仿宋_GB2312" w:eastAsia="仿宋_GB2312"/>
          <w:szCs w:val="32"/>
          <w:lang w:val="en-US" w:eastAsia="zh-CN"/>
        </w:rPr>
        <w:t>20</w:t>
      </w:r>
      <w:r>
        <w:rPr>
          <w:rFonts w:hint="eastAsia" w:ascii="仿宋_GB2312" w:eastAsia="仿宋_GB2312"/>
          <w:szCs w:val="32"/>
        </w:rPr>
        <w:t>年在职人员调动，工资支出减少。</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val="en-US" w:eastAsia="zh-CN"/>
        </w:rPr>
        <w:t>4</w:t>
      </w:r>
      <w:r>
        <w:rPr>
          <w:rFonts w:hint="eastAsia" w:ascii="仿宋_GB2312" w:eastAsia="仿宋_GB2312"/>
          <w:szCs w:val="32"/>
        </w:rPr>
        <w:t>）</w:t>
      </w:r>
      <w:r>
        <w:rPr>
          <w:rFonts w:hint="eastAsia" w:ascii="仿宋_GB2312" w:eastAsia="仿宋_GB2312"/>
          <w:szCs w:val="32"/>
          <w:lang w:eastAsia="zh-CN"/>
        </w:rPr>
        <w:t>其他</w:t>
      </w:r>
      <w:r>
        <w:rPr>
          <w:rFonts w:hint="eastAsia" w:ascii="仿宋_GB2312" w:eastAsia="仿宋_GB2312"/>
          <w:szCs w:val="32"/>
        </w:rPr>
        <w:t>支出（类）</w:t>
      </w:r>
      <w:r>
        <w:rPr>
          <w:rFonts w:hint="eastAsia" w:ascii="仿宋_GB2312" w:eastAsia="仿宋_GB2312"/>
          <w:szCs w:val="32"/>
          <w:lang w:eastAsia="zh-CN"/>
        </w:rPr>
        <w:t>其他支出</w:t>
      </w:r>
      <w:r>
        <w:rPr>
          <w:rFonts w:hint="eastAsia" w:ascii="仿宋_GB2312" w:eastAsia="仿宋_GB2312"/>
          <w:szCs w:val="32"/>
        </w:rPr>
        <w:t>（款）</w:t>
      </w:r>
      <w:r>
        <w:rPr>
          <w:rFonts w:hint="eastAsia" w:ascii="仿宋_GB2312" w:eastAsia="仿宋_GB2312"/>
          <w:szCs w:val="32"/>
          <w:lang w:eastAsia="zh-CN"/>
        </w:rPr>
        <w:t>其他支出</w:t>
      </w:r>
      <w:r>
        <w:rPr>
          <w:rFonts w:hint="eastAsia" w:ascii="仿宋_GB2312" w:eastAsia="仿宋_GB2312"/>
          <w:szCs w:val="32"/>
        </w:rPr>
        <w:t>（项）。主要反映用于</w:t>
      </w:r>
      <w:r>
        <w:rPr>
          <w:rFonts w:hint="eastAsia" w:ascii="仿宋_GB2312" w:eastAsia="仿宋_GB2312"/>
          <w:szCs w:val="32"/>
          <w:lang w:eastAsia="zh-CN"/>
        </w:rPr>
        <w:t>其他项目的</w:t>
      </w:r>
      <w:r>
        <w:rPr>
          <w:rFonts w:hint="eastAsia" w:ascii="仿宋_GB2312" w:eastAsia="仿宋_GB2312"/>
          <w:szCs w:val="32"/>
        </w:rPr>
        <w:t>支出。年初预算为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0.5</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w:t>
      </w:r>
      <w:r>
        <w:rPr>
          <w:rFonts w:hint="eastAsia" w:ascii="仿宋_GB2312" w:eastAsia="仿宋_GB2312"/>
          <w:szCs w:val="32"/>
          <w:lang w:val="en-US" w:eastAsia="zh-CN"/>
        </w:rPr>
        <w:t>单位考评奖励经费支出</w:t>
      </w:r>
      <w:r>
        <w:rPr>
          <w:rFonts w:hint="eastAsia" w:ascii="仿宋_GB2312" w:eastAsia="仿宋_GB2312"/>
          <w:szCs w:val="32"/>
        </w:rPr>
        <w:t>。</w:t>
      </w:r>
    </w:p>
    <w:p>
      <w:pPr>
        <w:spacing w:line="580" w:lineRule="exact"/>
        <w:ind w:firstLine="640" w:firstLineChars="200"/>
        <w:rPr>
          <w:rFonts w:ascii="黑体" w:hAnsi="黑体" w:eastAsia="黑体"/>
          <w:szCs w:val="32"/>
        </w:rPr>
      </w:pPr>
      <w:r>
        <w:rPr>
          <w:rFonts w:hint="eastAsia" w:ascii="黑体" w:hAnsi="黑体" w:eastAsia="黑体"/>
          <w:szCs w:val="32"/>
        </w:rPr>
        <w:t>六、一般公共预算财政拨款基本支出决算情况说明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2020年度一般公共预算财政拨款基本支出决算</w:t>
      </w:r>
      <w:r>
        <w:rPr>
          <w:rFonts w:hint="eastAsia" w:ascii="仿宋_GB2312" w:eastAsia="仿宋_GB2312"/>
          <w:szCs w:val="32"/>
          <w:lang w:val="en-US" w:eastAsia="zh-CN"/>
        </w:rPr>
        <w:t>789.5</w:t>
      </w:r>
      <w:r>
        <w:rPr>
          <w:rFonts w:hint="eastAsia" w:ascii="仿宋_GB2312" w:eastAsia="仿宋_GB2312"/>
          <w:szCs w:val="32"/>
        </w:rPr>
        <w:t>万元，包括人员经费和公用经费，支出具体情况如下：</w:t>
      </w:r>
    </w:p>
    <w:p>
      <w:pPr>
        <w:spacing w:line="580" w:lineRule="exact"/>
        <w:ind w:firstLine="640" w:firstLineChars="200"/>
        <w:rPr>
          <w:rFonts w:hint="eastAsia" w:ascii="仿宋_GB2312" w:eastAsia="仿宋_GB2312"/>
          <w:b/>
          <w:szCs w:val="32"/>
        </w:rPr>
      </w:pPr>
      <w:r>
        <w:rPr>
          <w:rFonts w:hint="eastAsia" w:ascii="仿宋_GB2312" w:eastAsia="仿宋_GB2312"/>
          <w:szCs w:val="32"/>
        </w:rPr>
        <w:t>人员经费</w:t>
      </w:r>
      <w:r>
        <w:rPr>
          <w:rFonts w:hint="eastAsia" w:ascii="仿宋_GB2312" w:eastAsia="仿宋_GB2312"/>
          <w:szCs w:val="32"/>
          <w:lang w:val="en-US" w:eastAsia="zh-CN"/>
        </w:rPr>
        <w:t>734.53</w:t>
      </w:r>
      <w:r>
        <w:rPr>
          <w:rFonts w:hint="eastAsia" w:ascii="仿宋_GB2312" w:eastAsia="仿宋_GB2312"/>
          <w:szCs w:val="32"/>
        </w:rPr>
        <w:t>万元，主要包括：基本工资、津贴补贴、奖金、社会保障缴费、伙食补助费、绩效工资、其他工资福利支出、离休费、退休费、抚恤金、生活补助、住房公积金、其他对个人和家庭的补助支出等。</w:t>
      </w:r>
    </w:p>
    <w:p>
      <w:pPr>
        <w:spacing w:line="580" w:lineRule="exact"/>
        <w:ind w:firstLine="640" w:firstLineChars="200"/>
        <w:rPr>
          <w:rFonts w:ascii="仿宋_GB2312" w:eastAsia="仿宋_GB2312"/>
          <w:b/>
          <w:szCs w:val="32"/>
        </w:rPr>
      </w:pPr>
      <w:r>
        <w:rPr>
          <w:rFonts w:hint="eastAsia" w:ascii="仿宋_GB2312" w:eastAsia="仿宋_GB2312"/>
          <w:szCs w:val="32"/>
        </w:rPr>
        <w:t>公用经费</w:t>
      </w:r>
      <w:r>
        <w:rPr>
          <w:rFonts w:hint="eastAsia" w:ascii="仿宋_GB2312" w:eastAsia="仿宋_GB2312"/>
          <w:szCs w:val="32"/>
          <w:lang w:val="en-US" w:eastAsia="zh-CN"/>
        </w:rPr>
        <w:t>54.96</w:t>
      </w:r>
      <w:r>
        <w:rPr>
          <w:rFonts w:hint="eastAsia" w:ascii="仿宋_GB2312" w:eastAsia="仿宋_GB2312"/>
          <w:szCs w:val="32"/>
        </w:rPr>
        <w:t>万元，主要包括：办公费、印刷费、手续费、水费、电费、邮电费、取暖费、物业管理费、差旅费、因公出国（境）费、维修（护）费、租赁费、会议费、培训费、公务接待费、专用材料费、劳务费、委托业务费、工会经费、福利费、公务用车运行维护费、其他交通费用、其他商品和服务支出等。</w:t>
      </w:r>
    </w:p>
    <w:p>
      <w:pPr>
        <w:spacing w:line="580" w:lineRule="exact"/>
        <w:ind w:firstLine="640" w:firstLineChars="200"/>
        <w:rPr>
          <w:rFonts w:ascii="黑体" w:hAnsi="黑体" w:eastAsia="黑体"/>
          <w:szCs w:val="32"/>
        </w:rPr>
      </w:pPr>
      <w:r>
        <w:rPr>
          <w:rFonts w:hint="eastAsia" w:ascii="黑体" w:hAnsi="黑体" w:eastAsia="黑体"/>
          <w:szCs w:val="32"/>
        </w:rPr>
        <w:t>七、一般公共预算财政拨款“三公”经费支出决算情况说明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（一）“三公”经费支出决算总体情况说明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2020年度一般公共预算财政拨款“三公”经费支出年初预算为</w:t>
      </w:r>
      <w:r>
        <w:rPr>
          <w:rFonts w:hint="eastAsia" w:ascii="仿宋_GB2312" w:eastAsia="仿宋_GB2312"/>
          <w:szCs w:val="32"/>
          <w:lang w:val="en-US" w:eastAsia="zh-CN"/>
        </w:rPr>
        <w:t>3.96</w:t>
      </w:r>
      <w:r>
        <w:rPr>
          <w:rFonts w:hint="eastAsia" w:ascii="仿宋_GB2312" w:eastAsia="仿宋_GB2312"/>
          <w:szCs w:val="32"/>
        </w:rPr>
        <w:t>万元，支出决算为</w:t>
      </w:r>
      <w:r>
        <w:rPr>
          <w:rFonts w:hint="eastAsia" w:ascii="仿宋_GB2312" w:eastAsia="仿宋_GB2312"/>
          <w:szCs w:val="32"/>
          <w:lang w:val="en-US" w:eastAsia="zh-CN"/>
        </w:rPr>
        <w:t>3.55</w:t>
      </w:r>
      <w:r>
        <w:rPr>
          <w:rFonts w:hint="eastAsia" w:ascii="仿宋_GB2312" w:eastAsia="仿宋_GB2312"/>
          <w:szCs w:val="32"/>
        </w:rPr>
        <w:t>万元，比年初预算</w:t>
      </w:r>
      <w:r>
        <w:rPr>
          <w:rFonts w:hint="eastAsia" w:ascii="仿宋_GB2312" w:eastAsia="仿宋_GB2312"/>
          <w:szCs w:val="32"/>
          <w:lang w:eastAsia="zh-CN"/>
        </w:rPr>
        <w:t>减少</w:t>
      </w:r>
      <w:r>
        <w:rPr>
          <w:rFonts w:hint="eastAsia" w:ascii="仿宋_GB2312" w:eastAsia="仿宋_GB2312"/>
          <w:szCs w:val="32"/>
          <w:lang w:val="en-US" w:eastAsia="zh-CN"/>
        </w:rPr>
        <w:t>0.41</w:t>
      </w:r>
      <w:r>
        <w:rPr>
          <w:rFonts w:hint="eastAsia" w:ascii="仿宋_GB2312" w:eastAsia="仿宋_GB2312"/>
          <w:szCs w:val="32"/>
        </w:rPr>
        <w:t>万元，完成年初预算的</w:t>
      </w:r>
      <w:r>
        <w:rPr>
          <w:rFonts w:hint="eastAsia" w:ascii="仿宋_GB2312" w:eastAsia="仿宋_GB2312"/>
          <w:szCs w:val="32"/>
          <w:lang w:val="en-US" w:eastAsia="zh-CN"/>
        </w:rPr>
        <w:t>89.65</w:t>
      </w:r>
      <w:r>
        <w:rPr>
          <w:rFonts w:hint="eastAsia" w:ascii="仿宋_GB2312" w:eastAsia="仿宋_GB2312"/>
          <w:szCs w:val="32"/>
        </w:rPr>
        <w:t>%， 决算数小于年初预算数的主要原因是</w:t>
      </w:r>
      <w:r>
        <w:rPr>
          <w:rFonts w:hint="eastAsia" w:ascii="仿宋_GB2312" w:eastAsia="仿宋_GB2312"/>
          <w:szCs w:val="32"/>
          <w:lang w:eastAsia="zh-CN"/>
        </w:rPr>
        <w:t>严格控制公用支出</w:t>
      </w:r>
      <w:r>
        <w:rPr>
          <w:rFonts w:hint="eastAsia" w:ascii="仿宋_GB2312" w:eastAsia="仿宋_GB2312"/>
          <w:szCs w:val="32"/>
        </w:rPr>
        <w:t>。</w:t>
      </w:r>
    </w:p>
    <w:p>
      <w:pPr>
        <w:spacing w:line="580" w:lineRule="exact"/>
        <w:ind w:firstLine="640" w:firstLineChars="200"/>
        <w:rPr>
          <w:rFonts w:ascii="楷体_GB2312" w:eastAsia="楷体_GB2312"/>
          <w:szCs w:val="32"/>
        </w:rPr>
      </w:pPr>
      <w:r>
        <w:rPr>
          <w:rFonts w:hint="eastAsia" w:ascii="楷体_GB2312" w:eastAsia="楷体_GB2312"/>
          <w:szCs w:val="32"/>
        </w:rPr>
        <w:t>（二）“三公”经费支出决算具体情况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1、因公出国（境）费年初预算为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万元，与2020年预算基本持平，完成年初预算的</w:t>
      </w:r>
      <w:r>
        <w:rPr>
          <w:rFonts w:hint="eastAsia" w:ascii="仿宋_GB2312" w:eastAsia="仿宋_GB2312"/>
          <w:szCs w:val="32"/>
          <w:lang w:val="en-US" w:eastAsia="zh-CN"/>
        </w:rPr>
        <w:t>0</w:t>
      </w:r>
      <w:r>
        <w:rPr>
          <w:rFonts w:hint="eastAsia" w:ascii="仿宋_GB2312" w:eastAsia="仿宋_GB2312"/>
          <w:szCs w:val="32"/>
        </w:rPr>
        <w:t>%。</w:t>
      </w:r>
    </w:p>
    <w:p>
      <w:pPr>
        <w:spacing w:line="580" w:lineRule="exact"/>
        <w:ind w:firstLine="640" w:firstLineChars="200"/>
        <w:rPr>
          <w:rFonts w:ascii="仿宋_GB2312" w:eastAsia="仿宋_GB2312"/>
          <w:b/>
          <w:szCs w:val="32"/>
        </w:rPr>
      </w:pPr>
      <w:r>
        <w:rPr>
          <w:rFonts w:hint="eastAsia" w:ascii="仿宋_GB2312" w:eastAsia="仿宋_GB2312"/>
          <w:szCs w:val="32"/>
        </w:rPr>
        <w:t>全年支出涉及因公出国（境）团组</w:t>
      </w:r>
      <w:r>
        <w:rPr>
          <w:rFonts w:hint="eastAsia" w:ascii="仿宋_GB2312" w:eastAsia="仿宋_GB2312"/>
          <w:szCs w:val="32"/>
          <w:lang w:val="en-US" w:eastAsia="zh-CN"/>
        </w:rPr>
        <w:t>0</w:t>
      </w:r>
      <w:r>
        <w:rPr>
          <w:rFonts w:hint="eastAsia" w:ascii="仿宋_GB2312" w:eastAsia="仿宋_GB2312"/>
          <w:szCs w:val="32"/>
        </w:rPr>
        <w:t>个,累计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仿宋_GB2312" w:eastAsia="仿宋_GB2312"/>
          <w:szCs w:val="32"/>
        </w:rPr>
      </w:pPr>
      <w:r>
        <w:rPr>
          <w:rFonts w:hint="eastAsia" w:ascii="仿宋_GB2312" w:eastAsia="仿宋_GB2312"/>
          <w:szCs w:val="32"/>
        </w:rPr>
        <w:t>2、公务用车购置及运行维护费年初预算为</w:t>
      </w:r>
      <w:r>
        <w:rPr>
          <w:rFonts w:hint="eastAsia" w:ascii="仿宋_GB2312" w:eastAsia="仿宋_GB2312"/>
          <w:szCs w:val="32"/>
          <w:lang w:val="en-US" w:eastAsia="zh-CN"/>
        </w:rPr>
        <w:t>3.5</w:t>
      </w:r>
      <w:r>
        <w:rPr>
          <w:rFonts w:hint="eastAsia" w:ascii="仿宋_GB2312" w:eastAsia="仿宋_GB2312"/>
          <w:szCs w:val="32"/>
        </w:rPr>
        <w:t>万元，支出决算为</w:t>
      </w:r>
      <w:r>
        <w:rPr>
          <w:rFonts w:hint="eastAsia" w:ascii="仿宋_GB2312" w:eastAsia="仿宋_GB2312"/>
          <w:szCs w:val="32"/>
          <w:lang w:val="en-US" w:eastAsia="zh-CN"/>
        </w:rPr>
        <w:t>3.11</w:t>
      </w:r>
      <w:r>
        <w:rPr>
          <w:rFonts w:hint="eastAsia" w:ascii="仿宋_GB2312" w:eastAsia="仿宋_GB2312"/>
          <w:szCs w:val="32"/>
        </w:rPr>
        <w:t>万元，比减少</w:t>
      </w:r>
      <w:r>
        <w:rPr>
          <w:rFonts w:hint="eastAsia" w:ascii="仿宋_GB2312" w:eastAsia="仿宋_GB2312"/>
          <w:szCs w:val="32"/>
          <w:lang w:val="en-US" w:eastAsia="zh-CN"/>
        </w:rPr>
        <w:t>0.39</w:t>
      </w:r>
      <w:r>
        <w:rPr>
          <w:rFonts w:hint="eastAsia" w:ascii="仿宋_GB2312" w:eastAsia="仿宋_GB2312"/>
          <w:szCs w:val="32"/>
        </w:rPr>
        <w:t>万元，完成年初预算的</w:t>
      </w:r>
      <w:r>
        <w:rPr>
          <w:rFonts w:hint="eastAsia" w:ascii="仿宋_GB2312" w:eastAsia="仿宋_GB2312"/>
          <w:szCs w:val="32"/>
          <w:lang w:val="en-US" w:eastAsia="zh-CN"/>
        </w:rPr>
        <w:t>88.86</w:t>
      </w:r>
      <w:r>
        <w:rPr>
          <w:rFonts w:hint="eastAsia" w:ascii="仿宋_GB2312" w:eastAsia="仿宋_GB2312"/>
          <w:szCs w:val="32"/>
        </w:rPr>
        <w:t>%， 决算数小于年初预算数的主要原因是严格控制公务用车运行维护费。其中：</w:t>
      </w:r>
    </w:p>
    <w:p>
      <w:pPr>
        <w:spacing w:line="580" w:lineRule="exact"/>
        <w:ind w:firstLine="640" w:firstLineChars="200"/>
        <w:rPr>
          <w:rFonts w:ascii="仿宋_GB2312" w:eastAsia="仿宋_GB2312"/>
          <w:szCs w:val="32"/>
        </w:rPr>
      </w:pPr>
      <w:r>
        <w:rPr>
          <w:rFonts w:hint="eastAsia" w:ascii="仿宋_GB2312" w:eastAsia="仿宋_GB2312"/>
          <w:szCs w:val="32"/>
        </w:rPr>
        <w:t>公务用车购置费支出</w:t>
      </w:r>
      <w:r>
        <w:rPr>
          <w:rFonts w:hint="eastAsia" w:ascii="仿宋_GB2312" w:eastAsia="仿宋_GB2312"/>
          <w:szCs w:val="32"/>
          <w:lang w:val="en-US" w:eastAsia="zh-CN"/>
        </w:rPr>
        <w:t>0</w:t>
      </w:r>
      <w:r>
        <w:rPr>
          <w:rFonts w:hint="eastAsia" w:ascii="仿宋_GB2312" w:eastAsia="仿宋_GB2312"/>
          <w:szCs w:val="32"/>
        </w:rPr>
        <w:t>万元。</w:t>
      </w:r>
    </w:p>
    <w:p>
      <w:pPr>
        <w:spacing w:line="580" w:lineRule="exact"/>
        <w:ind w:firstLine="640" w:firstLineChars="200"/>
        <w:rPr>
          <w:rFonts w:ascii="仿宋_GB2312" w:eastAsia="仿宋_GB2312"/>
          <w:szCs w:val="32"/>
        </w:rPr>
      </w:pPr>
      <w:r>
        <w:rPr>
          <w:rFonts w:hint="eastAsia" w:ascii="仿宋_GB2312" w:eastAsia="仿宋_GB2312"/>
          <w:szCs w:val="32"/>
        </w:rPr>
        <w:t>公务用车运行维护费</w:t>
      </w:r>
      <w:r>
        <w:rPr>
          <w:rFonts w:hint="eastAsia" w:ascii="仿宋_GB2312" w:eastAsia="仿宋_GB2312"/>
          <w:szCs w:val="32"/>
          <w:lang w:val="en-US" w:eastAsia="zh-CN"/>
        </w:rPr>
        <w:t>3.11</w:t>
      </w:r>
      <w:r>
        <w:rPr>
          <w:rFonts w:hint="eastAsia" w:ascii="仿宋_GB2312" w:eastAsia="仿宋_GB2312"/>
          <w:szCs w:val="32"/>
        </w:rPr>
        <w:t>万元，主要是按规定保留的公务用车的燃料费</w:t>
      </w:r>
      <w:r>
        <w:rPr>
          <w:rFonts w:hint="eastAsia" w:ascii="仿宋_GB2312" w:eastAsia="仿宋_GB2312"/>
          <w:szCs w:val="32"/>
          <w:highlight w:val="none"/>
        </w:rPr>
        <w:t>、维修费等支出</w:t>
      </w:r>
      <w:r>
        <w:rPr>
          <w:rFonts w:hint="eastAsia" w:ascii="仿宋_GB2312" w:eastAsia="仿宋_GB2312"/>
          <w:szCs w:val="32"/>
        </w:rPr>
        <w:t>。截至2020年12月31日，</w:t>
      </w:r>
      <w:r>
        <w:rPr>
          <w:rFonts w:hint="eastAsia" w:ascii="仿宋_GB2312" w:eastAsia="仿宋_GB2312"/>
          <w:szCs w:val="32"/>
          <w:lang w:eastAsia="zh-CN"/>
        </w:rPr>
        <w:t>淄博市博山区水利局</w:t>
      </w:r>
      <w:r>
        <w:rPr>
          <w:rFonts w:hint="eastAsia" w:ascii="仿宋_GB2312" w:eastAsia="仿宋_GB2312"/>
          <w:szCs w:val="32"/>
        </w:rPr>
        <w:t>等单位财政拨款开支运行维护费的公务用车保有量为</w:t>
      </w:r>
      <w:r>
        <w:rPr>
          <w:rFonts w:hint="eastAsia" w:ascii="仿宋_GB2312" w:eastAsia="仿宋_GB2312"/>
          <w:szCs w:val="32"/>
          <w:lang w:val="en-US" w:eastAsia="zh-CN"/>
        </w:rPr>
        <w:t>6</w:t>
      </w:r>
      <w:r>
        <w:rPr>
          <w:rFonts w:hint="eastAsia" w:ascii="仿宋_GB2312" w:eastAsia="仿宋_GB2312"/>
          <w:szCs w:val="32"/>
        </w:rPr>
        <w:t>辆。</w:t>
      </w:r>
    </w:p>
    <w:p>
      <w:pPr>
        <w:spacing w:line="580" w:lineRule="exact"/>
        <w:ind w:firstLine="640" w:firstLineChars="200"/>
        <w:rPr>
          <w:rFonts w:ascii="仿宋_GB2312" w:eastAsia="仿宋_GB2312"/>
          <w:szCs w:val="32"/>
        </w:rPr>
      </w:pPr>
      <w:r>
        <w:rPr>
          <w:rFonts w:hint="eastAsia" w:ascii="仿宋_GB2312" w:eastAsia="仿宋_GB2312"/>
          <w:szCs w:val="32"/>
        </w:rPr>
        <w:t>3、公务接待费年初预算为</w:t>
      </w:r>
      <w:r>
        <w:rPr>
          <w:rFonts w:hint="eastAsia" w:ascii="仿宋_GB2312" w:eastAsia="仿宋_GB2312"/>
          <w:szCs w:val="32"/>
          <w:lang w:val="en-US" w:eastAsia="zh-CN"/>
        </w:rPr>
        <w:t>0.46</w:t>
      </w:r>
      <w:r>
        <w:rPr>
          <w:rFonts w:hint="eastAsia" w:ascii="仿宋_GB2312" w:eastAsia="仿宋_GB2312"/>
          <w:szCs w:val="32"/>
        </w:rPr>
        <w:t>万元，支出决算为</w:t>
      </w:r>
      <w:r>
        <w:rPr>
          <w:rFonts w:hint="eastAsia" w:ascii="仿宋_GB2312" w:eastAsia="仿宋_GB2312"/>
          <w:szCs w:val="32"/>
          <w:lang w:val="en-US" w:eastAsia="zh-CN"/>
        </w:rPr>
        <w:t>0.44</w:t>
      </w:r>
      <w:r>
        <w:rPr>
          <w:rFonts w:hint="eastAsia" w:ascii="仿宋_GB2312" w:eastAsia="仿宋_GB2312"/>
          <w:szCs w:val="32"/>
        </w:rPr>
        <w:t>万元，比年初预算减少</w:t>
      </w:r>
      <w:r>
        <w:rPr>
          <w:rFonts w:hint="eastAsia" w:ascii="仿宋_GB2312" w:eastAsia="仿宋_GB2312"/>
          <w:szCs w:val="32"/>
          <w:lang w:val="en-US" w:eastAsia="zh-CN"/>
        </w:rPr>
        <w:t>0.02</w:t>
      </w:r>
      <w:r>
        <w:rPr>
          <w:rFonts w:hint="eastAsia" w:ascii="仿宋_GB2312" w:eastAsia="仿宋_GB2312"/>
          <w:szCs w:val="32"/>
        </w:rPr>
        <w:t>万元，完成年初预算的</w:t>
      </w:r>
      <w:r>
        <w:rPr>
          <w:rFonts w:hint="eastAsia" w:ascii="仿宋_GB2312" w:eastAsia="仿宋_GB2312"/>
          <w:szCs w:val="32"/>
          <w:lang w:val="en-US" w:eastAsia="zh-CN"/>
        </w:rPr>
        <w:t>95.65</w:t>
      </w:r>
      <w:r>
        <w:rPr>
          <w:rFonts w:hint="eastAsia" w:ascii="仿宋_GB2312" w:eastAsia="仿宋_GB2312"/>
          <w:szCs w:val="32"/>
        </w:rPr>
        <w:t>%， 决算数小于年初预算数的主要原因是严格控制公务接待费。其中：</w:t>
      </w:r>
    </w:p>
    <w:p>
      <w:pPr>
        <w:spacing w:line="580" w:lineRule="exact"/>
        <w:ind w:firstLine="640" w:firstLineChars="200"/>
        <w:rPr>
          <w:rFonts w:ascii="仿宋_GB2312" w:eastAsia="仿宋_GB2312"/>
          <w:szCs w:val="32"/>
        </w:rPr>
      </w:pPr>
      <w:r>
        <w:rPr>
          <w:rFonts w:hint="eastAsia" w:ascii="仿宋_GB2312" w:eastAsia="仿宋_GB2312"/>
          <w:szCs w:val="32"/>
        </w:rPr>
        <w:t>国内接待费</w:t>
      </w:r>
      <w:r>
        <w:rPr>
          <w:rFonts w:hint="eastAsia" w:ascii="仿宋_GB2312" w:eastAsia="仿宋_GB2312"/>
          <w:szCs w:val="32"/>
          <w:lang w:val="en-US" w:eastAsia="zh-CN"/>
        </w:rPr>
        <w:t>0.44</w:t>
      </w:r>
      <w:r>
        <w:rPr>
          <w:rFonts w:hint="eastAsia" w:ascii="仿宋_GB2312" w:eastAsia="仿宋_GB2312"/>
          <w:szCs w:val="32"/>
        </w:rPr>
        <w:t>万元，主要用于</w:t>
      </w:r>
      <w:r>
        <w:rPr>
          <w:rFonts w:hint="eastAsia" w:ascii="仿宋_GB2312" w:eastAsia="仿宋_GB2312"/>
          <w:szCs w:val="32"/>
          <w:lang w:eastAsia="zh-CN"/>
        </w:rPr>
        <w:t>公务接待</w:t>
      </w:r>
      <w:r>
        <w:rPr>
          <w:rFonts w:hint="eastAsia" w:ascii="仿宋_GB2312" w:eastAsia="仿宋_GB2312"/>
          <w:szCs w:val="32"/>
        </w:rPr>
        <w:t>，共计接待</w:t>
      </w:r>
      <w:r>
        <w:rPr>
          <w:rFonts w:hint="eastAsia" w:ascii="仿宋_GB2312" w:eastAsia="仿宋_GB2312"/>
          <w:szCs w:val="32"/>
          <w:lang w:val="en-US" w:eastAsia="zh-CN"/>
        </w:rPr>
        <w:t>9</w:t>
      </w:r>
      <w:r>
        <w:rPr>
          <w:rFonts w:hint="eastAsia" w:ascii="仿宋_GB2312" w:eastAsia="仿宋_GB2312"/>
          <w:szCs w:val="32"/>
        </w:rPr>
        <w:t>批次、</w:t>
      </w:r>
      <w:r>
        <w:rPr>
          <w:rFonts w:hint="eastAsia" w:ascii="仿宋_GB2312" w:eastAsia="仿宋_GB2312"/>
          <w:szCs w:val="32"/>
          <w:lang w:val="en-US" w:eastAsia="zh-CN"/>
        </w:rPr>
        <w:t>68</w:t>
      </w:r>
      <w:r>
        <w:rPr>
          <w:rFonts w:hint="eastAsia" w:ascii="仿宋_GB2312" w:eastAsia="仿宋_GB2312"/>
          <w:szCs w:val="32"/>
        </w:rPr>
        <w:t>人次（含外事接待</w:t>
      </w:r>
      <w:r>
        <w:rPr>
          <w:rFonts w:hint="eastAsia" w:ascii="仿宋_GB2312" w:eastAsia="仿宋_GB2312"/>
          <w:szCs w:val="32"/>
          <w:lang w:val="en-US" w:eastAsia="zh-CN"/>
        </w:rPr>
        <w:t>0</w:t>
      </w:r>
      <w:r>
        <w:rPr>
          <w:rFonts w:hint="eastAsia" w:ascii="仿宋_GB2312" w:eastAsia="仿宋_GB2312"/>
          <w:szCs w:val="32"/>
        </w:rPr>
        <w:t>批次、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仿宋_GB2312" w:eastAsia="仿宋_GB2312"/>
          <w:szCs w:val="32"/>
        </w:rPr>
      </w:pPr>
      <w:r>
        <w:rPr>
          <w:rFonts w:hint="eastAsia" w:ascii="仿宋_GB2312" w:eastAsia="仿宋_GB2312"/>
          <w:szCs w:val="32"/>
        </w:rPr>
        <w:t>国（境）外接待费</w:t>
      </w:r>
      <w:r>
        <w:rPr>
          <w:rFonts w:hint="eastAsia" w:ascii="仿宋_GB2312" w:eastAsia="仿宋_GB2312"/>
          <w:szCs w:val="32"/>
          <w:lang w:val="en-US" w:eastAsia="zh-CN"/>
        </w:rPr>
        <w:t>0</w:t>
      </w:r>
      <w:r>
        <w:rPr>
          <w:rFonts w:hint="eastAsia" w:ascii="仿宋_GB2312" w:eastAsia="仿宋_GB2312"/>
          <w:szCs w:val="32"/>
        </w:rPr>
        <w:t>万元，共计接待</w:t>
      </w:r>
      <w:r>
        <w:rPr>
          <w:rFonts w:hint="eastAsia" w:ascii="仿宋_GB2312" w:eastAsia="仿宋_GB2312"/>
          <w:szCs w:val="32"/>
          <w:lang w:val="en-US" w:eastAsia="zh-CN"/>
        </w:rPr>
        <w:t>0</w:t>
      </w:r>
      <w:r>
        <w:rPr>
          <w:rFonts w:hint="eastAsia" w:ascii="仿宋_GB2312" w:eastAsia="仿宋_GB2312"/>
          <w:szCs w:val="32"/>
        </w:rPr>
        <w:t>批次、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黑体" w:hAnsi="黑体" w:eastAsia="黑体"/>
          <w:szCs w:val="32"/>
        </w:rPr>
      </w:pPr>
      <w:r>
        <w:rPr>
          <w:rFonts w:hint="eastAsia" w:ascii="黑体" w:hAnsi="黑体" w:eastAsia="黑体"/>
          <w:szCs w:val="32"/>
        </w:rPr>
        <w:t>八、政府性基金预算财政拨款收入支出决算情况说明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2020年度政府性基金预算财政拨款年初结转和结余</w:t>
      </w:r>
      <w:r>
        <w:rPr>
          <w:rFonts w:hint="eastAsia" w:ascii="仿宋_GB2312" w:eastAsia="仿宋_GB2312"/>
          <w:szCs w:val="32"/>
          <w:lang w:val="en-US" w:eastAsia="zh-CN"/>
        </w:rPr>
        <w:t>155.03</w:t>
      </w:r>
      <w:r>
        <w:rPr>
          <w:rFonts w:hint="eastAsia" w:ascii="仿宋_GB2312" w:eastAsia="仿宋_GB2312"/>
          <w:szCs w:val="32"/>
        </w:rPr>
        <w:t>万元，本年收入7888.32万元，本年支出7805.4万元，年末结转和结余</w:t>
      </w:r>
      <w:r>
        <w:rPr>
          <w:rFonts w:hint="eastAsia" w:ascii="仿宋_GB2312" w:eastAsia="仿宋_GB2312"/>
          <w:szCs w:val="32"/>
          <w:lang w:val="en-US" w:eastAsia="zh-CN"/>
        </w:rPr>
        <w:t>237.95</w:t>
      </w:r>
      <w:r>
        <w:rPr>
          <w:rFonts w:hint="eastAsia" w:ascii="仿宋_GB2312" w:eastAsia="仿宋_GB2312"/>
          <w:szCs w:val="32"/>
        </w:rPr>
        <w:t>万元。支出具体情况如下：</w:t>
      </w:r>
    </w:p>
    <w:p>
      <w:pPr>
        <w:spacing w:line="580" w:lineRule="exact"/>
        <w:ind w:firstLine="640" w:firstLineChars="200"/>
        <w:rPr>
          <w:rFonts w:ascii="仿宋_GB2312" w:eastAsia="仿宋_GB2312"/>
          <w:szCs w:val="32"/>
        </w:rPr>
      </w:pPr>
      <w:r>
        <w:rPr>
          <w:rFonts w:hint="eastAsia" w:ascii="仿宋_GB2312" w:eastAsia="仿宋_GB2312"/>
          <w:szCs w:val="32"/>
        </w:rPr>
        <w:t>（一）</w:t>
      </w:r>
      <w:r>
        <w:rPr>
          <w:rFonts w:hint="eastAsia" w:ascii="仿宋_GB2312" w:hAnsi="宋体" w:eastAsia="仿宋_GB2312" w:cs="Courier New"/>
          <w:szCs w:val="32"/>
        </w:rPr>
        <w:t>社会保障和就业（类）大中型水库移民后期扶持基金（款）移民补助（项）。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78.33</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%。决算数大于年初预算数主要原因是20</w:t>
      </w:r>
      <w:r>
        <w:rPr>
          <w:rFonts w:hint="eastAsia" w:ascii="仿宋_GB2312" w:eastAsia="仿宋_GB2312"/>
          <w:szCs w:val="32"/>
          <w:lang w:val="en-US" w:eastAsia="zh-CN"/>
        </w:rPr>
        <w:t>20</w:t>
      </w:r>
      <w:r>
        <w:rPr>
          <w:rFonts w:hint="eastAsia" w:ascii="仿宋_GB2312" w:eastAsia="仿宋_GB2312"/>
          <w:szCs w:val="32"/>
        </w:rPr>
        <w:t>年追加移民直补资金支出。</w:t>
      </w:r>
    </w:p>
    <w:p>
      <w:pPr>
        <w:spacing w:line="580" w:lineRule="exact"/>
        <w:ind w:firstLine="640" w:firstLineChars="200"/>
        <w:rPr>
          <w:rFonts w:ascii="仿宋_GB2312" w:eastAsia="仿宋_GB2312"/>
          <w:szCs w:val="32"/>
        </w:rPr>
      </w:pPr>
      <w:r>
        <w:rPr>
          <w:rFonts w:hint="eastAsia" w:ascii="仿宋_GB2312" w:eastAsia="仿宋_GB2312"/>
          <w:szCs w:val="32"/>
        </w:rPr>
        <w:t>（二）</w:t>
      </w:r>
      <w:r>
        <w:rPr>
          <w:rFonts w:hint="eastAsia" w:ascii="仿宋_GB2312" w:hAnsi="宋体" w:eastAsia="仿宋_GB2312" w:cs="Courier New"/>
          <w:szCs w:val="32"/>
        </w:rPr>
        <w:t>社会保障和就业（类）大中型水库移民后期扶持基金（款）基础设施建设和经济发展（项）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357.92</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年大中型水库移民项目支出增加。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三</w:t>
      </w:r>
      <w:r>
        <w:rPr>
          <w:rFonts w:hint="eastAsia" w:ascii="仿宋_GB2312" w:eastAsia="仿宋_GB2312"/>
          <w:szCs w:val="32"/>
        </w:rPr>
        <w:t>）</w:t>
      </w:r>
      <w:r>
        <w:rPr>
          <w:rFonts w:hint="eastAsia" w:ascii="仿宋_GB2312" w:hAnsi="宋体" w:eastAsia="仿宋_GB2312" w:cs="Courier New"/>
          <w:szCs w:val="32"/>
        </w:rPr>
        <w:t>社会保障和就业（类）小型水库移民扶助基金及对应专项债务收入安排的支出（款）基础设施建设和经济发展（项）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0.15</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小</w:t>
      </w:r>
      <w:r>
        <w:rPr>
          <w:rFonts w:hint="eastAsia" w:ascii="仿宋_GB2312" w:eastAsia="仿宋_GB2312"/>
          <w:szCs w:val="32"/>
        </w:rPr>
        <w:t>型水库移民项目支出增加。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四</w:t>
      </w:r>
      <w:r>
        <w:rPr>
          <w:rFonts w:hint="eastAsia" w:ascii="仿宋_GB2312" w:eastAsia="仿宋_GB2312"/>
          <w:szCs w:val="32"/>
        </w:rPr>
        <w:t>）</w:t>
      </w:r>
      <w:r>
        <w:rPr>
          <w:rFonts w:hint="eastAsia" w:ascii="仿宋_GB2312" w:hAnsi="宋体" w:eastAsia="仿宋_GB2312" w:cs="Courier New"/>
          <w:szCs w:val="32"/>
          <w:lang w:eastAsia="zh-CN"/>
        </w:rPr>
        <w:t>其他支出</w:t>
      </w:r>
      <w:r>
        <w:rPr>
          <w:rFonts w:hint="eastAsia" w:ascii="仿宋_GB2312" w:hAnsi="宋体" w:eastAsia="仿宋_GB2312" w:cs="Courier New"/>
          <w:szCs w:val="32"/>
        </w:rPr>
        <w:t>（类）其他政府性基金及对应专项债务收入安排的支出（款） 其他地方自行试点项目收益专项债券收入安排的支出（项）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5800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专项债券</w:t>
      </w:r>
      <w:r>
        <w:rPr>
          <w:rFonts w:hint="eastAsia" w:ascii="仿宋_GB2312" w:eastAsia="仿宋_GB2312"/>
          <w:szCs w:val="32"/>
        </w:rPr>
        <w:t>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五</w:t>
      </w:r>
      <w:r>
        <w:rPr>
          <w:rFonts w:hint="eastAsia" w:ascii="仿宋_GB2312" w:eastAsia="仿宋_GB2312"/>
          <w:szCs w:val="32"/>
        </w:rPr>
        <w:t>）</w:t>
      </w:r>
      <w:r>
        <w:rPr>
          <w:rFonts w:hint="eastAsia" w:ascii="仿宋_GB2312" w:hAnsi="宋体" w:eastAsia="仿宋_GB2312" w:cs="Courier New"/>
          <w:szCs w:val="32"/>
        </w:rPr>
        <w:t>抗疫特别国债安排的支出（类）基础设施建设（款）</w:t>
      </w:r>
      <w:r>
        <w:rPr>
          <w:rFonts w:hint="eastAsia" w:ascii="仿宋_GB2312" w:hAnsi="宋体" w:eastAsia="仿宋_GB2312" w:cs="Courier New"/>
          <w:szCs w:val="32"/>
          <w:lang w:eastAsia="zh-CN"/>
        </w:rPr>
        <w:t>其他</w:t>
      </w:r>
      <w:r>
        <w:rPr>
          <w:rFonts w:hint="eastAsia" w:ascii="仿宋_GB2312" w:hAnsi="宋体" w:eastAsia="仿宋_GB2312" w:cs="Courier New"/>
          <w:szCs w:val="32"/>
        </w:rPr>
        <w:t>基础设施建设（项）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1569</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特别国债</w:t>
      </w:r>
      <w:r>
        <w:rPr>
          <w:rFonts w:hint="eastAsia" w:ascii="仿宋_GB2312" w:eastAsia="仿宋_GB2312"/>
          <w:szCs w:val="32"/>
        </w:rPr>
        <w:t>支出增加。</w:t>
      </w:r>
    </w:p>
    <w:p>
      <w:pPr>
        <w:spacing w:line="580" w:lineRule="exact"/>
        <w:ind w:firstLine="640" w:firstLineChars="200"/>
        <w:rPr>
          <w:rFonts w:ascii="黑体" w:hAnsi="黑体" w:eastAsia="黑体"/>
          <w:szCs w:val="32"/>
        </w:rPr>
      </w:pPr>
      <w:r>
        <w:rPr>
          <w:rFonts w:hint="eastAsia" w:ascii="黑体" w:hAnsi="黑体" w:eastAsia="黑体"/>
          <w:szCs w:val="32"/>
        </w:rPr>
        <w:t>九、国有资本经营预算财政拨款支出决算情况说明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2020年度国有资本经营预算财政拨款支出年初预算为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%。与年初预算基本持平的主要原因</w:t>
      </w:r>
      <w:r>
        <w:rPr>
          <w:rFonts w:hint="eastAsia" w:ascii="仿宋_GB2312" w:eastAsia="仿宋_GB2312"/>
          <w:szCs w:val="32"/>
          <w:lang w:eastAsia="zh-CN"/>
        </w:rPr>
        <w:t>是无</w:t>
      </w:r>
      <w:r>
        <w:rPr>
          <w:rFonts w:hint="eastAsia" w:ascii="仿宋_GB2312" w:eastAsia="仿宋_GB2312"/>
          <w:szCs w:val="32"/>
        </w:rPr>
        <w:t>国有资本经营预算财政拨款支出。其中：</w:t>
      </w:r>
    </w:p>
    <w:p>
      <w:pPr>
        <w:spacing w:line="580" w:lineRule="exact"/>
        <w:ind w:firstLine="640" w:firstLineChars="200"/>
        <w:rPr>
          <w:rFonts w:ascii="仿宋_GB2312" w:eastAsia="仿宋_GB2312"/>
          <w:szCs w:val="32"/>
        </w:rPr>
      </w:pPr>
      <w:r>
        <w:rPr>
          <w:rFonts w:hint="eastAsia" w:ascii="仿宋_GB2312" w:eastAsia="仿宋_GB2312"/>
          <w:szCs w:val="32"/>
        </w:rPr>
        <w:t>1、国有资本经营预算支出（类）解决历史遗留问题及改革成本支出（款）国有企业改革成本支出（项）。年初预算为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%。与年初预算基本持平的主要原因</w:t>
      </w:r>
      <w:r>
        <w:rPr>
          <w:rFonts w:hint="eastAsia" w:ascii="仿宋_GB2312" w:eastAsia="仿宋_GB2312"/>
          <w:szCs w:val="32"/>
          <w:lang w:eastAsia="zh-CN"/>
        </w:rPr>
        <w:t>是无</w:t>
      </w:r>
      <w:r>
        <w:rPr>
          <w:rFonts w:hint="eastAsia" w:ascii="仿宋_GB2312" w:eastAsia="仿宋_GB2312"/>
          <w:szCs w:val="32"/>
        </w:rPr>
        <w:t>国有资本经营预算财政拨款支出。</w:t>
      </w:r>
    </w:p>
    <w:p>
      <w:pPr>
        <w:spacing w:line="580" w:lineRule="exact"/>
        <w:rPr>
          <w:rFonts w:ascii="仿宋_GB2312" w:eastAsia="仿宋_GB2312"/>
          <w:b/>
          <w:szCs w:val="32"/>
          <w:highlight w:val="yellow"/>
        </w:rPr>
      </w:pPr>
    </w:p>
    <w:p>
      <w:pPr>
        <w:spacing w:line="580" w:lineRule="exact"/>
        <w:ind w:firstLine="640" w:firstLineChars="200"/>
        <w:rPr>
          <w:rFonts w:ascii="黑体" w:hAnsi="黑体" w:eastAsia="黑体"/>
          <w:szCs w:val="32"/>
        </w:rPr>
      </w:pPr>
      <w:r>
        <w:rPr>
          <w:rFonts w:hint="eastAsia" w:ascii="黑体" w:hAnsi="黑体" w:eastAsia="黑体"/>
          <w:szCs w:val="32"/>
        </w:rPr>
        <w:t xml:space="preserve">十、其他重要事项情况说明 </w:t>
      </w:r>
    </w:p>
    <w:p>
      <w:pPr>
        <w:spacing w:line="580" w:lineRule="exact"/>
        <w:ind w:firstLine="640" w:firstLineChars="200"/>
        <w:rPr>
          <w:rFonts w:ascii="楷体_GB2312" w:eastAsia="楷体_GB2312"/>
          <w:szCs w:val="32"/>
        </w:rPr>
      </w:pPr>
      <w:r>
        <w:rPr>
          <w:rFonts w:hint="eastAsia" w:ascii="楷体_GB2312" w:eastAsia="楷体_GB2312"/>
          <w:szCs w:val="32"/>
        </w:rPr>
        <w:t>（一）机关运行经费支出情况</w:t>
      </w:r>
    </w:p>
    <w:p>
      <w:pPr>
        <w:spacing w:line="580" w:lineRule="exact"/>
        <w:ind w:firstLine="640" w:firstLineChars="200"/>
        <w:rPr>
          <w:rFonts w:ascii="仿宋_GB2312" w:eastAsia="仿宋_GB2312"/>
          <w:b/>
          <w:szCs w:val="32"/>
        </w:rPr>
      </w:pPr>
      <w:r>
        <w:rPr>
          <w:rFonts w:hint="eastAsia" w:ascii="仿宋_GB2312" w:eastAsia="仿宋_GB2312"/>
          <w:szCs w:val="32"/>
        </w:rPr>
        <w:t>2020年度机关运行经费支出</w:t>
      </w:r>
      <w:r>
        <w:rPr>
          <w:rFonts w:hint="eastAsia" w:ascii="仿宋_GB2312" w:eastAsia="仿宋_GB2312"/>
          <w:szCs w:val="32"/>
          <w:lang w:val="en-US" w:eastAsia="zh-CN"/>
        </w:rPr>
        <w:t>28.76</w:t>
      </w:r>
      <w:r>
        <w:rPr>
          <w:rFonts w:hint="eastAsia" w:ascii="仿宋_GB2312" w:eastAsia="仿宋_GB2312"/>
          <w:szCs w:val="32"/>
        </w:rPr>
        <w:t>万元，</w:t>
      </w:r>
      <w:r>
        <w:rPr>
          <w:rFonts w:hint="eastAsia" w:ascii="仿宋_GB2312" w:hAnsi="宋体" w:eastAsia="仿宋_GB2312" w:cs="Courier New"/>
          <w:szCs w:val="32"/>
        </w:rPr>
        <w:t>比年初预算数减少</w:t>
      </w:r>
      <w:r>
        <w:rPr>
          <w:rFonts w:hint="eastAsia" w:ascii="仿宋_GB2312" w:hAnsi="宋体" w:eastAsia="仿宋_GB2312" w:cs="Courier New"/>
          <w:szCs w:val="32"/>
          <w:lang w:val="en-US" w:eastAsia="zh-CN"/>
        </w:rPr>
        <w:t>11.55</w:t>
      </w:r>
      <w:r>
        <w:rPr>
          <w:rFonts w:hint="eastAsia" w:ascii="仿宋_GB2312" w:hAnsi="宋体" w:eastAsia="仿宋_GB2312" w:cs="Courier New"/>
          <w:szCs w:val="32"/>
        </w:rPr>
        <w:t>万元，降低</w:t>
      </w:r>
      <w:r>
        <w:rPr>
          <w:rFonts w:hint="eastAsia" w:ascii="仿宋_GB2312" w:hAnsi="宋体" w:eastAsia="仿宋_GB2312" w:cs="Courier New"/>
          <w:szCs w:val="32"/>
          <w:lang w:val="en-US" w:eastAsia="zh-CN"/>
        </w:rPr>
        <w:t>28.65</w:t>
      </w:r>
      <w:r>
        <w:rPr>
          <w:rFonts w:hint="eastAsia" w:ascii="仿宋_GB2312" w:hAnsi="宋体" w:eastAsia="仿宋_GB2312" w:cs="Courier New"/>
          <w:szCs w:val="32"/>
        </w:rPr>
        <w:t>%，主要</w:t>
      </w:r>
      <w:r>
        <w:rPr>
          <w:rFonts w:hint="eastAsia" w:ascii="仿宋_GB2312" w:eastAsia="仿宋_GB2312"/>
          <w:szCs w:val="32"/>
        </w:rPr>
        <w:t>原因是</w:t>
      </w:r>
      <w:r>
        <w:rPr>
          <w:rFonts w:hint="eastAsia" w:ascii="仿宋_GB2312" w:eastAsia="仿宋_GB2312"/>
          <w:szCs w:val="32"/>
          <w:lang w:eastAsia="zh-CN"/>
        </w:rPr>
        <w:t>严格控制公用支出</w:t>
      </w:r>
      <w:r>
        <w:rPr>
          <w:rFonts w:hint="eastAsia" w:ascii="仿宋_GB2312" w:eastAsia="仿宋_GB2312"/>
          <w:szCs w:val="32"/>
        </w:rPr>
        <w:t>。</w:t>
      </w:r>
    </w:p>
    <w:p>
      <w:pPr>
        <w:spacing w:line="580" w:lineRule="exact"/>
        <w:ind w:firstLine="640" w:firstLineChars="200"/>
        <w:rPr>
          <w:rFonts w:ascii="楷体_GB2312" w:eastAsia="楷体_GB2312"/>
          <w:szCs w:val="32"/>
        </w:rPr>
      </w:pPr>
      <w:r>
        <w:rPr>
          <w:rFonts w:hint="eastAsia" w:ascii="楷体_GB2312" w:eastAsia="楷体_GB2312"/>
          <w:szCs w:val="32"/>
        </w:rPr>
        <w:t>（二）政府采购支出情况</w:t>
      </w:r>
    </w:p>
    <w:p>
      <w:pPr>
        <w:autoSpaceDE w:val="0"/>
        <w:autoSpaceDN w:val="0"/>
        <w:adjustRightInd w:val="0"/>
        <w:ind w:left="202" w:leftChars="63" w:firstLine="640" w:firstLineChars="200"/>
        <w:jc w:val="left"/>
        <w:rPr>
          <w:rFonts w:ascii="仿宋_GB2312" w:eastAsia="仿宋_GB2312"/>
          <w:b/>
          <w:szCs w:val="32"/>
          <w:highlight w:val="yellow"/>
        </w:rPr>
      </w:pPr>
      <w:r>
        <w:rPr>
          <w:rFonts w:hint="eastAsia" w:ascii="仿宋_GB2312" w:hAnsi="宋体" w:eastAsia="仿宋_GB2312" w:cs="Courier New"/>
          <w:szCs w:val="32"/>
        </w:rPr>
        <w:t xml:space="preserve"> 2020年度政府采购支出总额</w:t>
      </w:r>
      <w:r>
        <w:rPr>
          <w:rFonts w:hint="eastAsia" w:ascii="仿宋_GB2312" w:hAnsi="宋体" w:eastAsia="仿宋_GB2312" w:cs="Courier New"/>
          <w:szCs w:val="32"/>
          <w:lang w:val="en-US" w:eastAsia="zh-CN"/>
        </w:rPr>
        <w:t>107.61</w:t>
      </w:r>
      <w:r>
        <w:rPr>
          <w:rFonts w:hint="eastAsia" w:ascii="仿宋_GB2312" w:hAnsi="宋体" w:eastAsia="仿宋_GB2312" w:cs="Courier New"/>
          <w:szCs w:val="32"/>
        </w:rPr>
        <w:t>万元，其中：政府采购货物支出</w:t>
      </w:r>
      <w:r>
        <w:rPr>
          <w:rFonts w:hint="eastAsia" w:ascii="仿宋_GB2312" w:hAnsi="宋体" w:eastAsia="仿宋_GB2312" w:cs="Courier New"/>
          <w:szCs w:val="32"/>
          <w:lang w:val="en-US" w:eastAsia="zh-CN"/>
        </w:rPr>
        <w:t>63.01</w:t>
      </w:r>
      <w:r>
        <w:rPr>
          <w:rFonts w:hint="eastAsia" w:ascii="仿宋_GB2312" w:hAnsi="宋体" w:eastAsia="仿宋_GB2312" w:cs="Courier New"/>
          <w:szCs w:val="32"/>
        </w:rPr>
        <w:t>万元、政府采购工程支出</w:t>
      </w:r>
      <w:r>
        <w:rPr>
          <w:rFonts w:hint="eastAsia" w:ascii="仿宋_GB2312" w:hAnsi="宋体" w:eastAsia="仿宋_GB2312" w:cs="Courier New"/>
          <w:szCs w:val="32"/>
          <w:lang w:val="en-US" w:eastAsia="zh-CN"/>
        </w:rPr>
        <w:t>0</w:t>
      </w:r>
      <w:r>
        <w:rPr>
          <w:rFonts w:hint="eastAsia" w:ascii="仿宋_GB2312" w:hAnsi="宋体" w:eastAsia="仿宋_GB2312" w:cs="Courier New"/>
          <w:szCs w:val="32"/>
        </w:rPr>
        <w:t xml:space="preserve">万元、政府采购服务支出 </w:t>
      </w:r>
      <w:r>
        <w:rPr>
          <w:rFonts w:hint="eastAsia" w:ascii="仿宋_GB2312" w:hAnsi="宋体" w:eastAsia="仿宋_GB2312" w:cs="Courier New"/>
          <w:szCs w:val="32"/>
          <w:lang w:val="en-US" w:eastAsia="zh-CN"/>
        </w:rPr>
        <w:t>44.6</w:t>
      </w:r>
      <w:r>
        <w:rPr>
          <w:rFonts w:hint="eastAsia" w:ascii="仿宋_GB2312" w:hAnsi="宋体" w:eastAsia="仿宋_GB2312" w:cs="Courier New"/>
          <w:szCs w:val="32"/>
        </w:rPr>
        <w:t>万元。授予中小企业合同金额</w:t>
      </w:r>
      <w:r>
        <w:rPr>
          <w:rFonts w:hint="eastAsia" w:ascii="仿宋_GB2312" w:hAnsi="宋体" w:eastAsia="仿宋_GB2312" w:cs="Courier New"/>
          <w:szCs w:val="32"/>
          <w:lang w:val="en-US" w:eastAsia="zh-CN"/>
        </w:rPr>
        <w:t>57.6</w:t>
      </w:r>
      <w:r>
        <w:rPr>
          <w:rFonts w:hint="eastAsia" w:ascii="仿宋_GB2312" w:hAnsi="宋体" w:eastAsia="仿宋_GB2312" w:cs="Courier New"/>
          <w:szCs w:val="32"/>
        </w:rPr>
        <w:t>万元，占政府采购支出总额的</w:t>
      </w:r>
      <w:r>
        <w:rPr>
          <w:rFonts w:hint="eastAsia" w:ascii="仿宋_GB2312" w:hAnsi="宋体" w:eastAsia="仿宋_GB2312" w:cs="Courier New"/>
          <w:szCs w:val="32"/>
          <w:lang w:val="en-US" w:eastAsia="zh-CN"/>
        </w:rPr>
        <w:t>53.53</w:t>
      </w:r>
      <w:r>
        <w:rPr>
          <w:rFonts w:hint="eastAsia" w:ascii="仿宋_GB2312" w:hAnsi="宋体" w:eastAsia="仿宋_GB2312" w:cs="Courier New"/>
          <w:szCs w:val="32"/>
        </w:rPr>
        <w:t>%，其中：授予小微企业合同金额</w:t>
      </w:r>
      <w:r>
        <w:rPr>
          <w:rFonts w:hint="eastAsia" w:ascii="仿宋_GB2312" w:hAnsi="宋体" w:eastAsia="仿宋_GB2312" w:cs="Courier New"/>
          <w:szCs w:val="32"/>
          <w:lang w:val="en-US" w:eastAsia="zh-CN"/>
        </w:rPr>
        <w:t>13</w:t>
      </w:r>
      <w:r>
        <w:rPr>
          <w:rFonts w:hint="eastAsia" w:ascii="仿宋_GB2312" w:hAnsi="宋体" w:eastAsia="仿宋_GB2312" w:cs="Courier New"/>
          <w:szCs w:val="32"/>
        </w:rPr>
        <w:t>万元，占政府采购支出总额的</w:t>
      </w:r>
      <w:r>
        <w:rPr>
          <w:rFonts w:hint="eastAsia" w:ascii="仿宋_GB2312" w:hAnsi="宋体" w:eastAsia="仿宋_GB2312" w:cs="Courier New"/>
          <w:szCs w:val="32"/>
          <w:lang w:val="en-US" w:eastAsia="zh-CN"/>
        </w:rPr>
        <w:t>12.08</w:t>
      </w:r>
      <w:r>
        <w:rPr>
          <w:rFonts w:hint="eastAsia" w:ascii="仿宋_GB2312" w:hAnsi="宋体" w:eastAsia="仿宋_GB2312" w:cs="Courier New"/>
          <w:szCs w:val="32"/>
        </w:rPr>
        <w:t>%。</w:t>
      </w:r>
    </w:p>
    <w:p>
      <w:pPr>
        <w:spacing w:line="580" w:lineRule="exact"/>
        <w:ind w:firstLine="640" w:firstLineChars="200"/>
        <w:rPr>
          <w:rFonts w:ascii="楷体_GB2312" w:eastAsia="楷体_GB2312"/>
          <w:szCs w:val="32"/>
          <w:highlight w:val="yellow"/>
        </w:rPr>
      </w:pPr>
      <w:r>
        <w:rPr>
          <w:rFonts w:hint="eastAsia" w:ascii="楷体_GB2312" w:eastAsia="楷体_GB2312"/>
          <w:szCs w:val="32"/>
        </w:rPr>
        <w:t>（三）国有资产占用情况</w:t>
      </w:r>
    </w:p>
    <w:p>
      <w:pPr>
        <w:spacing w:line="580" w:lineRule="exact"/>
        <w:ind w:firstLine="640" w:firstLineChars="200"/>
        <w:rPr>
          <w:rFonts w:ascii="仿宋_GB2312" w:eastAsia="仿宋_GB2312"/>
          <w:szCs w:val="32"/>
        </w:rPr>
      </w:pPr>
      <w:r>
        <w:rPr>
          <w:rFonts w:hint="eastAsia" w:ascii="仿宋_GB2312" w:eastAsia="仿宋_GB2312"/>
          <w:szCs w:val="32"/>
        </w:rPr>
        <w:t xml:space="preserve">截至 2020 年 12 月 31 日，本单位共有车辆 </w:t>
      </w:r>
      <w:r>
        <w:rPr>
          <w:rFonts w:hint="eastAsia" w:ascii="仿宋_GB2312" w:eastAsia="仿宋_GB2312"/>
          <w:szCs w:val="32"/>
          <w:lang w:val="en-US" w:eastAsia="zh-CN"/>
        </w:rPr>
        <w:t>6</w:t>
      </w:r>
      <w:r>
        <w:rPr>
          <w:rFonts w:hint="eastAsia" w:ascii="仿宋_GB2312" w:eastAsia="仿宋_GB2312"/>
          <w:szCs w:val="32"/>
        </w:rPr>
        <w:t xml:space="preserve"> 辆，其中，符合规定领导干部用车 </w:t>
      </w:r>
      <w:r>
        <w:rPr>
          <w:rFonts w:hint="eastAsia" w:ascii="仿宋_GB2312" w:eastAsia="仿宋_GB2312"/>
          <w:szCs w:val="32"/>
          <w:lang w:val="en-US" w:eastAsia="zh-CN"/>
        </w:rPr>
        <w:t>0</w:t>
      </w:r>
      <w:r>
        <w:rPr>
          <w:rFonts w:hint="eastAsia" w:ascii="仿宋_GB2312" w:eastAsia="仿宋_GB2312"/>
          <w:szCs w:val="32"/>
        </w:rPr>
        <w:t xml:space="preserve"> 辆、机要通信用车 </w:t>
      </w:r>
      <w:r>
        <w:rPr>
          <w:rFonts w:hint="eastAsia" w:ascii="仿宋_GB2312" w:eastAsia="仿宋_GB2312"/>
          <w:szCs w:val="32"/>
          <w:lang w:val="en-US" w:eastAsia="zh-CN"/>
        </w:rPr>
        <w:t>0</w:t>
      </w:r>
      <w:r>
        <w:rPr>
          <w:rFonts w:hint="eastAsia" w:ascii="仿宋_GB2312" w:eastAsia="仿宋_GB2312"/>
          <w:szCs w:val="32"/>
        </w:rPr>
        <w:t xml:space="preserve"> 辆、应急保障用车 </w:t>
      </w:r>
      <w:r>
        <w:rPr>
          <w:rFonts w:hint="eastAsia" w:ascii="仿宋_GB2312" w:eastAsia="仿宋_GB2312"/>
          <w:szCs w:val="32"/>
          <w:lang w:val="en-US" w:eastAsia="zh-CN"/>
        </w:rPr>
        <w:t>0</w:t>
      </w:r>
      <w:r>
        <w:rPr>
          <w:rFonts w:hint="eastAsia" w:ascii="仿宋_GB2312" w:eastAsia="仿宋_GB2312"/>
          <w:szCs w:val="32"/>
        </w:rPr>
        <w:t xml:space="preserve"> 辆、执法执勤用车 </w:t>
      </w:r>
      <w:r>
        <w:rPr>
          <w:rFonts w:hint="eastAsia" w:ascii="仿宋_GB2312" w:eastAsia="仿宋_GB2312"/>
          <w:szCs w:val="32"/>
          <w:lang w:val="en-US" w:eastAsia="zh-CN"/>
        </w:rPr>
        <w:t>1</w:t>
      </w:r>
      <w:r>
        <w:rPr>
          <w:rFonts w:hint="eastAsia" w:ascii="仿宋_GB2312" w:eastAsia="仿宋_GB2312"/>
          <w:szCs w:val="32"/>
        </w:rPr>
        <w:t xml:space="preserve"> 辆、特种专业技术用车 </w:t>
      </w:r>
      <w:r>
        <w:rPr>
          <w:rFonts w:hint="eastAsia" w:ascii="仿宋_GB2312" w:eastAsia="仿宋_GB2312"/>
          <w:szCs w:val="32"/>
          <w:lang w:val="en-US" w:eastAsia="zh-CN"/>
        </w:rPr>
        <w:t>0</w:t>
      </w:r>
      <w:r>
        <w:rPr>
          <w:rFonts w:hint="eastAsia" w:ascii="仿宋_GB2312" w:eastAsia="仿宋_GB2312"/>
          <w:szCs w:val="32"/>
        </w:rPr>
        <w:t xml:space="preserve">辆、离退休干部用车 </w:t>
      </w:r>
      <w:r>
        <w:rPr>
          <w:rFonts w:hint="eastAsia" w:ascii="仿宋_GB2312" w:eastAsia="仿宋_GB2312"/>
          <w:szCs w:val="32"/>
          <w:lang w:val="en-US" w:eastAsia="zh-CN"/>
        </w:rPr>
        <w:t>0</w:t>
      </w:r>
      <w:r>
        <w:rPr>
          <w:rFonts w:hint="eastAsia" w:ascii="仿宋_GB2312" w:eastAsia="仿宋_GB2312"/>
          <w:szCs w:val="32"/>
        </w:rPr>
        <w:t xml:space="preserve">辆、其他用车 </w:t>
      </w:r>
      <w:r>
        <w:rPr>
          <w:rFonts w:hint="eastAsia" w:ascii="仿宋_GB2312" w:eastAsia="仿宋_GB2312"/>
          <w:szCs w:val="32"/>
          <w:lang w:val="en-US" w:eastAsia="zh-CN"/>
        </w:rPr>
        <w:t>5</w:t>
      </w:r>
      <w:r>
        <w:rPr>
          <w:rFonts w:hint="eastAsia" w:ascii="仿宋_GB2312" w:eastAsia="仿宋_GB2312"/>
          <w:szCs w:val="32"/>
        </w:rPr>
        <w:t xml:space="preserve"> 辆，其他用车主要是</w:t>
      </w:r>
      <w:r>
        <w:rPr>
          <w:rFonts w:hint="eastAsia" w:ascii="仿宋_GB2312" w:eastAsia="仿宋_GB2312"/>
          <w:szCs w:val="32"/>
          <w:lang w:eastAsia="zh-CN"/>
        </w:rPr>
        <w:t>一般公务用车</w:t>
      </w:r>
      <w:r>
        <w:rPr>
          <w:rFonts w:hint="eastAsia" w:ascii="仿宋_GB2312" w:eastAsia="仿宋_GB2312"/>
          <w:szCs w:val="32"/>
        </w:rPr>
        <w:t>；单位价值 50 万元以上通用设备</w:t>
      </w:r>
      <w:r>
        <w:rPr>
          <w:rFonts w:hint="eastAsia" w:ascii="仿宋_GB2312" w:eastAsia="仿宋_GB2312"/>
          <w:szCs w:val="32"/>
          <w:lang w:val="en-US" w:eastAsia="zh-CN"/>
        </w:rPr>
        <w:t>0</w:t>
      </w:r>
      <w:r>
        <w:rPr>
          <w:rFonts w:hint="eastAsia" w:ascii="仿宋_GB2312" w:eastAsia="仿宋_GB2312"/>
          <w:szCs w:val="32"/>
        </w:rPr>
        <w:t xml:space="preserve"> 台（套）；单位价值 100 万元以上专用设备 </w:t>
      </w:r>
      <w:r>
        <w:rPr>
          <w:rFonts w:hint="eastAsia" w:ascii="仿宋_GB2312" w:eastAsia="仿宋_GB2312"/>
          <w:szCs w:val="32"/>
          <w:lang w:val="en-US" w:eastAsia="zh-CN"/>
        </w:rPr>
        <w:t>0</w:t>
      </w:r>
      <w:r>
        <w:rPr>
          <w:rFonts w:hint="eastAsia" w:ascii="仿宋_GB2312" w:eastAsia="仿宋_GB2312"/>
          <w:szCs w:val="32"/>
        </w:rPr>
        <w:t xml:space="preserve"> 台（套）。</w:t>
      </w:r>
    </w:p>
    <w:p>
      <w:pPr>
        <w:spacing w:line="580" w:lineRule="exact"/>
        <w:ind w:firstLine="640" w:firstLineChars="200"/>
        <w:rPr>
          <w:rFonts w:ascii="黑体" w:hAnsi="黑体" w:eastAsia="黑体"/>
          <w:szCs w:val="32"/>
        </w:rPr>
      </w:pPr>
      <w:r>
        <w:rPr>
          <w:rFonts w:hint="eastAsia" w:ascii="黑体" w:hAnsi="黑体" w:eastAsia="黑体"/>
          <w:szCs w:val="32"/>
        </w:rPr>
        <w:t>十一、预算绩效情况说明</w:t>
      </w:r>
    </w:p>
    <w:p>
      <w:pPr>
        <w:spacing w:line="580" w:lineRule="exact"/>
        <w:ind w:firstLine="640" w:firstLineChars="200"/>
        <w:rPr>
          <w:rFonts w:ascii="仿宋_GB2312" w:eastAsia="仿宋_GB2312" w:cs="仿宋_GB2312"/>
          <w:szCs w:val="32"/>
          <w:u w:val="single"/>
        </w:rPr>
      </w:pPr>
      <w:r>
        <w:rPr>
          <w:rFonts w:hint="eastAsia" w:ascii="仿宋_GB2312" w:eastAsia="仿宋_GB2312"/>
          <w:kern w:val="0"/>
          <w:szCs w:val="32"/>
        </w:rPr>
        <w:t>根据预算绩效管理要求，我单位按照“谁用款、谁评价”的原则，组织对2020年度区级预算项目支出进行全面自评，涵盖项目</w:t>
      </w:r>
      <w:r>
        <w:rPr>
          <w:rFonts w:hint="eastAsia" w:ascii="仿宋_GB2312" w:eastAsia="仿宋_GB2312"/>
          <w:kern w:val="0"/>
          <w:szCs w:val="32"/>
          <w:lang w:val="en-US" w:eastAsia="zh-CN"/>
        </w:rPr>
        <w:t>8</w:t>
      </w:r>
      <w:r>
        <w:rPr>
          <w:rFonts w:hint="eastAsia" w:ascii="仿宋_GB2312" w:eastAsia="仿宋_GB2312"/>
          <w:kern w:val="0"/>
          <w:szCs w:val="32"/>
        </w:rPr>
        <w:t>个，涉及预算资金</w:t>
      </w:r>
      <w:r>
        <w:rPr>
          <w:rFonts w:hint="eastAsia" w:ascii="仿宋_GB2312" w:eastAsia="仿宋_GB2312"/>
          <w:kern w:val="0"/>
          <w:szCs w:val="32"/>
          <w:lang w:val="en-US" w:eastAsia="zh-CN"/>
        </w:rPr>
        <w:t>1217.08</w:t>
      </w:r>
      <w:r>
        <w:rPr>
          <w:rFonts w:hint="eastAsia" w:ascii="仿宋_GB2312" w:eastAsia="仿宋_GB2312"/>
          <w:kern w:val="0"/>
          <w:szCs w:val="32"/>
        </w:rPr>
        <w:t>万元，占单位预算项目支出总额的</w:t>
      </w:r>
      <w:r>
        <w:rPr>
          <w:rFonts w:hint="eastAsia" w:ascii="仿宋_GB2312" w:eastAsia="仿宋_GB2312"/>
          <w:kern w:val="0"/>
          <w:szCs w:val="32"/>
          <w:lang w:val="en-US" w:eastAsia="zh-CN"/>
        </w:rPr>
        <w:t>91.77</w:t>
      </w:r>
      <w:r>
        <w:rPr>
          <w:rFonts w:hint="eastAsia" w:ascii="仿宋_GB2312" w:eastAsia="仿宋_GB2312"/>
          <w:kern w:val="0"/>
          <w:szCs w:val="32"/>
        </w:rPr>
        <w:t>%。开展</w:t>
      </w:r>
      <w:r>
        <w:rPr>
          <w:rFonts w:hint="eastAsia" w:ascii="仿宋_GB2312" w:eastAsia="仿宋_GB2312"/>
          <w:szCs w:val="32"/>
        </w:rPr>
        <w:t>绩效自评的</w:t>
      </w:r>
      <w:r>
        <w:rPr>
          <w:rFonts w:hint="eastAsia" w:ascii="仿宋_GB2312" w:eastAsia="仿宋_GB2312"/>
          <w:szCs w:val="32"/>
          <w:lang w:val="en-US" w:eastAsia="zh-CN"/>
        </w:rPr>
        <w:t>8</w:t>
      </w:r>
      <w:r>
        <w:rPr>
          <w:rFonts w:hint="eastAsia" w:ascii="仿宋_GB2312" w:eastAsia="仿宋_GB2312"/>
          <w:szCs w:val="32"/>
        </w:rPr>
        <w:t>个项目中，</w:t>
      </w:r>
      <w:r>
        <w:rPr>
          <w:rFonts w:hint="eastAsia" w:ascii="仿宋_GB2312" w:eastAsia="仿宋_GB2312"/>
          <w:szCs w:val="32"/>
          <w:lang w:val="en-US" w:eastAsia="zh-CN"/>
        </w:rPr>
        <w:t>8</w:t>
      </w:r>
      <w:r>
        <w:rPr>
          <w:rFonts w:hint="eastAsia" w:ascii="仿宋_GB2312" w:eastAsia="仿宋_GB2312"/>
          <w:szCs w:val="32"/>
        </w:rPr>
        <w:t>个项目自评等级为优，</w:t>
      </w:r>
      <w:r>
        <w:rPr>
          <w:rFonts w:hint="eastAsia" w:ascii="仿宋_GB2312" w:eastAsia="仿宋_GB2312"/>
          <w:szCs w:val="32"/>
          <w:lang w:val="en-US" w:eastAsia="zh-CN"/>
        </w:rPr>
        <w:t>0</w:t>
      </w:r>
      <w:r>
        <w:rPr>
          <w:rFonts w:hint="eastAsia" w:ascii="仿宋_GB2312" w:eastAsia="仿宋_GB2312"/>
          <w:szCs w:val="32"/>
        </w:rPr>
        <w:t>个项目自评等级为良，</w:t>
      </w:r>
      <w:r>
        <w:rPr>
          <w:rFonts w:hint="eastAsia" w:ascii="仿宋_GB2312" w:eastAsia="仿宋_GB2312"/>
          <w:szCs w:val="32"/>
          <w:lang w:val="en-US" w:eastAsia="zh-CN"/>
        </w:rPr>
        <w:t>0</w:t>
      </w:r>
      <w:r>
        <w:rPr>
          <w:rFonts w:hint="eastAsia" w:ascii="仿宋_GB2312" w:eastAsia="仿宋_GB2312"/>
          <w:szCs w:val="32"/>
        </w:rPr>
        <w:t>个项目自评等级为中。</w:t>
      </w:r>
      <w:r>
        <w:rPr>
          <w:rFonts w:hint="eastAsia" w:ascii="仿宋_GB2312" w:eastAsia="仿宋_GB2312" w:cs="仿宋_GB2312"/>
          <w:szCs w:val="32"/>
        </w:rPr>
        <w:t>从自评情况看</w:t>
      </w:r>
      <w:r>
        <w:rPr>
          <w:rFonts w:hint="eastAsia" w:ascii="仿宋_GB2312" w:eastAsia="仿宋_GB2312"/>
          <w:szCs w:val="32"/>
        </w:rPr>
        <w:t>，上述</w:t>
      </w:r>
      <w:r>
        <w:rPr>
          <w:rFonts w:hint="eastAsia" w:ascii="仿宋_GB2312" w:eastAsia="仿宋_GB2312"/>
          <w:szCs w:val="32"/>
          <w:lang w:val="en-US" w:eastAsia="zh-CN"/>
        </w:rPr>
        <w:t>5</w:t>
      </w:r>
      <w:r>
        <w:rPr>
          <w:rFonts w:hint="eastAsia" w:ascii="仿宋_GB2312" w:eastAsia="仿宋_GB2312"/>
          <w:szCs w:val="32"/>
        </w:rPr>
        <w:t>个项目完成情况较好，主要表现为：项目立项程序完整、规范，设置了明确的绩效目标，财务相关管理制度较健全，预算执行及时、有效，群众满意度较高，基本实现了预期。</w:t>
      </w:r>
    </w:p>
    <w:p>
      <w:pPr>
        <w:spacing w:line="580" w:lineRule="exact"/>
        <w:ind w:firstLine="640" w:firstLineChars="200"/>
        <w:rPr>
          <w:rFonts w:ascii="仿宋_GB2312" w:eastAsia="仿宋_GB2312"/>
          <w:b/>
          <w:szCs w:val="32"/>
          <w:u w:val="single"/>
        </w:rPr>
      </w:pPr>
      <w:r>
        <w:rPr>
          <w:rFonts w:hint="eastAsia" w:ascii="仿宋_GB2312" w:eastAsia="仿宋_GB2312"/>
          <w:szCs w:val="32"/>
        </w:rPr>
        <w:t>2020年度预算项目支出绩效自评情况汇总表和区级预算项目支出绩效自评表详见</w:t>
      </w:r>
      <w:r>
        <w:rPr>
          <w:rFonts w:hint="eastAsia" w:ascii="仿宋_GB2312" w:eastAsia="仿宋_GB2312"/>
          <w:kern w:val="0"/>
          <w:szCs w:val="32"/>
        </w:rPr>
        <w:t>“第五部分 附件”</w:t>
      </w:r>
      <w:r>
        <w:rPr>
          <w:rFonts w:hint="eastAsia" w:ascii="仿宋_GB2312" w:eastAsia="仿宋_GB2312"/>
          <w:szCs w:val="32"/>
        </w:rPr>
        <w:t>。</w:t>
      </w:r>
    </w:p>
    <w:p>
      <w:pPr>
        <w:widowControl/>
        <w:spacing w:line="580" w:lineRule="exact"/>
        <w:ind w:firstLine="640" w:firstLineChars="200"/>
        <w:rPr>
          <w:rFonts w:ascii="仿宋_GB2312" w:eastAsia="仿宋_GB2312"/>
          <w:kern w:val="0"/>
          <w:szCs w:val="32"/>
        </w:rPr>
      </w:pPr>
      <w:r>
        <w:rPr>
          <w:rFonts w:hint="eastAsia" w:ascii="仿宋_GB2312" w:eastAsia="仿宋_GB2312"/>
          <w:szCs w:val="32"/>
        </w:rPr>
        <w:t>组织对“</w:t>
      </w:r>
      <w:r>
        <w:rPr>
          <w:rFonts w:hint="eastAsia" w:ascii="仿宋_GB2312" w:eastAsia="仿宋_GB2312"/>
          <w:szCs w:val="32"/>
          <w:lang w:val="en-US" w:eastAsia="zh-CN"/>
        </w:rPr>
        <w:t>2020年防汛项目预算</w:t>
      </w:r>
      <w:r>
        <w:rPr>
          <w:rFonts w:hint="eastAsia" w:ascii="仿宋_GB2312" w:eastAsia="仿宋_GB2312"/>
          <w:szCs w:val="32"/>
        </w:rPr>
        <w:t>”“</w:t>
      </w:r>
      <w:r>
        <w:rPr>
          <w:rFonts w:hint="eastAsia" w:ascii="仿宋_GB2312" w:eastAsia="仿宋_GB2312"/>
          <w:szCs w:val="32"/>
          <w:lang w:val="en-US" w:eastAsia="zh-CN"/>
        </w:rPr>
        <w:t>2020年农水项目预算</w:t>
      </w:r>
      <w:r>
        <w:rPr>
          <w:rFonts w:hint="eastAsia" w:ascii="仿宋_GB2312" w:eastAsia="仿宋_GB2312"/>
          <w:szCs w:val="32"/>
        </w:rPr>
        <w:t>”等</w:t>
      </w:r>
      <w:r>
        <w:rPr>
          <w:rFonts w:hint="eastAsia" w:ascii="仿宋_GB2312" w:eastAsia="仿宋_GB2312"/>
          <w:szCs w:val="32"/>
          <w:lang w:val="en-US" w:eastAsia="zh-CN"/>
        </w:rPr>
        <w:t>3</w:t>
      </w:r>
      <w:r>
        <w:rPr>
          <w:rFonts w:hint="eastAsia" w:ascii="仿宋_GB2312" w:eastAsia="仿宋_GB2312"/>
          <w:szCs w:val="32"/>
        </w:rPr>
        <w:t>个项目开展了重点绩效评价，涉及资金</w:t>
      </w:r>
      <w:r>
        <w:rPr>
          <w:rFonts w:hint="eastAsia" w:ascii="仿宋_GB2312" w:eastAsia="仿宋_GB2312"/>
          <w:szCs w:val="32"/>
          <w:lang w:val="en-US" w:eastAsia="zh-CN"/>
        </w:rPr>
        <w:t>1148.67</w:t>
      </w:r>
      <w:r>
        <w:rPr>
          <w:rFonts w:hint="eastAsia" w:ascii="仿宋_GB2312" w:eastAsia="仿宋_GB2312"/>
          <w:szCs w:val="32"/>
        </w:rPr>
        <w:t>万元。从评价情况来看，上述</w:t>
      </w:r>
      <w:r>
        <w:rPr>
          <w:rFonts w:hint="eastAsia" w:ascii="仿宋_GB2312" w:eastAsia="仿宋_GB2312"/>
          <w:szCs w:val="32"/>
          <w:lang w:val="en-US" w:eastAsia="zh-CN"/>
        </w:rPr>
        <w:t>3</w:t>
      </w:r>
      <w:r>
        <w:rPr>
          <w:rFonts w:hint="eastAsia" w:ascii="仿宋_GB2312" w:eastAsia="仿宋_GB2312"/>
          <w:szCs w:val="32"/>
        </w:rPr>
        <w:t>个项目完成情况较好，主要表现为：项目立项程序完整、规范，设置了明确的绩效目标，财务相关管理制度较健全，预算执行及时、有效，群众满意度较高，基本实现了预期。</w:t>
      </w:r>
      <w:r>
        <w:rPr>
          <w:rFonts w:hint="eastAsia" w:ascii="仿宋_GB2312" w:eastAsia="仿宋_GB2312"/>
          <w:kern w:val="0"/>
          <w:szCs w:val="32"/>
        </w:rPr>
        <w:t>绩效评价报告详见“第五部分 附件”。</w:t>
      </w:r>
    </w:p>
    <w:p>
      <w:pPr>
        <w:widowControl/>
        <w:spacing w:line="580" w:lineRule="exact"/>
        <w:ind w:firstLine="643" w:firstLineChars="200"/>
        <w:rPr>
          <w:rFonts w:ascii="仿宋_GB2312" w:eastAsia="仿宋_GB2312"/>
          <w:b/>
          <w:bCs/>
          <w:kern w:val="0"/>
          <w:szCs w:val="32"/>
        </w:rPr>
      </w:pPr>
    </w:p>
    <w:p>
      <w:pPr>
        <w:spacing w:line="580" w:lineRule="exact"/>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ind w:firstLine="540" w:firstLineChars="100"/>
        <w:rPr>
          <w:rFonts w:ascii="方正小标宋简体" w:eastAsia="方正小标宋简体"/>
          <w:spacing w:val="60"/>
          <w:sz w:val="42"/>
        </w:rPr>
      </w:pPr>
    </w:p>
    <w:p>
      <w:pPr>
        <w:rPr>
          <w:rFonts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第四部分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名词解释</w:t>
      </w: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ind w:firstLine="640" w:firstLineChars="200"/>
        <w:rPr>
          <w:rFonts w:ascii="仿宋_GB2312" w:eastAsia="仿宋_GB2312"/>
          <w:szCs w:val="32"/>
        </w:rPr>
      </w:pPr>
      <w:r>
        <w:rPr>
          <w:rFonts w:hint="eastAsia" w:ascii="黑体" w:hAnsi="黑体" w:eastAsia="黑体"/>
          <w:color w:val="000000"/>
          <w:szCs w:val="32"/>
        </w:rPr>
        <w:t>一、财政拨款收入：</w:t>
      </w:r>
      <w:r>
        <w:rPr>
          <w:rFonts w:hint="eastAsia" w:ascii="仿宋_GB2312" w:eastAsia="仿宋_GB2312"/>
          <w:szCs w:val="32"/>
        </w:rPr>
        <w:t>指单位本年度从本级财政单位取得的财政拨款，包括一般公共预算财政拨款、政府性基金预算财政拨款和国有资本经营预算财政拨款。</w:t>
      </w:r>
    </w:p>
    <w:p>
      <w:pPr>
        <w:spacing w:line="580" w:lineRule="exact"/>
        <w:ind w:firstLine="640" w:firstLineChars="200"/>
        <w:rPr>
          <w:rFonts w:ascii="仿宋_GB2312" w:hAnsi="仿宋" w:eastAsia="仿宋_GB2312"/>
          <w:szCs w:val="32"/>
        </w:rPr>
      </w:pPr>
      <w:r>
        <w:rPr>
          <w:rFonts w:hint="eastAsia" w:ascii="黑体" w:hAnsi="黑体" w:eastAsia="黑体"/>
          <w:szCs w:val="32"/>
        </w:rPr>
        <w:t>二、上级补助收入：</w:t>
      </w:r>
      <w:r>
        <w:rPr>
          <w:rFonts w:hint="eastAsia" w:ascii="仿宋_GB2312" w:hAnsi="仿宋" w:eastAsia="仿宋_GB2312"/>
          <w:szCs w:val="32"/>
        </w:rPr>
        <w:t>指事业单位从主管单位和上级单位取得的非财政补助收入。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三、事业收入：</w:t>
      </w:r>
      <w:r>
        <w:rPr>
          <w:rFonts w:hint="eastAsia" w:ascii="仿宋_GB2312" w:hAnsi="仿宋" w:eastAsia="仿宋_GB2312"/>
          <w:szCs w:val="32"/>
        </w:rPr>
        <w:t>指事业单位开展专业业务活动及其辅助活动取得的收入；包括事业单位收到的财政专户实际核拨的教育收费等。</w:t>
      </w:r>
    </w:p>
    <w:p>
      <w:pPr>
        <w:spacing w:line="580" w:lineRule="exact"/>
        <w:ind w:firstLine="640" w:firstLineChars="200"/>
        <w:rPr>
          <w:rFonts w:ascii="仿宋_GB2312" w:hAnsi="仿宋" w:eastAsia="仿宋_GB2312"/>
          <w:szCs w:val="32"/>
        </w:rPr>
      </w:pPr>
      <w:r>
        <w:rPr>
          <w:rFonts w:hint="eastAsia" w:ascii="黑体" w:hAnsi="黑体" w:eastAsia="黑体"/>
          <w:szCs w:val="32"/>
        </w:rPr>
        <w:t>四、经营收入：</w:t>
      </w:r>
      <w:r>
        <w:rPr>
          <w:rFonts w:hint="eastAsia" w:ascii="仿宋_GB2312" w:hAnsi="仿宋" w:eastAsia="仿宋_GB2312"/>
          <w:szCs w:val="32"/>
        </w:rPr>
        <w:t>指事业单位在专业业务活动及其辅助活动之外开展非独立核算经营活动取得的收入。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五、附属单位上缴收入：</w:t>
      </w:r>
      <w:r>
        <w:rPr>
          <w:rFonts w:hint="eastAsia" w:ascii="仿宋_GB2312" w:hAnsi="仿宋" w:eastAsia="仿宋_GB2312"/>
          <w:szCs w:val="32"/>
        </w:rPr>
        <w:t>指事业单位附属独立核算单位按照有关规定上缴的收入。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六、其他收入：</w:t>
      </w:r>
      <w:r>
        <w:rPr>
          <w:rFonts w:hint="eastAsia" w:ascii="仿宋_GB2312" w:hAnsi="仿宋" w:eastAsia="仿宋_GB2312"/>
          <w:szCs w:val="32"/>
        </w:rPr>
        <w:t>指单位取得的除上述“</w:t>
      </w:r>
      <w:r>
        <w:rPr>
          <w:rFonts w:hint="eastAsia" w:ascii="仿宋_GB2312" w:eastAsia="仿宋_GB2312"/>
          <w:szCs w:val="32"/>
        </w:rPr>
        <w:t>财政拨款收入</w:t>
      </w:r>
      <w:r>
        <w:rPr>
          <w:rFonts w:hint="eastAsia" w:ascii="仿宋_GB2312" w:hAnsi="仿宋" w:eastAsia="仿宋_GB2312"/>
          <w:szCs w:val="32"/>
        </w:rPr>
        <w:t>”“上级补助收入”“事业收入”“经营收入”“附属单位上缴收入”等以外的各项收入。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七、使用非财政拨款结余：</w:t>
      </w:r>
      <w:r>
        <w:rPr>
          <w:rFonts w:hint="eastAsia" w:ascii="仿宋_GB2312" w:hAnsi="仿宋" w:eastAsia="仿宋_GB2312"/>
          <w:szCs w:val="32"/>
        </w:rPr>
        <w:t>指事业单位按照预算管理要求使用非财政拨款结余弥补收支差额的金额。</w:t>
      </w:r>
    </w:p>
    <w:p>
      <w:pPr>
        <w:spacing w:line="580" w:lineRule="exact"/>
        <w:ind w:firstLine="640" w:firstLineChars="200"/>
        <w:rPr>
          <w:rFonts w:ascii="仿宋_GB2312" w:eastAsia="仿宋_GB2312"/>
          <w:szCs w:val="32"/>
        </w:rPr>
      </w:pPr>
      <w:r>
        <w:rPr>
          <w:rFonts w:hint="eastAsia" w:ascii="黑体" w:hAnsi="黑体" w:eastAsia="黑体"/>
          <w:szCs w:val="32"/>
        </w:rPr>
        <w:t>八、年初结转和结余：</w:t>
      </w:r>
      <w:r>
        <w:rPr>
          <w:rFonts w:hint="eastAsia" w:ascii="仿宋_GB2312" w:eastAsia="仿宋_GB2312"/>
          <w:szCs w:val="32"/>
        </w:rPr>
        <w:t>指单位以前年度尚未完成、结转到本年仍按原规定用途继续使用的资金，或项目已完成等产生的结余资金。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九、结余分配：</w:t>
      </w:r>
      <w:r>
        <w:rPr>
          <w:rFonts w:hint="eastAsia" w:ascii="仿宋_GB2312" w:eastAsia="仿宋_GB2312"/>
          <w:szCs w:val="32"/>
        </w:rPr>
        <w:t>指事业单位缴纳的所得税以及从非财政拨款结余或经营结余中提取的各类结余。</w:t>
      </w:r>
    </w:p>
    <w:p>
      <w:pPr>
        <w:spacing w:line="580" w:lineRule="exact"/>
        <w:ind w:firstLine="640" w:firstLineChars="200"/>
        <w:rPr>
          <w:rFonts w:ascii="仿宋_GB2312" w:hAnsi="仿宋" w:eastAsia="仿宋_GB2312"/>
          <w:szCs w:val="32"/>
        </w:rPr>
      </w:pPr>
      <w:r>
        <w:rPr>
          <w:rFonts w:hint="eastAsia" w:ascii="黑体" w:hAnsi="黑体" w:eastAsia="黑体"/>
          <w:szCs w:val="32"/>
        </w:rPr>
        <w:t>十、年末结转和结余：</w:t>
      </w:r>
      <w:r>
        <w:rPr>
          <w:rFonts w:hint="eastAsia" w:ascii="仿宋_GB2312" w:hAnsi="仿宋" w:eastAsia="仿宋_GB2312"/>
          <w:szCs w:val="32"/>
        </w:rPr>
        <w:t>指单位本年度或以前年度预算安排、因客观条件发生变化未全部执行或未执行，结转到以后年度继续使用的资金，或项目已完成等产生的结余资金。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十一、基本支出：</w:t>
      </w:r>
      <w:r>
        <w:rPr>
          <w:rFonts w:hint="eastAsia" w:ascii="仿宋_GB2312" w:eastAsia="仿宋_GB2312"/>
          <w:szCs w:val="32"/>
        </w:rPr>
        <w:t>指单位为保障机构正常运转、完成日常工作任务而发生的各项支出。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十二、项目支出：</w:t>
      </w:r>
      <w:r>
        <w:rPr>
          <w:rFonts w:hint="eastAsia" w:ascii="仿宋_GB2312" w:eastAsia="仿宋_GB2312"/>
          <w:szCs w:val="32"/>
        </w:rPr>
        <w:t>指单位为完成特定的行政工作任务或事业发展目标，在基本支出之外发生的各项支出。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十三、经营支出：</w:t>
      </w:r>
      <w:r>
        <w:rPr>
          <w:rFonts w:hint="eastAsia" w:ascii="仿宋_GB2312" w:eastAsia="仿宋_GB2312"/>
          <w:szCs w:val="32"/>
        </w:rPr>
        <w:t>指事业单位在专业业务活动及其辅助活动之外开展非独立核算经营活动发生的支出。</w:t>
      </w:r>
    </w:p>
    <w:p>
      <w:pPr>
        <w:spacing w:line="580" w:lineRule="exact"/>
        <w:ind w:firstLine="640" w:firstLineChars="200"/>
        <w:rPr>
          <w:rFonts w:ascii="仿宋_GB2312" w:eastAsia="仿宋_GB2312"/>
          <w:szCs w:val="32"/>
        </w:rPr>
      </w:pPr>
      <w:r>
        <w:rPr>
          <w:rFonts w:hint="eastAsia" w:ascii="黑体" w:hAnsi="黑体" w:eastAsia="黑体"/>
          <w:szCs w:val="32"/>
        </w:rPr>
        <w:t>十四、“三公”经费：</w:t>
      </w:r>
      <w:r>
        <w:rPr>
          <w:rFonts w:hint="eastAsia" w:ascii="仿宋_GB2312" w:eastAsia="仿宋_GB231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按规定保留的公务用车燃料费、维修费、过桥过路费、保险费、安全奖励费用等支出；公务接待费反映单位按规定开支的各类公务接待（含外宾接待）支出。</w:t>
      </w:r>
    </w:p>
    <w:p>
      <w:pPr>
        <w:spacing w:line="580" w:lineRule="exact"/>
        <w:ind w:firstLine="640" w:firstLineChars="200"/>
        <w:rPr>
          <w:rFonts w:ascii="仿宋_GB2312" w:eastAsia="仿宋_GB2312"/>
          <w:szCs w:val="32"/>
        </w:rPr>
      </w:pPr>
      <w:r>
        <w:rPr>
          <w:rFonts w:hint="eastAsia" w:ascii="黑体" w:hAnsi="黑体" w:eastAsia="黑体"/>
          <w:szCs w:val="32"/>
        </w:rPr>
        <w:t>十五、机关运行经费：</w:t>
      </w:r>
      <w:r>
        <w:rPr>
          <w:rFonts w:hint="eastAsia" w:ascii="仿宋_GB2312" w:eastAsia="仿宋_GB2312"/>
          <w:szCs w:val="32"/>
        </w:rPr>
        <w:t>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仿宋_GB2312" w:hAnsi="黑体" w:eastAsia="仿宋_GB2312"/>
          <w:szCs w:val="32"/>
        </w:rPr>
      </w:pPr>
      <w:r>
        <w:rPr>
          <w:rFonts w:hint="eastAsia" w:ascii="黑体" w:hAnsi="黑体" w:eastAsia="黑体"/>
          <w:szCs w:val="32"/>
        </w:rPr>
        <w:t>十六、</w:t>
      </w:r>
      <w:r>
        <w:rPr>
          <w:rFonts w:hint="eastAsia" w:ascii="黑体" w:hAnsi="黑体" w:eastAsia="黑体"/>
          <w:szCs w:val="32"/>
          <w:lang w:eastAsia="zh-CN"/>
        </w:rPr>
        <w:t>社会保障和就业支出</w:t>
      </w:r>
      <w:r>
        <w:rPr>
          <w:rFonts w:hint="eastAsia" w:ascii="黑体" w:hAnsi="黑体" w:eastAsia="黑体"/>
          <w:szCs w:val="32"/>
        </w:rPr>
        <w:t>（类）行政事业单位离退休（款）事业单位离退休（项）：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离退休支出</w:t>
      </w:r>
      <w:r>
        <w:rPr>
          <w:rFonts w:hint="eastAsia" w:ascii="仿宋_GB2312" w:eastAsia="仿宋_GB2312"/>
          <w:szCs w:val="32"/>
        </w:rPr>
        <w:t>。</w:t>
      </w:r>
    </w:p>
    <w:p>
      <w:pPr>
        <w:ind w:firstLine="640" w:firstLineChars="200"/>
        <w:rPr>
          <w:rFonts w:hint="eastAsia" w:ascii="仿宋_GB2312" w:hAnsi="黑体" w:eastAsia="仿宋_GB2312"/>
          <w:szCs w:val="32"/>
        </w:rPr>
      </w:pPr>
      <w:r>
        <w:rPr>
          <w:rFonts w:hint="eastAsia" w:ascii="黑体" w:hAnsi="黑体" w:eastAsia="黑体"/>
          <w:szCs w:val="32"/>
        </w:rPr>
        <w:t>十七、卫生健康支出（类）行政事业单位医疗（款）  行政单位医疗（项）：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医疗</w:t>
      </w:r>
      <w:r>
        <w:rPr>
          <w:rFonts w:hint="eastAsia" w:ascii="仿宋_GB2312" w:eastAsia="仿宋_GB2312"/>
          <w:szCs w:val="32"/>
        </w:rPr>
        <w:t>支出。</w:t>
      </w:r>
    </w:p>
    <w:p>
      <w:pPr>
        <w:ind w:firstLine="640" w:firstLineChars="200"/>
        <w:rPr>
          <w:rFonts w:hint="eastAsia" w:ascii="仿宋_GB2312" w:eastAsia="仿宋_GB2312"/>
          <w:szCs w:val="32"/>
        </w:rPr>
      </w:pPr>
      <w:r>
        <w:rPr>
          <w:rFonts w:hint="eastAsia" w:ascii="黑体" w:hAnsi="黑体" w:eastAsia="黑体"/>
          <w:szCs w:val="32"/>
        </w:rPr>
        <w:t>十</w:t>
      </w:r>
      <w:r>
        <w:rPr>
          <w:rFonts w:hint="eastAsia" w:ascii="黑体" w:hAnsi="黑体" w:eastAsia="黑体"/>
          <w:szCs w:val="32"/>
          <w:lang w:eastAsia="zh-CN"/>
        </w:rPr>
        <w:t>八</w:t>
      </w:r>
      <w:r>
        <w:rPr>
          <w:rFonts w:hint="eastAsia" w:ascii="黑体" w:hAnsi="黑体" w:eastAsia="黑体"/>
          <w:szCs w:val="32"/>
        </w:rPr>
        <w:t>、农林水支出（类）</w:t>
      </w:r>
      <w:r>
        <w:rPr>
          <w:rFonts w:hint="eastAsia" w:ascii="黑体" w:hAnsi="黑体" w:eastAsia="黑体"/>
          <w:szCs w:val="32"/>
          <w:lang w:eastAsia="zh-CN"/>
        </w:rPr>
        <w:t>水利</w:t>
      </w:r>
      <w:r>
        <w:rPr>
          <w:rFonts w:hint="eastAsia" w:ascii="黑体" w:hAnsi="黑体" w:eastAsia="黑体"/>
          <w:szCs w:val="32"/>
        </w:rPr>
        <w:t>（款）</w:t>
      </w:r>
      <w:r>
        <w:rPr>
          <w:rFonts w:hint="eastAsia" w:ascii="黑体" w:hAnsi="黑体" w:eastAsia="黑体"/>
          <w:szCs w:val="32"/>
          <w:lang w:eastAsia="zh-CN"/>
        </w:rPr>
        <w:t>行政运行</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行政运行</w:t>
      </w:r>
      <w:r>
        <w:rPr>
          <w:rFonts w:hint="eastAsia" w:ascii="仿宋_GB2312" w:eastAsia="仿宋_GB2312"/>
          <w:szCs w:val="32"/>
        </w:rPr>
        <w:t>支出。</w:t>
      </w:r>
    </w:p>
    <w:p>
      <w:pPr>
        <w:ind w:firstLine="640" w:firstLineChars="200"/>
        <w:rPr>
          <w:rFonts w:hint="eastAsia" w:ascii="仿宋_GB2312" w:eastAsia="仿宋_GB2312"/>
          <w:szCs w:val="32"/>
        </w:rPr>
      </w:pPr>
      <w:r>
        <w:rPr>
          <w:rFonts w:hint="eastAsia" w:ascii="黑体" w:hAnsi="黑体" w:eastAsia="黑体"/>
          <w:szCs w:val="32"/>
        </w:rPr>
        <w:t>十</w:t>
      </w:r>
      <w:r>
        <w:rPr>
          <w:rFonts w:hint="eastAsia" w:ascii="黑体" w:hAnsi="黑体" w:eastAsia="黑体"/>
          <w:szCs w:val="32"/>
          <w:lang w:eastAsia="zh-CN"/>
        </w:rPr>
        <w:t>九</w:t>
      </w:r>
      <w:r>
        <w:rPr>
          <w:rFonts w:hint="eastAsia" w:ascii="黑体" w:hAnsi="黑体" w:eastAsia="黑体"/>
          <w:szCs w:val="32"/>
        </w:rPr>
        <w:t>、社会保障和就业支出（类）</w:t>
      </w:r>
      <w:r>
        <w:rPr>
          <w:rFonts w:hint="eastAsia" w:ascii="黑体" w:hAnsi="黑体" w:eastAsia="黑体"/>
          <w:szCs w:val="32"/>
          <w:lang w:eastAsia="zh-CN"/>
        </w:rPr>
        <w:t>大中型水库移民后期扶持基金支出</w:t>
      </w:r>
      <w:r>
        <w:rPr>
          <w:rFonts w:hint="eastAsia" w:ascii="黑体" w:hAnsi="黑体" w:eastAsia="黑体"/>
          <w:szCs w:val="32"/>
        </w:rPr>
        <w:t>（款）</w:t>
      </w:r>
      <w:r>
        <w:rPr>
          <w:rFonts w:hint="eastAsia" w:ascii="黑体" w:hAnsi="黑体" w:eastAsia="黑体"/>
          <w:szCs w:val="32"/>
          <w:lang w:eastAsia="zh-CN"/>
        </w:rPr>
        <w:t xml:space="preserve"> 基础设施建设和经济发展</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大中型水库移民建设</w:t>
      </w:r>
      <w:r>
        <w:rPr>
          <w:rFonts w:hint="eastAsia" w:ascii="仿宋_GB2312" w:eastAsia="仿宋_GB2312"/>
          <w:szCs w:val="32"/>
        </w:rPr>
        <w:t>支出。</w:t>
      </w:r>
    </w:p>
    <w:p>
      <w:pPr>
        <w:spacing w:line="580" w:lineRule="exact"/>
        <w:ind w:firstLine="640" w:firstLineChars="200"/>
        <w:rPr>
          <w:rFonts w:ascii="仿宋_GB2312" w:eastAsia="仿宋_GB2312"/>
          <w:b/>
          <w:szCs w:val="32"/>
          <w:highlight w:val="yellow"/>
        </w:rPr>
      </w:pPr>
      <w:r>
        <w:rPr>
          <w:rFonts w:hint="eastAsia" w:ascii="黑体" w:hAnsi="黑体" w:eastAsia="黑体"/>
          <w:szCs w:val="32"/>
          <w:lang w:eastAsia="zh-CN"/>
        </w:rPr>
        <w:t>二十</w:t>
      </w:r>
      <w:r>
        <w:rPr>
          <w:rFonts w:hint="eastAsia" w:ascii="黑体" w:hAnsi="黑体" w:eastAsia="黑体"/>
          <w:szCs w:val="32"/>
        </w:rPr>
        <w:t>、社会保障和就业支出（类）</w:t>
      </w:r>
      <w:r>
        <w:rPr>
          <w:rFonts w:hint="eastAsia" w:ascii="黑体" w:hAnsi="黑体" w:eastAsia="黑体"/>
          <w:szCs w:val="32"/>
          <w:lang w:eastAsia="zh-CN"/>
        </w:rPr>
        <w:t>小型水库移民扶助基金安排的支出</w:t>
      </w:r>
      <w:r>
        <w:rPr>
          <w:rFonts w:hint="eastAsia" w:ascii="黑体" w:hAnsi="黑体" w:eastAsia="黑体"/>
          <w:szCs w:val="32"/>
        </w:rPr>
        <w:t>（款）</w:t>
      </w:r>
      <w:r>
        <w:rPr>
          <w:rFonts w:hint="eastAsia" w:ascii="黑体" w:hAnsi="黑体" w:eastAsia="黑体"/>
          <w:szCs w:val="32"/>
          <w:lang w:eastAsia="zh-CN"/>
        </w:rPr>
        <w:t>基础设施建设和经济发展</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小型水库移民建设</w:t>
      </w:r>
      <w:r>
        <w:rPr>
          <w:rFonts w:hint="eastAsia" w:ascii="仿宋_GB2312" w:eastAsia="仿宋_GB2312"/>
          <w:szCs w:val="32"/>
        </w:rPr>
        <w:t>支出。</w:t>
      </w:r>
    </w:p>
    <w:p>
      <w:pPr>
        <w:spacing w:line="580" w:lineRule="exact"/>
        <w:ind w:firstLine="643" w:firstLineChars="200"/>
        <w:rPr>
          <w:rFonts w:ascii="仿宋_GB2312" w:eastAsia="仿宋_GB2312"/>
          <w:b/>
          <w:szCs w:val="32"/>
          <w:highlight w:val="lightGray"/>
        </w:rPr>
      </w:pPr>
    </w:p>
    <w:p>
      <w:pPr>
        <w:spacing w:line="580" w:lineRule="exact"/>
        <w:ind w:firstLine="540" w:firstLineChars="100"/>
        <w:rPr>
          <w:rFonts w:ascii="方正小标宋简体" w:eastAsia="方正小标宋简体"/>
          <w:spacing w:val="60"/>
          <w:sz w:val="42"/>
        </w:rPr>
      </w:pPr>
    </w:p>
    <w:p>
      <w:pPr>
        <w:spacing w:line="580" w:lineRule="exact"/>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第五部分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 xml:space="preserve">  附  件</w:t>
      </w:r>
    </w:p>
    <w:p>
      <w:pPr>
        <w:tabs>
          <w:tab w:val="left" w:pos="5891"/>
        </w:tabs>
        <w:spacing w:line="580" w:lineRule="exact"/>
        <w:rPr>
          <w:szCs w:val="32"/>
        </w:rPr>
        <w:sectPr>
          <w:pgSz w:w="11906" w:h="16838"/>
          <w:pgMar w:top="2041" w:right="1701" w:bottom="2041" w:left="1701" w:header="851" w:footer="992" w:gutter="0"/>
          <w:cols w:space="720" w:num="1"/>
          <w:docGrid w:type="lines" w:linePitch="312" w:charSpace="0"/>
        </w:sectPr>
      </w:pPr>
    </w:p>
    <w:p>
      <w:pPr>
        <w:spacing w:after="159" w:afterLines="50"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2020年度项目支出绩效自评情况汇总表</w:t>
      </w:r>
    </w:p>
    <w:p>
      <w:pPr>
        <w:spacing w:before="319" w:beforeLines="100" w:line="400" w:lineRule="exact"/>
        <w:ind w:firstLine="140" w:firstLineChars="50"/>
        <w:jc w:val="left"/>
        <w:rPr>
          <w:rFonts w:ascii="楷体_GB2312" w:eastAsia="楷体_GB2312"/>
          <w:sz w:val="28"/>
          <w:szCs w:val="28"/>
          <w:lang w:bidi="ar"/>
        </w:rPr>
      </w:pPr>
      <w:r>
        <w:rPr>
          <w:rFonts w:hint="eastAsia" w:ascii="楷体_GB2312" w:eastAsia="楷体_GB2312"/>
          <w:sz w:val="28"/>
          <w:szCs w:val="28"/>
          <w:lang w:eastAsia="zh-CN" w:bidi="ar"/>
        </w:rPr>
        <w:t>部门</w:t>
      </w:r>
      <w:r>
        <w:rPr>
          <w:rFonts w:hint="eastAsia" w:ascii="楷体_GB2312" w:eastAsia="楷体_GB2312"/>
          <w:sz w:val="28"/>
          <w:szCs w:val="28"/>
          <w:lang w:bidi="ar"/>
        </w:rPr>
        <w:t>：</w:t>
      </w:r>
      <w:r>
        <w:rPr>
          <w:rFonts w:hint="eastAsia" w:ascii="楷体_GB2312" w:eastAsia="楷体_GB2312"/>
          <w:sz w:val="28"/>
          <w:szCs w:val="28"/>
          <w:lang w:eastAsia="zh-CN"/>
        </w:rPr>
        <w:t>淄博市博山区水利局汇总</w:t>
      </w:r>
    </w:p>
    <w:tbl>
      <w:tblPr>
        <w:tblStyle w:val="10"/>
        <w:tblW w:w="0" w:type="auto"/>
        <w:jc w:val="center"/>
        <w:tblLayout w:type="fixed"/>
        <w:tblCellMar>
          <w:top w:w="15" w:type="dxa"/>
          <w:left w:w="15" w:type="dxa"/>
          <w:bottom w:w="15" w:type="dxa"/>
          <w:right w:w="15" w:type="dxa"/>
        </w:tblCellMar>
      </w:tblPr>
      <w:tblGrid>
        <w:gridCol w:w="1702"/>
        <w:gridCol w:w="6166"/>
        <w:gridCol w:w="2644"/>
        <w:gridCol w:w="2302"/>
      </w:tblGrid>
      <w:tr>
        <w:tblPrEx>
          <w:tblCellMar>
            <w:top w:w="15" w:type="dxa"/>
            <w:left w:w="15" w:type="dxa"/>
            <w:bottom w:w="15" w:type="dxa"/>
            <w:right w:w="15" w:type="dxa"/>
          </w:tblCellMar>
        </w:tblPrEx>
        <w:trPr>
          <w:trHeight w:val="57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2644"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自评得分</w:t>
            </w:r>
          </w:p>
        </w:tc>
        <w:tc>
          <w:tcPr>
            <w:tcW w:w="2302"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自评等级</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1</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2020年防汛项目预算</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92.11</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2</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2020年防汛项目预算</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94.9</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3</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河道保洁费</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92.37</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2"/>
                <w:szCs w:val="22"/>
                <w:lang w:val="en-US" w:eastAsia="zh-CN" w:bidi="ar"/>
              </w:rPr>
            </w:pPr>
            <w:r>
              <w:rPr>
                <w:rFonts w:hint="eastAsia" w:ascii="仿宋_GB2312" w:hAnsi="宋体" w:eastAsia="仿宋_GB2312" w:cs="仿宋_GB2312"/>
                <w:color w:val="000000"/>
                <w:kern w:val="0"/>
                <w:sz w:val="22"/>
                <w:szCs w:val="22"/>
                <w:lang w:val="en-US" w:eastAsia="zh-CN" w:bidi="ar"/>
              </w:rPr>
              <w:t>4</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劳务派遣人员工资</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94.86</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2"/>
                <w:szCs w:val="22"/>
                <w:lang w:val="en-US" w:eastAsia="zh-CN" w:bidi="ar"/>
              </w:rPr>
            </w:pPr>
            <w:r>
              <w:rPr>
                <w:rFonts w:hint="eastAsia" w:ascii="仿宋_GB2312" w:hAnsi="宋体" w:eastAsia="仿宋_GB2312" w:cs="仿宋_GB2312"/>
                <w:color w:val="000000"/>
                <w:kern w:val="0"/>
                <w:sz w:val="22"/>
                <w:szCs w:val="22"/>
                <w:lang w:val="en-US" w:eastAsia="zh-CN" w:bidi="ar"/>
              </w:rPr>
              <w:t>5</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重点工程管理经费</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96</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6</w:t>
            </w:r>
          </w:p>
        </w:tc>
        <w:tc>
          <w:tcPr>
            <w:tcW w:w="6166"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eastAsia="zh-CN"/>
              </w:rPr>
              <w:t>大坝安全鉴定</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val="en-US" w:eastAsia="zh-CN"/>
              </w:rPr>
              <w:t>100</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7</w:t>
            </w:r>
          </w:p>
        </w:tc>
        <w:tc>
          <w:tcPr>
            <w:tcW w:w="6166" w:type="dxa"/>
            <w:tcBorders>
              <w:top w:val="single" w:color="000000" w:sz="4" w:space="0"/>
              <w:left w:val="single" w:color="000000" w:sz="4" w:space="0"/>
              <w:bottom w:val="single" w:color="000000" w:sz="4" w:space="0"/>
              <w:right w:val="single" w:color="000000" w:sz="4" w:space="0"/>
            </w:tcBorders>
            <w:vAlign w:val="center"/>
          </w:tcPr>
          <w:p>
            <w:pPr>
              <w:rPr>
                <w:rFonts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eastAsia="zh-CN"/>
              </w:rPr>
              <w:t>淋漓湖水库放水洞维修工程</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val="en-US" w:eastAsia="zh-CN"/>
              </w:rPr>
              <w:t>100</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kern w:val="2"/>
                <w:sz w:val="22"/>
                <w:szCs w:val="22"/>
                <w:lang w:val="en-US" w:eastAsia="zh-CN" w:bidi="ar-SA"/>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8</w:t>
            </w:r>
          </w:p>
        </w:tc>
        <w:tc>
          <w:tcPr>
            <w:tcW w:w="6166"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eastAsia="zh-CN"/>
              </w:rPr>
              <w:t>泷水桥至环科污水处理厂段排污干道清淤维修工程余款</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100</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bl>
    <w:p>
      <w:pPr>
        <w:spacing w:line="400" w:lineRule="exact"/>
        <w:ind w:firstLine="110" w:firstLineChars="50"/>
        <w:jc w:val="left"/>
        <w:rPr>
          <w:rFonts w:ascii="仿宋_GB2312" w:hAnsi="宋体" w:eastAsia="仿宋_GB2312"/>
          <w:sz w:val="22"/>
          <w:szCs w:val="22"/>
          <w:lang w:val="zh-CN"/>
        </w:rPr>
      </w:pPr>
    </w:p>
    <w:p>
      <w:pPr>
        <w:spacing w:line="400" w:lineRule="exact"/>
        <w:ind w:firstLine="815" w:firstLineChars="290"/>
        <w:jc w:val="left"/>
        <w:rPr>
          <w:rFonts w:ascii="仿宋_GB2312" w:eastAsia="仿宋_GB2312"/>
          <w:b/>
          <w:sz w:val="28"/>
          <w:szCs w:val="28"/>
        </w:rPr>
        <w:sectPr>
          <w:pgSz w:w="16838" w:h="11906" w:orient="landscape"/>
          <w:pgMar w:top="1531" w:right="2098" w:bottom="1417" w:left="1871" w:header="851" w:footer="992" w:gutter="0"/>
          <w:cols w:space="720" w:num="1"/>
          <w:docGrid w:type="lines" w:linePitch="319" w:charSpace="0"/>
        </w:sectPr>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center"/>
        <w:rPr>
          <w:rFonts w:hint="default" w:eastAsia="宋体"/>
          <w:lang w:val="en-US" w:eastAsia="zh-CN"/>
        </w:rPr>
      </w:pPr>
      <w:r>
        <w:rPr>
          <w:rFonts w:hint="eastAsia"/>
          <w:lang w:val="en-US" w:eastAsia="zh-CN"/>
        </w:rPr>
        <w:t xml:space="preserve">                                     </w:t>
      </w:r>
      <w:r>
        <w:rPr>
          <w:rFonts w:hint="eastAsia"/>
          <w:sz w:val="22"/>
          <w:szCs w:val="22"/>
          <w:lang w:val="en-US" w:eastAsia="zh-CN"/>
        </w:rPr>
        <w:t xml:space="preserve">       </w:t>
      </w:r>
      <w:r>
        <w:rPr>
          <w:rFonts w:hint="eastAsia"/>
          <w:sz w:val="20"/>
          <w:szCs w:val="20"/>
          <w:lang w:val="en-US" w:eastAsia="zh-CN"/>
        </w:rPr>
        <w:t xml:space="preserve"> 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2020年防汛项目预算</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227.05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47.87</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47.87</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21.08</w:t>
            </w:r>
            <w:r>
              <w:rPr>
                <w:rFonts w:hint="eastAsia" w:ascii="宋体" w:hAnsi="宋体" w:eastAsia="宋体" w:cs="宋体"/>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2.11</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227.05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47.87</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47.87</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21.08</w:t>
            </w: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保证防汛业务正常进行，保障防汛值班室维修维护，保障防汛电子设备维修维护</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保证防汛业务正常进行，保障防汛值班室维修维护，保障防汛电子设备维修维护</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进行2020年山洪灾害运行维护</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1次</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1次</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项目实施后可保护人口数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440000人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440000人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建设防汛仓库</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1处</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1处</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按实施方案及时完成项目</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设备维修维护合格率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防汛费用控制在预算内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227.05万元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50100"/>
                <w:sz w:val="20"/>
                <w:szCs w:val="20"/>
                <w:lang w:val="en-US" w:eastAsia="zh-CN"/>
              </w:rPr>
              <w:t>47.87</w:t>
            </w:r>
            <w:r>
              <w:rPr>
                <w:rFonts w:hint="eastAsia" w:ascii="宋体" w:hAnsi="宋体" w:eastAsia="宋体" w:cs="宋体"/>
                <w:color w:val="050100"/>
                <w:sz w:val="20"/>
                <w:szCs w:val="20"/>
              </w:rPr>
              <w:t>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有效创造防洪效益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保证人民群众的生命财产安全</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保护生态环境</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提升防汛能力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92.11</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center"/>
        <w:rPr>
          <w:rFonts w:hint="default" w:eastAsia="宋体"/>
          <w:sz w:val="20"/>
          <w:szCs w:val="20"/>
          <w:lang w:val="en-US" w:eastAsia="zh-CN"/>
        </w:rPr>
      </w:pPr>
      <w:r>
        <w:rPr>
          <w:rFonts w:hint="eastAsia"/>
          <w:sz w:val="20"/>
          <w:szCs w:val="20"/>
          <w:lang w:val="en-US" w:eastAsia="zh-CN"/>
        </w:rPr>
        <w:t xml:space="preserve">                                                                     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2020年农水项目预算</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733.63</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359.46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359.46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733.63</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359.46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359.46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49%</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为应对干旱天气带来的山区村庄吃水困难，申请资金用于购置管材、水泵等抗旱应急设施。</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解决干旱天气带来的山区村庄吃水困难问题</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农业水价改革面积</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项目完成进度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工程质量</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达标</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达标</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成本控制在预算范围内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733.63万元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359.46万元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完成农业水价改革面积</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完善农业水价体系</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有效支持农业发展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提升抗旱水源保障能力，提高综合抗旱能力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94.9</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河道保洁费</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187.99</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23.72%</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2.37</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187.99</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全区河道保洁工作</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完成全区河道保洁工作</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城区保洁河道公里数（公里）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170公里</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170公里</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城区保洁河道条数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17个</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17个</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河道边坡及时清理、杂树杂草及时清理</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水生植物清理及时性</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河道清洁合格率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河道保洁费预算控制数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187.99万元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44.6万元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维护河道清洁，保证河道周围经济正常运行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提高河道保洁管理水平</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坡面整洁度，无存放垃圾</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无</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无</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保持河道整洁</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92.37</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劳务派遣人员工资</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3.6</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1.75</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1.75</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48.61%</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4.86</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3.6</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1.75</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1.75</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48.61%</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聘用劳务派遣人员，保证单位工作顺利进行</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聘用劳务派遣人员，保证单位工作顺利进行</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聘用劳务派遣人员数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及时发放工资</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工作任务办结率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费用控制在预算内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3.6万元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1.75万元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提高单位工作效率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提高办事效率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保证工作顺利进行，不影响水土保持工作顺利进行，实现生态效益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保证单位工作持续正常进行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单位满意度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94.86</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重点工程管理经费</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10.00</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工程工作经费，保障工程顺利实施</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工程工作经费，保障工程顺利实施</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聘用人员数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按月发放工资</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工资发放率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重点工程管理费用</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30万元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30万元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保障河道周围经济良性发展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发挥经济效益作用有限。改进措施：加强经济调研。</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保障重点水利工程发挥效益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8</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发挥经济效益作用有限。改进措施：加强社会调研。</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保障河道周围生态良性发展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发挥生态效益作用有限。改进措施：加强河岸植被绿化。</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保障重点水利工程顺利实施</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工作人员满意度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96.00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jc w:val="center"/>
        <w:rPr>
          <w:rFonts w:hint="eastAsia"/>
          <w:sz w:val="36"/>
          <w:szCs w:val="36"/>
        </w:rPr>
      </w:pPr>
      <w:r>
        <w:rPr>
          <w:rFonts w:hint="eastAsia"/>
          <w:sz w:val="36"/>
          <w:szCs w:val="36"/>
        </w:rPr>
        <w:t>项目支出绩效自评表</w:t>
      </w:r>
    </w:p>
    <w:p>
      <w:pPr>
        <w:jc w:val="center"/>
      </w:pPr>
      <w:r>
        <w:rPr>
          <w:rFonts w:hint="eastAsia"/>
        </w:rPr>
        <w:t>（2020年度）</w:t>
      </w:r>
    </w:p>
    <w:tbl>
      <w:tblPr>
        <w:tblStyle w:val="10"/>
        <w:tblpPr w:leftFromText="180" w:rightFromText="180" w:vertAnchor="text" w:horzAnchor="page" w:tblpX="1487" w:tblpY="85"/>
        <w:tblOverlap w:val="never"/>
        <w:tblW w:w="9654" w:type="dxa"/>
        <w:tblInd w:w="0"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大坝安全鉴定费</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[152005]博山区淋漓湖水库管理处</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项目预算执行情况（10）</w:t>
            </w:r>
          </w:p>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18"/>
                <w:szCs w:val="18"/>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18</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2.16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2.16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对水库大坝进行安全鉴定，包括大坝安全评价、大坝安全鉴定技术审查和大坝安全鉴定意见审定三个基本程序。</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对水库大坝进行安全鉴定，包括大坝安全评价、大坝安全鉴定技术审查和大坝安全鉴定意见审定三个基本程序。大坝安全类别评定为二类坝。</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年度绩效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水工构筑物检测完成率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水工构筑物检测及时性</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主要设备良好率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大坝安全鉴定费</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18万元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18万元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带动经济发展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提高水利水务运营管理水平水利</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提高河水环境质量</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影响期限</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10年</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10年</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协作单位的满意度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bl>
    <w:p>
      <w:pPr>
        <w:spacing w:line="320" w:lineRule="exact"/>
      </w:pPr>
    </w:p>
    <w:p>
      <w:pPr>
        <w:jc w:val="center"/>
        <w:rPr>
          <w:rFonts w:hint="eastAsia"/>
          <w:sz w:val="36"/>
          <w:szCs w:val="36"/>
        </w:rPr>
      </w:pPr>
      <w:r>
        <w:rPr>
          <w:rFonts w:hint="eastAsia"/>
          <w:sz w:val="36"/>
          <w:szCs w:val="36"/>
        </w:rPr>
        <w:t>项目支出绩效自评表</w:t>
      </w:r>
    </w:p>
    <w:p>
      <w:pPr>
        <w:jc w:val="center"/>
      </w:pPr>
      <w:r>
        <w:rPr>
          <w:rFonts w:hint="eastAsia"/>
        </w:rPr>
        <w:t>（2020年度）</w:t>
      </w:r>
    </w:p>
    <w:tbl>
      <w:tblPr>
        <w:tblStyle w:val="10"/>
        <w:tblpPr w:leftFromText="180" w:rightFromText="180" w:vertAnchor="text" w:horzAnchor="page" w:tblpX="1327" w:tblpY="18"/>
        <w:tblOverlap w:val="never"/>
        <w:tblW w:w="9969" w:type="dxa"/>
        <w:tblInd w:w="0" w:type="dxa"/>
        <w:tblLayout w:type="fixed"/>
        <w:tblCellMar>
          <w:top w:w="15" w:type="dxa"/>
          <w:left w:w="108" w:type="dxa"/>
          <w:bottom w:w="15" w:type="dxa"/>
          <w:right w:w="108" w:type="dxa"/>
        </w:tblCellMar>
      </w:tblPr>
      <w:tblGrid>
        <w:gridCol w:w="421"/>
        <w:gridCol w:w="1100"/>
        <w:gridCol w:w="448"/>
        <w:gridCol w:w="1466"/>
        <w:gridCol w:w="899"/>
        <w:gridCol w:w="595"/>
        <w:gridCol w:w="813"/>
        <w:gridCol w:w="992"/>
        <w:gridCol w:w="825"/>
        <w:gridCol w:w="876"/>
        <w:gridCol w:w="411"/>
        <w:gridCol w:w="1123"/>
      </w:tblGrid>
      <w:tr>
        <w:tblPrEx>
          <w:tblCellMar>
            <w:top w:w="15" w:type="dxa"/>
            <w:left w:w="108" w:type="dxa"/>
            <w:bottom w:w="15" w:type="dxa"/>
            <w:right w:w="108" w:type="dxa"/>
          </w:tblCellMar>
        </w:tblPrEx>
        <w:trPr>
          <w:trHeight w:val="425" w:hRule="atLeast"/>
        </w:trPr>
        <w:tc>
          <w:tcPr>
            <w:tcW w:w="152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项目名称</w:t>
            </w:r>
          </w:p>
        </w:tc>
        <w:tc>
          <w:tcPr>
            <w:tcW w:w="4221"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淋漓湖水库放水洞维修工程</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预算分类</w:t>
            </w:r>
          </w:p>
        </w:tc>
        <w:tc>
          <w:tcPr>
            <w:tcW w:w="323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部门预算</w:t>
            </w:r>
          </w:p>
        </w:tc>
      </w:tr>
      <w:tr>
        <w:tblPrEx>
          <w:tblCellMar>
            <w:top w:w="15" w:type="dxa"/>
            <w:left w:w="108" w:type="dxa"/>
            <w:bottom w:w="15" w:type="dxa"/>
            <w:right w:w="108" w:type="dxa"/>
          </w:tblCellMar>
        </w:tblPrEx>
        <w:trPr>
          <w:trHeight w:val="425" w:hRule="atLeast"/>
        </w:trPr>
        <w:tc>
          <w:tcPr>
            <w:tcW w:w="152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主管部门及代码</w:t>
            </w:r>
          </w:p>
        </w:tc>
        <w:tc>
          <w:tcPr>
            <w:tcW w:w="4221"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[152]水务口</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实施单位</w:t>
            </w:r>
          </w:p>
        </w:tc>
        <w:tc>
          <w:tcPr>
            <w:tcW w:w="3235"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[152005]博山区淋漓湖水库管理处</w:t>
            </w:r>
          </w:p>
        </w:tc>
      </w:tr>
      <w:tr>
        <w:tblPrEx>
          <w:tblCellMar>
            <w:top w:w="15" w:type="dxa"/>
            <w:left w:w="108" w:type="dxa"/>
            <w:bottom w:w="15" w:type="dxa"/>
            <w:right w:w="108" w:type="dxa"/>
          </w:tblCellMar>
        </w:tblPrEx>
        <w:trPr>
          <w:trHeight w:val="425" w:hRule="atLeast"/>
        </w:trPr>
        <w:tc>
          <w:tcPr>
            <w:tcW w:w="1521" w:type="dxa"/>
            <w:gridSpan w:val="2"/>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项目预算执行情况（10）</w:t>
            </w:r>
          </w:p>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914"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899"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年初预算数</w:t>
            </w:r>
          </w:p>
        </w:tc>
        <w:tc>
          <w:tcPr>
            <w:tcW w:w="1408"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全年预算数</w:t>
            </w:r>
          </w:p>
        </w:tc>
        <w:tc>
          <w:tcPr>
            <w:tcW w:w="992"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全年执行数</w:t>
            </w:r>
          </w:p>
        </w:tc>
        <w:tc>
          <w:tcPr>
            <w:tcW w:w="825"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执行率</w:t>
            </w:r>
          </w:p>
        </w:tc>
        <w:tc>
          <w:tcPr>
            <w:tcW w:w="112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得分</w:t>
            </w:r>
          </w:p>
        </w:tc>
      </w:tr>
      <w:tr>
        <w:tblPrEx>
          <w:tblCellMar>
            <w:top w:w="15" w:type="dxa"/>
            <w:left w:w="108" w:type="dxa"/>
            <w:bottom w:w="15" w:type="dxa"/>
            <w:right w:w="108" w:type="dxa"/>
          </w:tblCellMar>
        </w:tblPrEx>
        <w:trPr>
          <w:trHeight w:val="425" w:hRule="atLeast"/>
        </w:trPr>
        <w:tc>
          <w:tcPr>
            <w:tcW w:w="1521"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18"/>
                <w:szCs w:val="18"/>
              </w:rPr>
            </w:pPr>
          </w:p>
        </w:tc>
        <w:tc>
          <w:tcPr>
            <w:tcW w:w="1914"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年度资金总额</w:t>
            </w:r>
          </w:p>
        </w:tc>
        <w:tc>
          <w:tcPr>
            <w:tcW w:w="899"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13.56</w:t>
            </w:r>
          </w:p>
        </w:tc>
        <w:tc>
          <w:tcPr>
            <w:tcW w:w="1408"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0.47</w:t>
            </w:r>
          </w:p>
        </w:tc>
        <w:tc>
          <w:tcPr>
            <w:tcW w:w="992"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0.47</w:t>
            </w:r>
          </w:p>
        </w:tc>
        <w:tc>
          <w:tcPr>
            <w:tcW w:w="825"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100.00%</w:t>
            </w:r>
          </w:p>
        </w:tc>
        <w:tc>
          <w:tcPr>
            <w:tcW w:w="112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w:t>
            </w:r>
          </w:p>
        </w:tc>
      </w:tr>
      <w:tr>
        <w:tblPrEx>
          <w:tblCellMar>
            <w:top w:w="15" w:type="dxa"/>
            <w:left w:w="108" w:type="dxa"/>
            <w:bottom w:w="15" w:type="dxa"/>
            <w:right w:w="108" w:type="dxa"/>
          </w:tblCellMar>
        </w:tblPrEx>
        <w:trPr>
          <w:trHeight w:val="425" w:hRule="atLeast"/>
        </w:trPr>
        <w:tc>
          <w:tcPr>
            <w:tcW w:w="1521"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914"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rPr>
              <w:t>一、本级财政资金</w:t>
            </w:r>
          </w:p>
        </w:tc>
        <w:tc>
          <w:tcPr>
            <w:tcW w:w="899"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13.56</w:t>
            </w:r>
          </w:p>
        </w:tc>
        <w:tc>
          <w:tcPr>
            <w:tcW w:w="1408"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0.47</w:t>
            </w:r>
          </w:p>
        </w:tc>
        <w:tc>
          <w:tcPr>
            <w:tcW w:w="992"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0.47</w:t>
            </w:r>
          </w:p>
        </w:tc>
        <w:tc>
          <w:tcPr>
            <w:tcW w:w="825"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100.00%</w:t>
            </w:r>
          </w:p>
        </w:tc>
        <w:tc>
          <w:tcPr>
            <w:tcW w:w="112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1521"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914"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二、上级财政资金</w:t>
            </w:r>
          </w:p>
        </w:tc>
        <w:tc>
          <w:tcPr>
            <w:tcW w:w="899"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408"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992"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12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1521"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914"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三、其他资金</w:t>
            </w:r>
          </w:p>
        </w:tc>
        <w:tc>
          <w:tcPr>
            <w:tcW w:w="899"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408"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992"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12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年度总体目标</w:t>
            </w:r>
          </w:p>
        </w:tc>
        <w:tc>
          <w:tcPr>
            <w:tcW w:w="5321"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年初预期目标</w:t>
            </w:r>
          </w:p>
        </w:tc>
        <w:tc>
          <w:tcPr>
            <w:tcW w:w="4227"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p>
        </w:tc>
        <w:tc>
          <w:tcPr>
            <w:tcW w:w="5321" w:type="dxa"/>
            <w:gridSpan w:val="6"/>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主要放水洞闸阀更换</w:t>
            </w:r>
          </w:p>
        </w:tc>
        <w:tc>
          <w:tcPr>
            <w:tcW w:w="4227" w:type="dxa"/>
            <w:gridSpan w:val="5"/>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放水洞闸阀更换，放水洞前增设笼头，坝前放水洞平台拆除外运，人工拆除管理房外运，人工拆除混凝土外运，钢管拆除，购置安装Φ500内衬塑镀锌钢管，购置安装Φ500蝶阀，拆除原阀门房，新建阀门房。</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年度绩效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指标（90分）</w:t>
            </w:r>
          </w:p>
        </w:tc>
        <w:tc>
          <w:tcPr>
            <w:tcW w:w="1548"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一级指标</w:t>
            </w:r>
          </w:p>
        </w:tc>
        <w:tc>
          <w:tcPr>
            <w:tcW w:w="1466"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二级指标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三级指标</w:t>
            </w:r>
          </w:p>
        </w:tc>
        <w:tc>
          <w:tcPr>
            <w:tcW w:w="813"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年度指标值</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实际完成值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分值</w:t>
            </w:r>
          </w:p>
        </w:tc>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得分</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防水洞维修（项）</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1项</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1项</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及时投运率</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项目验收合格率</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水文报汛及时准确率</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97%</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97%</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0.00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成本指标</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淋漓湖水库放水洞维修工程经费</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8.14万元</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8.14万元</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经济效益</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无直接经济效益影响</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有</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有</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社会效益</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提高水利水务运营管理水平水利</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生态效益</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提高年蓄水保水效益水</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安全运行率</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调度指令执行率</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0.00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567"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548"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满意度指标（10分）</w:t>
            </w:r>
          </w:p>
        </w:tc>
        <w:tc>
          <w:tcPr>
            <w:tcW w:w="1466"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社会公众或服务对象满意度</w:t>
            </w:r>
          </w:p>
        </w:tc>
        <w:tc>
          <w:tcPr>
            <w:tcW w:w="149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服务对象满意度</w:t>
            </w:r>
          </w:p>
        </w:tc>
        <w:tc>
          <w:tcPr>
            <w:tcW w:w="813"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992"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122" w:hRule="atLeast"/>
        </w:trPr>
        <w:tc>
          <w:tcPr>
            <w:tcW w:w="6734" w:type="dxa"/>
            <w:gridSpan w:val="8"/>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总分</w:t>
            </w:r>
          </w:p>
        </w:tc>
        <w:tc>
          <w:tcPr>
            <w:tcW w:w="825"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100.00</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bl>
    <w:p>
      <w:pPr>
        <w:jc w:val="center"/>
        <w:rPr>
          <w:rFonts w:hint="eastAsia"/>
          <w:sz w:val="36"/>
          <w:szCs w:val="36"/>
        </w:rPr>
      </w:pPr>
      <w:r>
        <w:rPr>
          <w:rFonts w:hint="eastAsia"/>
          <w:sz w:val="36"/>
          <w:szCs w:val="36"/>
        </w:rPr>
        <w:t>项目支出绩效自评表</w:t>
      </w:r>
    </w:p>
    <w:p>
      <w:pPr>
        <w:jc w:val="center"/>
      </w:pPr>
      <w:r>
        <w:rPr>
          <w:rFonts w:hint="eastAsia"/>
        </w:rPr>
        <w:t>（2020年度）</w:t>
      </w:r>
    </w:p>
    <w:tbl>
      <w:tblPr>
        <w:tblStyle w:val="10"/>
        <w:tblW w:w="10150" w:type="dxa"/>
        <w:tblInd w:w="-405" w:type="dxa"/>
        <w:tblLayout w:type="fixed"/>
        <w:tblCellMar>
          <w:top w:w="15" w:type="dxa"/>
          <w:left w:w="108" w:type="dxa"/>
          <w:bottom w:w="15" w:type="dxa"/>
          <w:right w:w="108" w:type="dxa"/>
        </w:tblCellMar>
      </w:tblPr>
      <w:tblGrid>
        <w:gridCol w:w="934"/>
        <w:gridCol w:w="1083"/>
        <w:gridCol w:w="533"/>
        <w:gridCol w:w="984"/>
        <w:gridCol w:w="133"/>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项目名称</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泷水桥至环科污水处理厂段排污干道清淤维修工程余款</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部门预算</w:t>
            </w:r>
          </w:p>
        </w:tc>
      </w:tr>
      <w:tr>
        <w:tblPrEx>
          <w:tblCellMar>
            <w:top w:w="15" w:type="dxa"/>
            <w:left w:w="108" w:type="dxa"/>
            <w:bottom w:w="15" w:type="dxa"/>
            <w:right w:w="108" w:type="dxa"/>
          </w:tblCellMar>
        </w:tblPrEx>
        <w:trPr>
          <w:trHeight w:val="425" w:hRule="atLeast"/>
        </w:trPr>
        <w:tc>
          <w:tcPr>
            <w:tcW w:w="20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主管部门及代码</w:t>
            </w:r>
          </w:p>
        </w:tc>
        <w:tc>
          <w:tcPr>
            <w:tcW w:w="405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sz w:val="18"/>
                <w:szCs w:val="18"/>
              </w:rPr>
              <w:t>[152002]淄博市博山区河道管理处</w:t>
            </w:r>
          </w:p>
        </w:tc>
      </w:tr>
      <w:tr>
        <w:tblPrEx>
          <w:tblCellMar>
            <w:top w:w="15" w:type="dxa"/>
            <w:left w:w="108" w:type="dxa"/>
            <w:bottom w:w="15" w:type="dxa"/>
            <w:right w:w="108" w:type="dxa"/>
          </w:tblCellMar>
        </w:tblPrEx>
        <w:trPr>
          <w:trHeight w:val="425" w:hRule="atLeast"/>
        </w:trPr>
        <w:tc>
          <w:tcPr>
            <w:tcW w:w="2017" w:type="dxa"/>
            <w:gridSpan w:val="2"/>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项目预算执行情况（10）</w:t>
            </w:r>
          </w:p>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得分</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r>
              <w:rPr>
                <w:rFonts w:hint="eastAsia" w:ascii="宋体" w:hAnsi="宋体" w:eastAsia="宋体" w:cs="宋体"/>
                <w:kern w:val="0"/>
                <w:sz w:val="18"/>
                <w:szCs w:val="18"/>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0.39</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2017" w:type="dxa"/>
            <w:gridSpan w:val="2"/>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18"/>
                <w:szCs w:val="18"/>
              </w:rPr>
            </w:pPr>
          </w:p>
        </w:tc>
        <w:tc>
          <w:tcPr>
            <w:tcW w:w="1650" w:type="dxa"/>
            <w:gridSpan w:val="3"/>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w:t>
            </w:r>
          </w:p>
        </w:tc>
      </w:tr>
      <w:tr>
        <w:tblPrEx>
          <w:tblCellMar>
            <w:top w:w="15" w:type="dxa"/>
            <w:left w:w="108" w:type="dxa"/>
            <w:bottom w:w="15" w:type="dxa"/>
            <w:right w:w="108" w:type="dxa"/>
          </w:tblCellMar>
        </w:tblPrEx>
        <w:trPr>
          <w:trHeight w:val="425" w:hRule="atLeast"/>
        </w:trPr>
        <w:tc>
          <w:tcPr>
            <w:tcW w:w="934"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年度总体目标</w:t>
            </w:r>
          </w:p>
        </w:tc>
        <w:tc>
          <w:tcPr>
            <w:tcW w:w="513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目标实际完成情况</w:t>
            </w:r>
          </w:p>
        </w:tc>
      </w:tr>
      <w:tr>
        <w:tblPrEx>
          <w:tblCellMar>
            <w:top w:w="15" w:type="dxa"/>
            <w:left w:w="108" w:type="dxa"/>
            <w:bottom w:w="15" w:type="dxa"/>
            <w:right w:w="108" w:type="dxa"/>
          </w:tblCellMar>
        </w:tblPrEx>
        <w:trPr>
          <w:trHeight w:val="495" w:hRule="atLeast"/>
        </w:trPr>
        <w:tc>
          <w:tcPr>
            <w:tcW w:w="934"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p>
        </w:tc>
        <w:tc>
          <w:tcPr>
            <w:tcW w:w="513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泷水桥至环科污水处理厂段排污干道清淤维修</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确保排污干道顺畅运行</w:t>
            </w:r>
          </w:p>
        </w:tc>
      </w:tr>
      <w:tr>
        <w:tblPrEx>
          <w:tblCellMar>
            <w:top w:w="15" w:type="dxa"/>
            <w:left w:w="108" w:type="dxa"/>
            <w:bottom w:w="15" w:type="dxa"/>
            <w:right w:w="108" w:type="dxa"/>
          </w:tblCellMar>
        </w:tblPrEx>
        <w:trPr>
          <w:trHeight w:val="425" w:hRule="atLeast"/>
        </w:trPr>
        <w:tc>
          <w:tcPr>
            <w:tcW w:w="9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kern w:val="0"/>
                <w:sz w:val="18"/>
                <w:szCs w:val="18"/>
              </w:rPr>
              <w:t>年度绩效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指标（90分）</w:t>
            </w:r>
          </w:p>
        </w:tc>
        <w:tc>
          <w:tcPr>
            <w:tcW w:w="1616"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一级指标</w:t>
            </w:r>
          </w:p>
        </w:tc>
        <w:tc>
          <w:tcPr>
            <w:tcW w:w="984"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二级指标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偏差原因分析及改进措施</w:t>
            </w: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清淤河道数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1条</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数量指标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河底淤泥</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530米</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完工日期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时效指标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河道清淤工程施工工期</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1年</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质量指标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验收质量合格率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项目产出（50分）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成本指标</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设计监理费</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3.25万元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0.39万元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经济效益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提升生态形象</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提升</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提高清淤河道行洪排涝能力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生态效益</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改善清淤河道水环境</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项目效益（30分）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可持续影响</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确保出水断面达标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934"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18"/>
                <w:szCs w:val="18"/>
              </w:rPr>
            </w:pPr>
          </w:p>
        </w:tc>
        <w:tc>
          <w:tcPr>
            <w:tcW w:w="1616"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满意度指标（10分）</w:t>
            </w:r>
          </w:p>
        </w:tc>
        <w:tc>
          <w:tcPr>
            <w:tcW w:w="984"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社会公众或服务对象满意度</w:t>
            </w:r>
          </w:p>
        </w:tc>
        <w:tc>
          <w:tcPr>
            <w:tcW w:w="1646"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市民对工程实施效果的满意度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r>
        <w:tblPrEx>
          <w:tblCellMar>
            <w:top w:w="15" w:type="dxa"/>
            <w:left w:w="108" w:type="dxa"/>
            <w:bottom w:w="15" w:type="dxa"/>
            <w:right w:w="108" w:type="dxa"/>
          </w:tblCellMar>
        </w:tblPrEx>
        <w:trPr>
          <w:trHeight w:val="425" w:hRule="atLeast"/>
        </w:trPr>
        <w:tc>
          <w:tcPr>
            <w:tcW w:w="6955"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50100"/>
                <w:sz w:val="18"/>
                <w:szCs w:val="18"/>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18"/>
                <w:szCs w:val="18"/>
                <w:lang w:val="en-US" w:eastAsia="zh-CN"/>
              </w:rPr>
            </w:pPr>
          </w:p>
        </w:tc>
      </w:tr>
    </w:tbl>
    <w:p>
      <w:pPr>
        <w:bidi w:val="0"/>
        <w:jc w:val="left"/>
        <w:rPr>
          <w:rFonts w:ascii="Times New Roman" w:hAnsi="Times New Roman" w:eastAsia="宋体" w:cs="Times New Roman"/>
          <w:kern w:val="2"/>
          <w:sz w:val="32"/>
          <w:szCs w:val="24"/>
          <w:lang w:val="en-US" w:eastAsia="zh-CN" w:bidi="ar-SA"/>
        </w:rPr>
      </w:pPr>
    </w:p>
    <w:p>
      <w:pPr>
        <w:overflowPunct w:val="0"/>
        <w:adjustRightInd w:val="0"/>
        <w:snapToGrid w:val="0"/>
        <w:spacing w:line="580" w:lineRule="exact"/>
        <w:jc w:val="center"/>
        <w:outlineLvl w:val="0"/>
        <w:rPr>
          <w:rFonts w:ascii="方正小标宋简体" w:eastAsia="方正小标宋简体"/>
          <w:sz w:val="44"/>
          <w:szCs w:val="44"/>
        </w:rPr>
      </w:pPr>
      <w:r>
        <w:rPr>
          <w:rFonts w:hint="eastAsia" w:ascii="方正小标宋简体" w:hAnsi="方正小标宋简体" w:eastAsia="方正小标宋简体" w:cs="方正小标宋简体"/>
          <w:kern w:val="0"/>
          <w:sz w:val="44"/>
          <w:szCs w:val="44"/>
        </w:rPr>
        <w:t>20</w:t>
      </w:r>
      <w:r>
        <w:rPr>
          <w:rFonts w:hint="eastAsia" w:ascii="方正小标宋简体" w:hAnsi="方正小标宋简体" w:eastAsia="方正小标宋简体" w:cs="方正小标宋简体"/>
          <w:kern w:val="0"/>
          <w:sz w:val="44"/>
          <w:szCs w:val="44"/>
          <w:lang w:val="en-US" w:eastAsia="zh-CN"/>
        </w:rPr>
        <w:t>20</w:t>
      </w:r>
      <w:r>
        <w:rPr>
          <w:rFonts w:hint="eastAsia" w:ascii="方正小标宋简体" w:hAnsi="方正小标宋简体" w:eastAsia="方正小标宋简体" w:cs="方正小标宋简体"/>
          <w:sz w:val="44"/>
          <w:szCs w:val="44"/>
        </w:rPr>
        <w:t>年度</w:t>
      </w:r>
      <w:r>
        <w:rPr>
          <w:rFonts w:hint="eastAsia" w:ascii="方正小标宋简体" w:eastAsia="方正小标宋简体"/>
          <w:sz w:val="44"/>
          <w:szCs w:val="44"/>
          <w:lang w:eastAsia="zh-CN"/>
        </w:rPr>
        <w:t>农水项目</w:t>
      </w:r>
      <w:r>
        <w:rPr>
          <w:rFonts w:hint="eastAsia" w:ascii="方正小标宋简体" w:eastAsia="方正小标宋简体"/>
          <w:sz w:val="44"/>
          <w:szCs w:val="44"/>
        </w:rPr>
        <w:t>绩效评价报告</w:t>
      </w:r>
    </w:p>
    <w:p>
      <w:pPr>
        <w:overflowPunct w:val="0"/>
        <w:adjustRightInd w:val="0"/>
        <w:snapToGrid w:val="0"/>
        <w:spacing w:line="580" w:lineRule="exact"/>
        <w:jc w:val="center"/>
        <w:rPr>
          <w:rFonts w:ascii="方正小标宋简体" w:eastAsia="方正小标宋简体"/>
          <w:sz w:val="44"/>
          <w:szCs w:val="44"/>
        </w:rPr>
      </w:pPr>
    </w:p>
    <w:p>
      <w:pPr>
        <w:pStyle w:val="21"/>
        <w:widowControl w:val="0"/>
        <w:overflowPunct w:val="0"/>
        <w:spacing w:line="580" w:lineRule="exact"/>
        <w:ind w:firstLine="640"/>
        <w:rPr>
          <w:rFonts w:hAnsi="黑体" w:eastAsia="黑体"/>
          <w:sz w:val="32"/>
          <w:szCs w:val="32"/>
          <w:lang w:val="en-US" w:eastAsia="zh-CN"/>
        </w:rPr>
      </w:pPr>
      <w:r>
        <w:rPr>
          <w:rFonts w:hint="eastAsia" w:hAnsi="黑体" w:eastAsia="黑体"/>
          <w:sz w:val="32"/>
          <w:szCs w:val="32"/>
          <w:lang w:val="en-US" w:eastAsia="zh-CN"/>
        </w:rPr>
        <w:t>一、项目基本情况</w:t>
      </w:r>
    </w:p>
    <w:p>
      <w:pPr>
        <w:pStyle w:val="21"/>
        <w:widowControl w:val="0"/>
        <w:overflowPunct w:val="0"/>
        <w:spacing w:line="580" w:lineRule="exact"/>
        <w:ind w:firstLine="640"/>
        <w:rPr>
          <w:rFonts w:ascii="楷体_GB2312" w:hAnsi="黑体" w:eastAsia="楷体_GB2312"/>
          <w:sz w:val="32"/>
          <w:szCs w:val="32"/>
          <w:lang w:val="en-US" w:eastAsia="zh-CN"/>
        </w:rPr>
      </w:pPr>
      <w:r>
        <w:rPr>
          <w:rFonts w:hint="eastAsia" w:ascii="楷体_GB2312" w:hAnsi="黑体" w:eastAsia="楷体_GB2312"/>
          <w:sz w:val="32"/>
          <w:szCs w:val="32"/>
          <w:lang w:val="en-US" w:eastAsia="zh-CN"/>
        </w:rPr>
        <w:t>（一）项目立项政策背景及实施的目的</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当前，水利工程的发展趋势主要包含以下几个方面：</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(1)防治水灾的工程措施与非工程措施进一步结合，非工程措钟占据 着越来越重要的地位；</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(2 ) 7K资源的开发利用将进一步向综合性、多目标发展；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(3 )水利工程不仅要满足日益增长的人民生活和工农业生产发展的需 要，而且要更多地为保护环境服务；</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(4)大区域、大范围的水资源调配工程，如跨流域引水工程，将进一 步发展；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(5)由于新的勘探技术、新的分析计算和监测试验手段以及新材料、 新工艺的发展，复杂地基和高水头水工建筑物将随之得到发展；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(6)水资源和水利工程的统一管理、统一调度将逐步加强。</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（二）预算支出情况</w:t>
      </w:r>
    </w:p>
    <w:p>
      <w:pPr>
        <w:overflowPunct w:val="0"/>
        <w:adjustRightInd w:val="0"/>
        <w:snapToGrid w:val="0"/>
        <w:spacing w:line="580" w:lineRule="exact"/>
        <w:ind w:firstLine="64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eastAsia="zh-CN"/>
        </w:rPr>
        <w:t>农水</w:t>
      </w:r>
      <w:r>
        <w:rPr>
          <w:rFonts w:hint="eastAsia" w:ascii="仿宋_GB2312" w:hAnsi="仿宋_GB2312" w:eastAsia="仿宋_GB2312" w:cs="仿宋_GB2312"/>
          <w:szCs w:val="32"/>
        </w:rPr>
        <w:t>项目20</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年度预算拨付资金总额</w:t>
      </w:r>
      <w:r>
        <w:rPr>
          <w:rFonts w:hint="eastAsia" w:ascii="仿宋_GB2312" w:hAnsi="仿宋_GB2312" w:eastAsia="仿宋_GB2312" w:cs="仿宋_GB2312"/>
          <w:szCs w:val="32"/>
          <w:lang w:val="en-US" w:eastAsia="zh-CN"/>
        </w:rPr>
        <w:t>733.63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，预算支出</w:t>
      </w:r>
      <w:r>
        <w:rPr>
          <w:rFonts w:hint="eastAsia" w:ascii="仿宋_GB2312" w:hAnsi="仿宋_GB2312" w:eastAsia="仿宋_GB2312" w:cs="仿宋_GB2312"/>
          <w:szCs w:val="32"/>
          <w:lang w:val="en-US" w:eastAsia="zh-CN"/>
        </w:rPr>
        <w:t>733.63万元。</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（三）项目绩效目标</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1.项目绩效总目标</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农水项目</w:t>
      </w:r>
      <w:r>
        <w:rPr>
          <w:rFonts w:hint="eastAsia" w:ascii="仿宋_GB2312" w:hAnsi="仿宋_GB2312" w:eastAsia="仿宋_GB2312" w:cs="仿宋_GB2312"/>
          <w:szCs w:val="32"/>
        </w:rPr>
        <w:t>的总目标是，水质达标率整体有较大提高；进一步提高供水保障程度，推进城镇供水公共服务向农村延伸。健全农村供水工程运行管护机制，逐步实现良性可持续运行，全面推进工程管理体制和运行机制改革；建立健全区级农村供水管理机构、农村供水专业化服务体系、合理水价形成机制、信息化管理、工程运行管护经费保障机制和水质检测监测体系；依法划定水源保护区或保护范围。</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2.项目</w:t>
      </w:r>
      <w:r>
        <w:rPr>
          <w:rFonts w:hint="eastAsia" w:ascii="仿宋_GB2312" w:hAnsi="仿宋_GB2312" w:eastAsia="仿宋_GB2312" w:cs="仿宋_GB2312"/>
          <w:szCs w:val="32"/>
          <w:lang w:val="en-US" w:eastAsia="zh-CN"/>
        </w:rPr>
        <w:t>2020</w:t>
      </w:r>
      <w:r>
        <w:rPr>
          <w:rFonts w:hint="eastAsia" w:ascii="仿宋_GB2312" w:hAnsi="仿宋_GB2312" w:eastAsia="仿宋_GB2312" w:cs="仿宋_GB2312"/>
          <w:szCs w:val="32"/>
        </w:rPr>
        <w:t>年度绩效目标</w:t>
      </w:r>
    </w:p>
    <w:p>
      <w:pPr>
        <w:overflowPunct w:val="0"/>
        <w:adjustRightInd w:val="0"/>
        <w:snapToGrid w:val="0"/>
        <w:spacing w:line="58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解决干旱天气带来的山区村庄吃水困难问题。</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二、绩效评价工作开展情况</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（一）评价的范围和目的</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为扎实推进农村饮水安全巩固提升工程工作，确保将农村饮水安全专项资金落到实处，取得实效。通过对项目的投入、过程、产出和效果四个方面进行客观、公正的评价，总结项目实施过程中的经验，发现问题，提出改进该项目立项投入、组织实施、运行管理的具体建议，进一步加强项目管理，提高财政资金的使用效益，为下一步预算资金安排提供重要参考。</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（二）评价依据</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 《关于印发&lt;农村饮水安全工程建设管理办法&gt;的通知》（发改农经〔2013〕2673号）；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 关于印发&lt;山东省农村公共供水工程维修资金筹集和使用管理暂行办法&gt;的通知》（鲁财农〔2014〕26号）；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 《山东省农村饮水安全巩固提升工程“十三五”规划》；</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 《关于做好2017年农村饮水安全巩固提升工程工作的通知》（鲁水农字〔2017〕10号）；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 《关于印发&lt;山东省农村饮水安全巩固提升工作评估办法&gt;的通知》（鲁水农字〔2018〕8号）；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 《财政部关于印发&lt;财政支出绩效评价管理暂行办法&gt;的通知》（财预〔2011〕285号）；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 项目申报书、项目实施方案、项目规划书及设计图纸、投标文件及相关合同、工程预决算文件、项目验收报告等有关项目管理的文件；财政资金预算指标文、资金到位及支出凭证等财务管理资料；</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w:t>
      </w:r>
      <w:r>
        <w:rPr>
          <w:rFonts w:hint="eastAsia"/>
          <w:kern w:val="2"/>
          <w:sz w:val="32"/>
          <w:szCs w:val="32"/>
        </w:rPr>
        <w:t> </w:t>
      </w:r>
      <w:r>
        <w:rPr>
          <w:rFonts w:hint="eastAsia" w:ascii="仿宋_GB2312" w:hAnsi="仿宋_GB2312" w:eastAsia="仿宋_GB2312" w:cs="仿宋_GB2312"/>
          <w:kern w:val="2"/>
          <w:sz w:val="32"/>
          <w:szCs w:val="32"/>
        </w:rPr>
        <w:t>其他资料。</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（三）评价指标体系</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绩效评价指标体系的设置以《财政部关于印发&lt;预算绩效评价共性指标体系框架&gt;的通知》（财预〔2013〕53号）中的项目支出绩效评价共性指标体系框架为基础，结合项目实际，采用德尔菲法和层析分析法设置一、二级指标的权重，吸收专家意见确定了三、四级指标的权重，从项目的投入、过程、产出和效果四个方面设计了评价指标，指标体系由一级至四级指标及分值、指标解释、评价标准、证据来源、评价方式5个部分组成。</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（四）评价方法</w:t>
      </w:r>
    </w:p>
    <w:p>
      <w:pPr>
        <w:overflowPunct w:val="0"/>
        <w:adjustRightInd w:val="0"/>
        <w:snapToGrid w:val="0"/>
        <w:spacing w:line="580" w:lineRule="exact"/>
        <w:ind w:firstLine="640"/>
        <w:rPr>
          <w:szCs w:val="32"/>
        </w:rPr>
      </w:pPr>
      <w:r>
        <w:rPr>
          <w:rFonts w:hint="eastAsia" w:ascii="仿宋_GB2312" w:hAnsi="仿宋_GB2312" w:eastAsia="仿宋_GB2312" w:cs="仿宋_GB2312"/>
          <w:szCs w:val="32"/>
        </w:rPr>
        <w:t>本次绩效评价采用的方法主要有比较法、专家评议法、公众评判法等。在遵循客观性、可操作性和有效性原则的基础上，通过文本资料审核，采用比较法、访谈法和公众评判法等方法获取数据并进行评价。</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三、评价结论情况</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（一）综合评价结论</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本次项目进行了绩效评价，全部项目总体上立项规范、目标合理；专项资金到达项目县及时；各项目业务和财务管理制度比较健全，执行较为有效；项目建设内容完成质量基本合格；项目实施取得了较为明显的社会效益、环境效益和可持续影响，服务对象满意度较高。经综合评分，该项目得分为</w:t>
      </w:r>
      <w:r>
        <w:rPr>
          <w:rFonts w:hint="eastAsia" w:ascii="仿宋_GB2312" w:hAnsi="仿宋_GB2312" w:eastAsia="仿宋_GB2312" w:cs="仿宋_GB2312"/>
          <w:szCs w:val="32"/>
          <w:lang w:val="en-US" w:eastAsia="zh-CN"/>
        </w:rPr>
        <w:t>94.9</w:t>
      </w:r>
      <w:r>
        <w:rPr>
          <w:rFonts w:hint="eastAsia" w:ascii="仿宋_GB2312" w:hAnsi="仿宋_GB2312" w:eastAsia="仿宋_GB2312" w:cs="仿宋_GB2312"/>
          <w:szCs w:val="32"/>
        </w:rPr>
        <w:t>分，绩效等级为“</w:t>
      </w:r>
      <w:r>
        <w:rPr>
          <w:rFonts w:hint="eastAsia" w:ascii="仿宋_GB2312" w:hAnsi="仿宋_GB2312" w:eastAsia="仿宋_GB2312" w:cs="仿宋_GB2312"/>
          <w:szCs w:val="32"/>
          <w:lang w:eastAsia="zh-CN"/>
        </w:rPr>
        <w:t>优</w:t>
      </w:r>
      <w:r>
        <w:rPr>
          <w:rFonts w:hint="eastAsia" w:ascii="仿宋_GB2312" w:hAnsi="仿宋_GB2312" w:eastAsia="仿宋_GB2312" w:cs="仿宋_GB2312"/>
          <w:szCs w:val="32"/>
        </w:rPr>
        <w:t>”。</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（二）绩效分析</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评价组依据项目单位提供的所有项目相关资料，以经过审核的基础数据表和相关支撑性证明材料为依据，结合现场评价结果以及各种公开数据的汇总、分析，对项目进行评价。</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1.产出绩效明显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项目完成质量合格，建设内容的工程质量基本达到规划设计标准，项目产出成本控制在预算之内，项目产出绩效目标完成率较高。</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 效益绩效明显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社会效益较明显。该项目的实施为项目区居民生活提供了便利，提高了居民生产生活水平；首先，铺设及更换管道管网，提高自来水普及率；其次，实施自来水入户工程，增加集中供水点，提高居民用水方便程度。</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环境效益较突出。项目完成后，项目地区的自来水水质达标率较上一年有了大幅度提升。各项目单位制定了饮水水源地保护规划，明确了水源地的保护原则、规划实施的内容及标准。同时对保护区进行了划分，并采取在水源保护区设立地理界标、警示标志和隔离设施等保护措施，进一步加强了水源区保护意识，该项目的实施对水源保护效果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该项目效益可持续影响较显著。项目单位通过制定运行管理制度、筹集维修经费、设立领导小组等措施，建立了较为健全的长效运行机制，基本能保障项目后续运行。项目实施后预期效果明显，能够提高水源的水质，提升居民饮水卫生水平，进一步改善居民水源环境，提高水资源节约率，促进农村社会和谐发展，增强农村居民的生活安全感和幸福感，产生的社会效益和环境效益的可持续影响程度较显著。</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（三）取得的成效</w:t>
      </w:r>
    </w:p>
    <w:p>
      <w:pPr>
        <w:overflowPunct w:val="0"/>
        <w:adjustRightInd w:val="0"/>
        <w:snapToGrid w:val="0"/>
        <w:spacing w:line="580" w:lineRule="exact"/>
        <w:ind w:firstLine="640"/>
        <w:rPr>
          <w:szCs w:val="32"/>
        </w:rPr>
      </w:pPr>
      <w:r>
        <w:rPr>
          <w:rFonts w:hint="eastAsia" w:ascii="仿宋_GB2312" w:hAnsi="仿宋_GB2312" w:eastAsia="仿宋_GB2312" w:cs="仿宋_GB2312"/>
          <w:szCs w:val="32"/>
        </w:rPr>
        <w:t>第一，水利基础设施建设实现重大跨越。第二，涉及民生的水利问题加快解决。第三，水资源管理和保护取得重要突破。第四，依法治水管水进程不断加快。</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（四）存在的问题</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（一）绩效目标管理不够规范</w:t>
      </w:r>
    </w:p>
    <w:p>
      <w:pPr>
        <w:pStyle w:val="8"/>
        <w:shd w:val="clear" w:color="auto" w:fill="FFFFFF"/>
        <w:spacing w:before="0" w:beforeAutospacing="0" w:after="0" w:afterAutospacing="0" w:line="480" w:lineRule="atLeast"/>
        <w:ind w:firstLine="643" w:firstLineChars="201"/>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评价发现，各项目单位对绩效目标的表述角度各异，年度目标设置不够清晰，绩效指标尤其是效益指标设定不够合理，细化、量化程度不足。同时各项目单位未及时收集供水保障程度、用水方便程度等绩效信息，导致主管部门及评价机构无法有效统计分析专项整体效益。</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（二）工程管理有待完善</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个别项目进度相对滞后，部分项目单位进度管理缺失，未制定明确的进度计划和进度控制措施，出现影响进度的因素时未及时采取纠偏措施或提出延期申请。</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四、意见建议</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（一）进一步强化项目绩效管理</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是设立科学合理的绩效目标和指标。建议各项目单位在立项之初，根据项目建设内容、预算情况、实施条件以及项目特点填报绩效目标申报表，确保长期和年度绩效目标编制格式规范、内容合理。二是加强绩效动态管理，及时收集绩效信息。建议主管部门，进一步完善绩效信息收集制度和绩效跟踪监督机制。各项目单位在着眼于实现绩效目标的前提下开展工作，重视绩效总结工作，收集项目立项、论证评审、过程检查、资金监控等过程文件以及项目成果、效果等方面的绩效资料，实现项目绩效目标管理全过程可申诉、可查询、可追溯的痕迹管理。</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（二）进一步提升项目工程管理水平</w:t>
      </w:r>
    </w:p>
    <w:p>
      <w:pPr>
        <w:pStyle w:val="8"/>
        <w:shd w:val="clear" w:color="auto" w:fill="FFFFFF"/>
        <w:spacing w:before="0" w:beforeAutospacing="0" w:after="0" w:afterAutospacing="0" w:line="480" w:lineRule="atLeast"/>
        <w:ind w:firstLine="480"/>
        <w:rPr>
          <w:rFonts w:hint="eastAsia" w:ascii="微软雅黑" w:hAnsi="微软雅黑" w:eastAsia="微软雅黑"/>
          <w:color w:val="333333"/>
          <w:sz w:val="18"/>
          <w:szCs w:val="18"/>
        </w:rPr>
      </w:pPr>
      <w:r>
        <w:rPr>
          <w:rFonts w:hint="eastAsia" w:ascii="仿宋_GB2312" w:hAnsi="仿宋_GB2312" w:eastAsia="仿宋_GB2312" w:cs="仿宋_GB2312"/>
          <w:kern w:val="2"/>
          <w:sz w:val="32"/>
          <w:szCs w:val="32"/>
        </w:rPr>
        <w:t>建议各级主管部门在现有政策法规框架下，进一步完善项目监督机制，当项目实际进度、质量与绩效目标出现偏差时及时采取纠偏措施，确保预期目标全部实现。项目单位在实施过程中及时收集项目信息，规范工程变更、阶段性验收和竣工验收程序，完善项目过程资料，为后期管护和项目效益可持续发挥提供有力保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文星简仿宋">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773"/>
    <w:rsid w:val="00053C64"/>
    <w:rsid w:val="00115443"/>
    <w:rsid w:val="001E06E2"/>
    <w:rsid w:val="001E3742"/>
    <w:rsid w:val="00280B9A"/>
    <w:rsid w:val="002F4E5A"/>
    <w:rsid w:val="00314773"/>
    <w:rsid w:val="00340D64"/>
    <w:rsid w:val="003D5BCB"/>
    <w:rsid w:val="005972E0"/>
    <w:rsid w:val="006658FE"/>
    <w:rsid w:val="00704EB5"/>
    <w:rsid w:val="007177EF"/>
    <w:rsid w:val="00773F22"/>
    <w:rsid w:val="007A67C5"/>
    <w:rsid w:val="007F0AEF"/>
    <w:rsid w:val="008E24D4"/>
    <w:rsid w:val="00923380"/>
    <w:rsid w:val="009E0860"/>
    <w:rsid w:val="00A12F4D"/>
    <w:rsid w:val="00A204EA"/>
    <w:rsid w:val="00AA3299"/>
    <w:rsid w:val="00AB73E6"/>
    <w:rsid w:val="00B52518"/>
    <w:rsid w:val="00B54D70"/>
    <w:rsid w:val="00BA42CA"/>
    <w:rsid w:val="00C0481A"/>
    <w:rsid w:val="00CF67CD"/>
    <w:rsid w:val="00D75B08"/>
    <w:rsid w:val="00DD1239"/>
    <w:rsid w:val="00EA76BD"/>
    <w:rsid w:val="0C447DC7"/>
    <w:rsid w:val="0C7C5518"/>
    <w:rsid w:val="118A03CA"/>
    <w:rsid w:val="15C22E8B"/>
    <w:rsid w:val="1E003690"/>
    <w:rsid w:val="216F1BA8"/>
    <w:rsid w:val="270C205A"/>
    <w:rsid w:val="3AB158DF"/>
    <w:rsid w:val="412E4223"/>
    <w:rsid w:val="4BE727BB"/>
    <w:rsid w:val="4E5E0162"/>
    <w:rsid w:val="4F4B3776"/>
    <w:rsid w:val="5183515C"/>
    <w:rsid w:val="52D374C2"/>
    <w:rsid w:val="5895662D"/>
    <w:rsid w:val="5F9D1332"/>
    <w:rsid w:val="6363259B"/>
    <w:rsid w:val="6AFD3D53"/>
    <w:rsid w:val="6ED73B41"/>
    <w:rsid w:val="72AB5727"/>
    <w:rsid w:val="75D93683"/>
    <w:rsid w:val="79D15538"/>
    <w:rsid w:val="7AF35161"/>
    <w:rsid w:val="7BFD2A45"/>
    <w:rsid w:val="7F6F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7"/>
    <w:qFormat/>
    <w:uiPriority w:val="0"/>
    <w:rPr>
      <w:rFonts w:ascii="宋体" w:hAnsiTheme="minorHAnsi" w:eastAsiaTheme="minorEastAsia" w:cstheme="minorBidi"/>
      <w:sz w:val="18"/>
      <w:szCs w:val="18"/>
    </w:rPr>
  </w:style>
  <w:style w:type="paragraph" w:styleId="3">
    <w:name w:val="Body Text Indent 2"/>
    <w:basedOn w:val="1"/>
    <w:link w:val="18"/>
    <w:qFormat/>
    <w:uiPriority w:val="0"/>
    <w:pPr>
      <w:ind w:firstLine="640" w:firstLineChars="200"/>
    </w:pPr>
    <w:rPr>
      <w:rFonts w:ascii="楷体_GB2312" w:hAnsi="Courier New" w:eastAsia="楷体_GB2312" w:cstheme="minorBidi"/>
      <w:szCs w:val="22"/>
    </w:rPr>
  </w:style>
  <w:style w:type="paragraph" w:styleId="4">
    <w:name w:val="Balloon Text"/>
    <w:basedOn w:val="1"/>
    <w:link w:val="23"/>
    <w:semiHidden/>
    <w:qFormat/>
    <w:uiPriority w:val="0"/>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Subtitle"/>
    <w:basedOn w:val="1"/>
    <w:next w:val="1"/>
    <w:link w:val="19"/>
    <w:qFormat/>
    <w:uiPriority w:val="11"/>
    <w:pPr>
      <w:spacing w:before="240" w:after="60" w:line="312" w:lineRule="auto"/>
      <w:jc w:val="center"/>
      <w:outlineLvl w:val="1"/>
    </w:pPr>
    <w:rPr>
      <w:rFonts w:ascii="Cambria" w:hAnsi="Cambria" w:eastAsiaTheme="minorEastAsia"/>
      <w:b/>
      <w:bCs/>
      <w:kern w:val="28"/>
      <w:szCs w:val="32"/>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Title"/>
    <w:basedOn w:val="1"/>
    <w:next w:val="1"/>
    <w:link w:val="15"/>
    <w:qFormat/>
    <w:uiPriority w:val="0"/>
    <w:pPr>
      <w:spacing w:before="240" w:after="60"/>
      <w:jc w:val="center"/>
      <w:outlineLvl w:val="0"/>
    </w:pPr>
    <w:rPr>
      <w:rFonts w:ascii="Cambria" w:hAnsi="Cambria" w:eastAsiaTheme="minorEastAsia"/>
      <w:b/>
      <w:bCs/>
      <w:szCs w:val="32"/>
    </w:rPr>
  </w:style>
  <w:style w:type="character" w:styleId="12">
    <w:name w:val="page number"/>
    <w:qFormat/>
    <w:uiPriority w:val="0"/>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Char"/>
    <w:link w:val="9"/>
    <w:qFormat/>
    <w:uiPriority w:val="0"/>
    <w:rPr>
      <w:rFonts w:ascii="Cambria" w:hAnsi="Cambria" w:cs="Times New Roman"/>
      <w:b/>
      <w:bCs/>
      <w:sz w:val="32"/>
      <w:szCs w:val="32"/>
    </w:rPr>
  </w:style>
  <w:style w:type="character" w:customStyle="1" w:styleId="16">
    <w:name w:val="样式 仿宋 三号 Char"/>
    <w:qFormat/>
    <w:uiPriority w:val="0"/>
    <w:rPr>
      <w:rFonts w:ascii="仿宋" w:hAnsi="仿宋" w:eastAsia="仿宋" w:cs="宋体"/>
      <w:kern w:val="2"/>
      <w:sz w:val="32"/>
      <w:lang w:val="en-US" w:eastAsia="zh-CN" w:bidi="ar-SA"/>
    </w:rPr>
  </w:style>
  <w:style w:type="character" w:customStyle="1" w:styleId="17">
    <w:name w:val="文档结构图 Char"/>
    <w:link w:val="2"/>
    <w:qFormat/>
    <w:uiPriority w:val="0"/>
    <w:rPr>
      <w:rFonts w:ascii="宋体"/>
      <w:sz w:val="18"/>
      <w:szCs w:val="18"/>
    </w:rPr>
  </w:style>
  <w:style w:type="character" w:customStyle="1" w:styleId="18">
    <w:name w:val="正文文本缩进 2 Char"/>
    <w:link w:val="3"/>
    <w:qFormat/>
    <w:uiPriority w:val="0"/>
    <w:rPr>
      <w:rFonts w:ascii="楷体_GB2312" w:hAnsi="Courier New" w:eastAsia="楷体_GB2312"/>
      <w:sz w:val="32"/>
    </w:rPr>
  </w:style>
  <w:style w:type="character" w:customStyle="1" w:styleId="19">
    <w:name w:val="副标题 Char"/>
    <w:link w:val="7"/>
    <w:qFormat/>
    <w:uiPriority w:val="11"/>
    <w:rPr>
      <w:rFonts w:ascii="Cambria" w:hAnsi="Cambria" w:cs="Times New Roman"/>
      <w:b/>
      <w:bCs/>
      <w:kern w:val="28"/>
      <w:sz w:val="32"/>
      <w:szCs w:val="32"/>
    </w:rPr>
  </w:style>
  <w:style w:type="character" w:customStyle="1" w:styleId="20">
    <w:name w:val="p0{858D7CFB-ED40-4347-BF05-701D383B685F}"/>
    <w:link w:val="21"/>
    <w:qFormat/>
    <w:uiPriority w:val="0"/>
    <w:rPr>
      <w:kern w:val="0"/>
      <w:szCs w:val="21"/>
    </w:rPr>
  </w:style>
  <w:style w:type="paragraph" w:customStyle="1" w:styleId="21">
    <w:name w:val="p0"/>
    <w:basedOn w:val="1"/>
    <w:link w:val="20"/>
    <w:qFormat/>
    <w:uiPriority w:val="0"/>
    <w:pPr>
      <w:widowControl/>
    </w:pPr>
    <w:rPr>
      <w:rFonts w:asciiTheme="minorHAnsi" w:hAnsiTheme="minorHAnsi" w:eastAsiaTheme="minorEastAsia" w:cstheme="minorBidi"/>
      <w:kern w:val="0"/>
      <w:sz w:val="21"/>
      <w:szCs w:val="21"/>
    </w:rPr>
  </w:style>
  <w:style w:type="character" w:customStyle="1" w:styleId="22">
    <w:name w:val="页码1"/>
    <w:qFormat/>
    <w:uiPriority w:val="0"/>
  </w:style>
  <w:style w:type="character" w:customStyle="1" w:styleId="23">
    <w:name w:val="批注框文本 Char"/>
    <w:basedOn w:val="11"/>
    <w:link w:val="4"/>
    <w:semiHidden/>
    <w:qFormat/>
    <w:uiPriority w:val="0"/>
    <w:rPr>
      <w:rFonts w:ascii="Times New Roman" w:hAnsi="Times New Roman" w:eastAsia="宋体" w:cs="Times New Roman"/>
      <w:sz w:val="18"/>
      <w:szCs w:val="18"/>
    </w:rPr>
  </w:style>
  <w:style w:type="paragraph" w:customStyle="1" w:styleId="24">
    <w:name w:val="Char"/>
    <w:basedOn w:val="1"/>
    <w:qFormat/>
    <w:uiPriority w:val="0"/>
    <w:pPr>
      <w:widowControl/>
      <w:jc w:val="left"/>
    </w:pPr>
  </w:style>
  <w:style w:type="character" w:customStyle="1" w:styleId="25">
    <w:name w:val="正文文本缩进 2 Char1"/>
    <w:basedOn w:val="11"/>
    <w:semiHidden/>
    <w:qFormat/>
    <w:uiPriority w:val="99"/>
    <w:rPr>
      <w:rFonts w:ascii="Times New Roman" w:hAnsi="Times New Roman" w:eastAsia="宋体" w:cs="Times New Roman"/>
      <w:sz w:val="32"/>
      <w:szCs w:val="24"/>
    </w:rPr>
  </w:style>
  <w:style w:type="character" w:customStyle="1" w:styleId="26">
    <w:name w:val="文档结构图 Char1"/>
    <w:basedOn w:val="11"/>
    <w:semiHidden/>
    <w:qFormat/>
    <w:uiPriority w:val="99"/>
    <w:rPr>
      <w:rFonts w:ascii="宋体" w:hAnsi="Times New Roman" w:eastAsia="宋体" w:cs="Times New Roman"/>
      <w:sz w:val="18"/>
      <w:szCs w:val="18"/>
    </w:rPr>
  </w:style>
  <w:style w:type="character" w:customStyle="1" w:styleId="27">
    <w:name w:val="标题 Char1"/>
    <w:basedOn w:val="11"/>
    <w:qFormat/>
    <w:uiPriority w:val="10"/>
    <w:rPr>
      <w:rFonts w:eastAsia="宋体" w:asciiTheme="majorHAnsi" w:hAnsiTheme="majorHAnsi" w:cstheme="majorBidi"/>
      <w:b/>
      <w:bCs/>
      <w:sz w:val="32"/>
      <w:szCs w:val="32"/>
    </w:rPr>
  </w:style>
  <w:style w:type="character" w:customStyle="1" w:styleId="28">
    <w:name w:val="副标题 Char1"/>
    <w:basedOn w:val="11"/>
    <w:qFormat/>
    <w:uiPriority w:val="11"/>
    <w:rPr>
      <w:rFonts w:eastAsia="宋体" w:asciiTheme="majorHAnsi" w:hAnsiTheme="majorHAnsi" w:cstheme="majorBidi"/>
      <w:b/>
      <w:bCs/>
      <w:kern w:val="28"/>
      <w:sz w:val="32"/>
      <w:szCs w:val="32"/>
    </w:rPr>
  </w:style>
  <w:style w:type="paragraph" w:customStyle="1" w:styleId="29">
    <w:name w:val="p17"/>
    <w:basedOn w:val="1"/>
    <w:qFormat/>
    <w:uiPriority w:val="0"/>
    <w:pPr>
      <w:widowControl/>
    </w:pPr>
    <w:rPr>
      <w:rFonts w:ascii="宋体" w:hAnsi="宋体" w:cs="宋体"/>
      <w:kern w:val="0"/>
      <w:szCs w:val="21"/>
    </w:rPr>
  </w:style>
  <w:style w:type="paragraph" w:customStyle="1" w:styleId="30">
    <w:name w:val="Char Char Char Char"/>
    <w:basedOn w:val="1"/>
    <w:qFormat/>
    <w:uiPriority w:val="0"/>
  </w:style>
  <w:style w:type="paragraph" w:customStyle="1" w:styleId="31">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6.bin"/><Relationship Id="rId15" Type="http://schemas.openxmlformats.org/officeDocument/2006/relationships/image" Target="media/image4.e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75</Pages>
  <Words>20457</Words>
  <Characters>24560</Characters>
  <Lines>108</Lines>
  <Paragraphs>30</Paragraphs>
  <TotalTime>2</TotalTime>
  <ScaleCrop>false</ScaleCrop>
  <LinksUpToDate>false</LinksUpToDate>
  <CharactersWithSpaces>25661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2021-08-16T09:56:00Z</dcterms:created>
  <dc:creator>1</dc:creator>
  <cp:lastModifiedBy>修身养性</cp:lastModifiedBy>
  <dcterms:modified xsi:type="dcterms:W3CDTF">2022-04-08T08:14:27Z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CFF74341E2554FD2898C1CB6D0EFB79E</vt:lpwstr>
  </property>
</Properties>
</file>