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12"/>
        <w:keepNext w:val="false"/>
        <w:keepLines w:val="false"/>
        <w:pageBreakBefore w:val="false"/>
        <w:widowControl w:val="false"/>
        <w:kinsoku w:val="true"/>
        <w:overflowPunct w:val="true"/>
        <w:autoSpaceDE w:val="true"/>
        <w:bidi w:val="0"/>
        <w:snapToGrid w:val="true"/>
        <w:spacing w:lineRule="exact" w:line="240" w:before="0" w:after="0"/>
        <w:ind w:left="0" w:right="0" w:hanging="0"/>
        <w:jc w:val="both"/>
        <w:textAlignment w:val="auto"/>
        <w:rPr>
          <w:rFonts w:ascii="仿宋_GB2312;仿宋" w:hAnsi="仿宋_GB2312;仿宋" w:eastAsia="仿宋_GB2312;仿宋" w:cs="仿宋_GB2312;仿宋"/>
          <w:sz w:val="32"/>
          <w:szCs w:val="32"/>
        </w:rPr>
      </w:pPr>
      <w:r>
        <w:rPr>
          <w:rFonts w:eastAsia="仿宋_GB2312;仿宋" w:cs="仿宋_GB2312;仿宋" w:ascii="仿宋_GB2312;仿宋" w:hAnsi="仿宋_GB2312;仿宋"/>
          <w:sz w:val="32"/>
          <w:szCs w:val="32"/>
        </w:rPr>
      </w:r>
    </w:p>
    <w:p>
      <w:pPr>
        <w:pStyle w:val="Normal"/>
        <w:keepNext w:val="false"/>
        <w:keepLines w:val="false"/>
        <w:pageBreakBefore w:val="false"/>
        <w:widowControl w:val="false"/>
        <w:kinsoku w:val="true"/>
        <w:overflowPunct w:val="true"/>
        <w:autoSpaceDE w:val="true"/>
        <w:bidi w:val="0"/>
        <w:snapToGrid w:val="true"/>
        <w:spacing w:lineRule="exact" w:line="740" w:before="0" w:after="0"/>
        <w:ind w:left="0" w:right="0" w:hanging="0"/>
        <w:jc w:val="center"/>
        <w:textAlignment w:val="auto"/>
        <w:rPr/>
      </w:pPr>
      <w:r>
        <w:rPr>
          <w:rFonts w:ascii="方正小标宋_GBK;微软雅黑" w:hAnsi="方正小标宋_GBK;微软雅黑" w:cs="宋体" w:eastAsia="方正小标宋_GBK;微软雅黑"/>
          <w:kern w:val="0"/>
          <w:sz w:val="60"/>
          <w:szCs w:val="60"/>
        </w:rPr>
        <w:t>区</w:t>
      </w:r>
      <w:r>
        <w:rPr>
          <w:rFonts w:ascii="方正小标宋_GBK;微软雅黑" w:hAnsi="方正小标宋_GBK;微软雅黑" w:cs="宋体" w:eastAsia="方正小标宋_GBK;微软雅黑"/>
          <w:kern w:val="0"/>
          <w:sz w:val="60"/>
          <w:szCs w:val="60"/>
          <w:lang w:val="en-US" w:eastAsia="zh-CN"/>
        </w:rPr>
        <w:t>水利局</w:t>
      </w:r>
      <w:r>
        <w:rPr>
          <w:rFonts w:ascii="方正小标宋_GBK;微软雅黑" w:hAnsi="方正小标宋_GBK;微软雅黑" w:cs="宋体" w:eastAsia="方正小标宋_GBK;微软雅黑"/>
          <w:kern w:val="0"/>
          <w:sz w:val="60"/>
          <w:szCs w:val="60"/>
        </w:rPr>
        <w:t>政务公开事项目录</w:t>
      </w:r>
    </w:p>
    <w:p>
      <w:pPr>
        <w:pStyle w:val="Normal"/>
        <w:spacing w:lineRule="exact" w:line="400"/>
        <w:ind w:left="0" w:right="0" w:firstLine="31680"/>
        <w:jc w:val="left"/>
        <w:rPr>
          <w:rFonts w:ascii="楷体_GB2312;楷体" w:hAnsi="楷体_GB2312;楷体" w:eastAsia="楷体_GB2312;楷体" w:cs="宋体"/>
          <w:kern w:val="0"/>
          <w:sz w:val="40"/>
          <w:szCs w:val="40"/>
        </w:rPr>
      </w:pPr>
      <w:r>
        <w:rPr>
          <w:rFonts w:ascii="楷体_GB2312;楷体" w:hAnsi="楷体_GB2312;楷体" w:cs="宋体" w:eastAsia="楷体_GB2312;楷体"/>
          <w:kern w:val="0"/>
          <w:sz w:val="40"/>
          <w:szCs w:val="40"/>
        </w:rPr>
        <w:t>本</w:t>
      </w:r>
    </w:p>
    <w:p>
      <w:pPr>
        <w:pStyle w:val="Normal"/>
        <w:spacing w:lineRule="exact" w:line="240"/>
        <w:rPr>
          <w:rFonts w:ascii="方正小标宋_GBK;微软雅黑" w:hAnsi="方正小标宋_GBK;微软雅黑" w:eastAsia="方正小标宋_GBK;微软雅黑" w:cs="方正小标宋_GBK;微软雅黑"/>
          <w:kern w:val="0"/>
          <w:sz w:val="60"/>
          <w:szCs w:val="60"/>
        </w:rPr>
      </w:pPr>
      <w:r>
        <w:rPr>
          <w:rFonts w:eastAsia="方正小标宋_GBK;微软雅黑" w:cs="方正小标宋_GBK;微软雅黑" w:ascii="方正小标宋_GBK;微软雅黑" w:hAnsi="方正小标宋_GBK;微软雅黑"/>
          <w:kern w:val="0"/>
          <w:sz w:val="60"/>
          <w:szCs w:val="60"/>
        </w:rPr>
      </w:r>
    </w:p>
    <w:tbl>
      <w:tblPr>
        <w:tblW w:w="20760" w:type="dxa"/>
        <w:jc w:val="center"/>
        <w:tblInd w:w="0" w:type="dxa"/>
        <w:tblLayout w:type="fixed"/>
        <w:tblCellMar>
          <w:top w:w="57" w:type="dxa"/>
          <w:left w:w="57" w:type="dxa"/>
          <w:bottom w:w="57" w:type="dxa"/>
          <w:right w:w="57" w:type="dxa"/>
        </w:tblCellMar>
      </w:tblPr>
      <w:tblGrid>
        <w:gridCol w:w="529"/>
        <w:gridCol w:w="798"/>
        <w:gridCol w:w="1476"/>
        <w:gridCol w:w="1524"/>
        <w:gridCol w:w="2595"/>
        <w:gridCol w:w="2729"/>
        <w:gridCol w:w="2410"/>
        <w:gridCol w:w="2409"/>
        <w:gridCol w:w="2410"/>
        <w:gridCol w:w="974"/>
        <w:gridCol w:w="850"/>
        <w:gridCol w:w="850"/>
        <w:gridCol w:w="1206"/>
      </w:tblGrid>
      <w:tr>
        <w:trPr>
          <w:tblHeader w:val="true"/>
          <w:trHeight w:val="397" w:hRule="atLeast"/>
        </w:trPr>
        <w:tc>
          <w:tcPr>
            <w:tcW w:w="5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ind w:left="0" w:right="0" w:hanging="0"/>
              <w:jc w:val="center"/>
              <w:rPr>
                <w:rFonts w:eastAsia="方正黑体_GBK;微软雅黑"/>
                <w:kern w:val="0"/>
                <w:sz w:val="26"/>
                <w:szCs w:val="26"/>
              </w:rPr>
            </w:pPr>
            <w:r>
              <w:rPr>
                <w:rFonts w:eastAsia="方正黑体_GBK;微软雅黑"/>
                <w:kern w:val="0"/>
                <w:sz w:val="26"/>
                <w:szCs w:val="26"/>
              </w:rPr>
              <w:t>序号</w:t>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过程</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60"/>
              <w:jc w:val="center"/>
              <w:rPr>
                <w:rFonts w:eastAsia="方正黑体_GBK;微软雅黑"/>
                <w:kern w:val="0"/>
                <w:sz w:val="26"/>
                <w:szCs w:val="26"/>
              </w:rPr>
            </w:pPr>
            <w:r>
              <w:rPr>
                <w:rFonts w:eastAsia="方正黑体_GBK;微软雅黑"/>
                <w:kern w:val="0"/>
                <w:sz w:val="26"/>
                <w:szCs w:val="26"/>
              </w:rPr>
              <w:t>公开事项</w:t>
            </w:r>
          </w:p>
        </w:tc>
        <w:tc>
          <w:tcPr>
            <w:tcW w:w="25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rPr>
                <w:rFonts w:eastAsia="方正黑体_GBK;微软雅黑"/>
                <w:kern w:val="0"/>
                <w:sz w:val="26"/>
                <w:szCs w:val="26"/>
              </w:rPr>
            </w:pPr>
            <w:r>
              <w:rPr>
                <w:rFonts w:eastAsia="方正黑体_GBK;微软雅黑"/>
                <w:kern w:val="0"/>
                <w:sz w:val="26"/>
                <w:szCs w:val="26"/>
              </w:rPr>
              <w:t>公开内容（要素）</w:t>
            </w:r>
          </w:p>
        </w:tc>
        <w:tc>
          <w:tcPr>
            <w:tcW w:w="27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rFonts w:eastAsia="方正黑体_GBK;微软雅黑"/>
                <w:kern w:val="0"/>
                <w:sz w:val="26"/>
                <w:szCs w:val="26"/>
              </w:rPr>
              <w:t>公</w:t>
            </w:r>
            <w:r>
              <w:rPr>
                <w:rFonts w:eastAsia="Times New Roman"/>
                <w:kern w:val="0"/>
                <w:sz w:val="26"/>
                <w:szCs w:val="26"/>
              </w:rPr>
              <w:t xml:space="preserve">  </w:t>
            </w:r>
            <w:r>
              <w:rPr>
                <w:rFonts w:eastAsia="方正黑体_GBK;微软雅黑"/>
                <w:kern w:val="0"/>
                <w:sz w:val="26"/>
                <w:szCs w:val="26"/>
              </w:rPr>
              <w:t>开</w:t>
            </w:r>
            <w:r>
              <w:rPr>
                <w:rFonts w:eastAsia="Times New Roman"/>
                <w:kern w:val="0"/>
                <w:sz w:val="26"/>
                <w:szCs w:val="26"/>
              </w:rPr>
              <w:t xml:space="preserve">  </w:t>
            </w:r>
            <w:r>
              <w:rPr>
                <w:rFonts w:eastAsia="方正黑体_GBK;微软雅黑"/>
                <w:kern w:val="0"/>
                <w:sz w:val="26"/>
                <w:szCs w:val="26"/>
              </w:rPr>
              <w:t>依</w:t>
            </w:r>
            <w:r>
              <w:rPr>
                <w:rFonts w:eastAsia="Times New Roman"/>
                <w:kern w:val="0"/>
                <w:sz w:val="26"/>
                <w:szCs w:val="26"/>
              </w:rPr>
              <w:t xml:space="preserve">  </w:t>
            </w:r>
            <w:r>
              <w:rPr>
                <w:rFonts w:eastAsia="方正黑体_GBK;微软雅黑"/>
                <w:kern w:val="0"/>
                <w:sz w:val="26"/>
                <w:szCs w:val="26"/>
              </w:rPr>
              <w:t>据</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公开时限</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公开主体</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公开渠道和载体</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公开对象</w:t>
            </w:r>
          </w:p>
        </w:tc>
        <w:tc>
          <w:tcPr>
            <w:tcW w:w="20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公开方式</w:t>
            </w:r>
          </w:p>
        </w:tc>
      </w:tr>
      <w:tr>
        <w:trPr>
          <w:tblHeader w:val="true"/>
          <w:trHeight w:val="397" w:hRule="atLeast"/>
        </w:trPr>
        <w:tc>
          <w:tcPr>
            <w:tcW w:w="5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ind w:left="0" w:right="0" w:hanging="0"/>
              <w:jc w:val="center"/>
              <w:rPr>
                <w:rFonts w:eastAsia="方正黑体_GBK;微软雅黑"/>
                <w:kern w:val="0"/>
                <w:sz w:val="26"/>
                <w:szCs w:val="26"/>
              </w:rPr>
            </w:pPr>
            <w:r>
              <w:rPr>
                <w:rFonts w:eastAsia="方正黑体_GBK;微软雅黑"/>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rPr>
            </w:pPr>
            <w:r>
              <w:rPr>
                <w:rFonts w:eastAsia="方正黑体_GBK;微软雅黑"/>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一级目录</w:t>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二级目录</w:t>
            </w:r>
          </w:p>
        </w:tc>
        <w:tc>
          <w:tcPr>
            <w:tcW w:w="2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rFonts w:eastAsia="方正黑体_GBK;微软雅黑"/>
                <w:kern w:val="0"/>
                <w:sz w:val="26"/>
                <w:szCs w:val="26"/>
              </w:rPr>
            </w:pPr>
            <w:r>
              <w:rPr>
                <w:rFonts w:eastAsia="方正黑体_GBK;微软雅黑"/>
                <w:kern w:val="0"/>
                <w:sz w:val="26"/>
                <w:szCs w:val="26"/>
              </w:rPr>
            </w:r>
          </w:p>
        </w:tc>
        <w:tc>
          <w:tcPr>
            <w:tcW w:w="2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rPr>
            </w:pPr>
            <w:r>
              <w:rPr>
                <w:rFonts w:eastAsia="方正黑体_GBK;微软雅黑"/>
                <w:kern w:val="0"/>
                <w:sz w:val="26"/>
                <w:szCs w:val="26"/>
              </w:rPr>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rPr>
            </w:pPr>
            <w:r>
              <w:rPr>
                <w:rFonts w:eastAsia="方正黑体_GBK;微软雅黑"/>
                <w:kern w:val="0"/>
                <w:sz w:val="26"/>
                <w:szCs w:val="26"/>
              </w:rPr>
            </w:r>
          </w:p>
        </w:tc>
        <w:tc>
          <w:tcPr>
            <w:tcW w:w="24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rPr>
            </w:pPr>
            <w:r>
              <w:rPr>
                <w:rFonts w:eastAsia="方正黑体_GBK;微软雅黑"/>
                <w:kern w:val="0"/>
                <w:sz w:val="26"/>
                <w:szCs w:val="26"/>
              </w:rPr>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rFonts w:eastAsia="方正黑体_GBK;微软雅黑"/>
                <w:kern w:val="0"/>
                <w:sz w:val="26"/>
                <w:szCs w:val="26"/>
              </w:rPr>
            </w:pPr>
            <w:r>
              <w:rPr>
                <w:rFonts w:eastAsia="方正黑体_GBK;微软雅黑"/>
                <w:kern w:val="0"/>
                <w:sz w:val="26"/>
                <w:szCs w:val="26"/>
              </w:rPr>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全社会</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特定群众</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主动</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依申</w:t>
            </w:r>
          </w:p>
          <w:p>
            <w:pPr>
              <w:pStyle w:val="Normal"/>
              <w:widowControl/>
              <w:spacing w:lineRule="exact" w:line="280"/>
              <w:jc w:val="center"/>
              <w:rPr>
                <w:rFonts w:eastAsia="方正黑体_GBK;微软雅黑"/>
                <w:kern w:val="0"/>
                <w:sz w:val="26"/>
                <w:szCs w:val="26"/>
              </w:rPr>
            </w:pPr>
            <w:r>
              <w:rPr>
                <w:rFonts w:eastAsia="方正黑体_GBK;微软雅黑"/>
                <w:kern w:val="0"/>
                <w:sz w:val="26"/>
                <w:szCs w:val="26"/>
              </w:rPr>
              <w:t>请公开</w:t>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both"/>
              <w:rPr>
                <w:rFonts w:eastAsia="方正黑体_GBK;微软雅黑"/>
                <w:kern w:val="0"/>
                <w:sz w:val="26"/>
                <w:szCs w:val="26"/>
              </w:rPr>
            </w:pPr>
            <w:r>
              <w:rPr>
                <w:rFonts w:eastAsia="方正黑体_GBK;微软雅黑"/>
                <w:kern w:val="0"/>
                <w:sz w:val="26"/>
                <w:szCs w:val="26"/>
              </w:rPr>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决策</w:t>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政策法规</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部门文件</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kern w:val="0"/>
                <w:sz w:val="26"/>
                <w:szCs w:val="26"/>
              </w:rPr>
            </w:pPr>
            <w:r>
              <w:rPr>
                <w:kern w:val="0"/>
                <w:sz w:val="26"/>
                <w:szCs w:val="26"/>
              </w:rPr>
              <w:t>本部门印发的规范性文件，本部门印发的除规范性文件以外的其他可以全文公开的文件。</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《中华人民共和国政府信息公开条例》（国务院令第</w:t>
            </w:r>
            <w:r>
              <w:rPr>
                <w:kern w:val="0"/>
                <w:sz w:val="26"/>
              </w:rPr>
              <w:t>711</w:t>
            </w:r>
            <w:r>
              <w:rPr>
                <w:kern w:val="0"/>
                <w:sz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p>
          <w:p>
            <w:pPr>
              <w:pStyle w:val="Normal"/>
              <w:widowControl/>
              <w:spacing w:lineRule="exact" w:line="240"/>
              <w:rPr/>
            </w:pPr>
            <w:r>
              <w:rPr>
                <w:rFonts w:eastAsia="Times New Roman"/>
                <w:bCs/>
                <w:kern w:val="0"/>
                <w:sz w:val="26"/>
                <w:szCs w:val="26"/>
              </w:rPr>
              <w:t xml:space="preserve">   </w:t>
            </w:r>
            <w:r>
              <w:rPr>
                <w:rFonts w:eastAsia="Times New Roman"/>
                <w:bCs/>
                <w:kern w:val="0"/>
                <w:sz w:val="26"/>
                <w:szCs w:val="26"/>
                <w:lang w:val="en-US" w:eastAsia="zh-CN"/>
              </w:rPr>
              <w:t xml:space="preserve">       </w:t>
            </w:r>
            <w:r>
              <w:rPr>
                <w:bCs/>
                <w:kern w:val="0"/>
                <w:sz w:val="26"/>
                <w:szCs w:val="26"/>
              </w:rPr>
              <w:t>□</w:t>
            </w:r>
            <w:r>
              <w:rPr>
                <w:bCs/>
                <w:kern w:val="0"/>
                <w:sz w:val="26"/>
                <w:szCs w:val="26"/>
              </w:rPr>
              <w:t>发布会</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2936"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规范性文件立改废</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bCs/>
                <w:kern w:val="0"/>
                <w:sz w:val="26"/>
                <w:szCs w:val="26"/>
              </w:rPr>
            </w:pPr>
            <w:r>
              <w:rPr>
                <w:bCs/>
                <w:kern w:val="0"/>
                <w:sz w:val="26"/>
                <w:szCs w:val="26"/>
              </w:rPr>
              <w:t>规范性文件的公众参与、专家论证、风险评估、集体讨论等程序开展情况；规范性文件备案信息、规范性文件清理结果、废止类规范性文件目录。</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spacing w:val="-6"/>
                <w:kern w:val="0"/>
                <w:sz w:val="26"/>
                <w:szCs w:val="26"/>
              </w:rPr>
              <w:t>《重大行政决策程序暂行条例》（国务院令第</w:t>
            </w:r>
            <w:r>
              <w:rPr>
                <w:bCs/>
                <w:spacing w:val="-6"/>
                <w:kern w:val="0"/>
                <w:sz w:val="26"/>
                <w:szCs w:val="26"/>
              </w:rPr>
              <w:t>713</w:t>
            </w:r>
            <w:r>
              <w:rPr>
                <w:bCs/>
                <w:spacing w:val="-6"/>
                <w:kern w:val="0"/>
                <w:sz w:val="26"/>
                <w:szCs w:val="26"/>
              </w:rPr>
              <w:t>号）；</w:t>
            </w:r>
          </w:p>
          <w:p>
            <w:pPr>
              <w:pStyle w:val="Normal"/>
              <w:widowControl/>
              <w:spacing w:lineRule="exact" w:line="300"/>
              <w:rPr/>
            </w:pPr>
            <w:r>
              <w:rPr>
                <w:bCs/>
                <w:spacing w:val="-6"/>
                <w:kern w:val="0"/>
                <w:sz w:val="26"/>
                <w:szCs w:val="26"/>
              </w:rPr>
              <w:t>《国务院办公厅关于加强行政规范性文件制定和监督管理工作的通知》（国办发〔</w:t>
            </w:r>
            <w:r>
              <w:rPr>
                <w:bCs/>
                <w:spacing w:val="-6"/>
                <w:kern w:val="0"/>
                <w:sz w:val="26"/>
                <w:szCs w:val="26"/>
              </w:rPr>
              <w:t>2018</w:t>
            </w:r>
            <w:r>
              <w:rPr>
                <w:bCs/>
                <w:spacing w:val="-6"/>
                <w:kern w:val="0"/>
                <w:sz w:val="26"/>
                <w:szCs w:val="26"/>
              </w:rPr>
              <w:t>〕</w:t>
            </w:r>
            <w:r>
              <w:rPr>
                <w:bCs/>
                <w:spacing w:val="-6"/>
                <w:kern w:val="0"/>
                <w:sz w:val="26"/>
                <w:szCs w:val="26"/>
              </w:rPr>
              <w:t>37</w:t>
            </w:r>
            <w:r>
              <w:rPr>
                <w:bCs/>
                <w:spacing w:val="-6"/>
                <w:kern w:val="0"/>
                <w:sz w:val="26"/>
                <w:szCs w:val="26"/>
              </w:rPr>
              <w:t>号）；</w:t>
            </w:r>
          </w:p>
          <w:p>
            <w:pPr>
              <w:pStyle w:val="Normal"/>
              <w:widowControl/>
              <w:spacing w:lineRule="exact" w:line="300"/>
              <w:rPr/>
            </w:pPr>
            <w:r>
              <w:rPr>
                <w:bCs/>
                <w:spacing w:val="-6"/>
                <w:kern w:val="0"/>
                <w:sz w:val="26"/>
                <w:szCs w:val="26"/>
              </w:rPr>
              <w:t>《法规规章备案条例》（国务院令第</w:t>
            </w:r>
            <w:r>
              <w:rPr>
                <w:bCs/>
                <w:spacing w:val="-6"/>
                <w:kern w:val="0"/>
                <w:sz w:val="26"/>
                <w:szCs w:val="26"/>
              </w:rPr>
              <w:t>337</w:t>
            </w:r>
            <w:r>
              <w:rPr>
                <w:bCs/>
                <w:spacing w:val="-6"/>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30"/>
              <w:rPr/>
            </w:pPr>
            <w:r>
              <w:rPr>
                <w:bCs/>
                <w:kern w:val="0"/>
                <w:sz w:val="26"/>
                <w:szCs w:val="26"/>
              </w:rPr>
              <w:t>■</w:t>
            </w:r>
            <w:r>
              <w:rPr>
                <w:bCs/>
                <w:spacing w:val="-6"/>
                <w:kern w:val="0"/>
                <w:sz w:val="26"/>
                <w:szCs w:val="26"/>
              </w:rPr>
              <w:t>政府网站</w:t>
            </w:r>
            <w:r>
              <w:rPr>
                <w:rFonts w:eastAsia="Times New Roman"/>
                <w:bCs/>
                <w:spacing w:val="-6"/>
                <w:kern w:val="0"/>
                <w:sz w:val="26"/>
                <w:szCs w:val="26"/>
              </w:rPr>
              <w:t xml:space="preserve">   </w:t>
            </w:r>
            <w:r>
              <w:rPr>
                <w:bCs/>
                <w:spacing w:val="-6"/>
                <w:kern w:val="0"/>
                <w:sz w:val="26"/>
                <w:szCs w:val="26"/>
              </w:rPr>
              <w:t>□</w:t>
            </w:r>
            <w:r>
              <w:rPr>
                <w:bCs/>
                <w:spacing w:val="-6"/>
                <w:kern w:val="0"/>
                <w:sz w:val="26"/>
                <w:szCs w:val="26"/>
              </w:rPr>
              <w:t>政府公报</w:t>
            </w:r>
          </w:p>
          <w:p>
            <w:pPr>
              <w:pStyle w:val="Normal"/>
              <w:widowControl/>
              <w:spacing w:lineRule="exact" w:line="230"/>
              <w:rPr/>
            </w:pPr>
            <w:r>
              <w:rPr>
                <w:bCs/>
                <w:spacing w:val="-6"/>
                <w:kern w:val="0"/>
                <w:sz w:val="26"/>
                <w:szCs w:val="26"/>
              </w:rPr>
              <w:t>□</w:t>
            </w:r>
            <w:r>
              <w:rPr>
                <w:bCs/>
                <w:spacing w:val="-6"/>
                <w:kern w:val="0"/>
                <w:sz w:val="26"/>
                <w:szCs w:val="26"/>
              </w:rPr>
              <w:t>两微一端</w:t>
            </w:r>
            <w:r>
              <w:rPr>
                <w:rFonts w:eastAsia="Times New Roman"/>
                <w:bCs/>
                <w:spacing w:val="-6"/>
                <w:kern w:val="0"/>
                <w:sz w:val="26"/>
                <w:szCs w:val="26"/>
              </w:rPr>
              <w:t xml:space="preserve">   </w:t>
            </w:r>
            <w:r>
              <w:rPr>
                <w:bCs/>
                <w:spacing w:val="-6"/>
                <w:kern w:val="0"/>
                <w:sz w:val="26"/>
                <w:szCs w:val="26"/>
              </w:rPr>
              <w:t>□</w:t>
            </w:r>
            <w:r>
              <w:rPr>
                <w:bCs/>
                <w:spacing w:val="-6"/>
                <w:kern w:val="0"/>
                <w:sz w:val="26"/>
                <w:szCs w:val="26"/>
              </w:rPr>
              <w:t>发布会</w:t>
            </w:r>
          </w:p>
          <w:p>
            <w:pPr>
              <w:pStyle w:val="Normal"/>
              <w:widowControl/>
              <w:spacing w:lineRule="exact" w:line="230"/>
              <w:rPr/>
            </w:pPr>
            <w:r>
              <w:rPr>
                <w:bCs/>
                <w:spacing w:val="-6"/>
                <w:kern w:val="0"/>
                <w:sz w:val="26"/>
                <w:szCs w:val="26"/>
              </w:rPr>
              <w:t>□</w:t>
            </w:r>
            <w:r>
              <w:rPr>
                <w:bCs/>
                <w:spacing w:val="-6"/>
                <w:kern w:val="0"/>
                <w:sz w:val="26"/>
                <w:szCs w:val="26"/>
              </w:rPr>
              <w:t>广播电视</w:t>
            </w:r>
            <w:r>
              <w:rPr>
                <w:rFonts w:eastAsia="Times New Roman"/>
                <w:bCs/>
                <w:spacing w:val="-6"/>
                <w:kern w:val="0"/>
                <w:sz w:val="26"/>
                <w:szCs w:val="26"/>
              </w:rPr>
              <w:t xml:space="preserve">   </w:t>
            </w:r>
            <w:r>
              <w:rPr>
                <w:bCs/>
                <w:spacing w:val="-6"/>
                <w:kern w:val="0"/>
                <w:sz w:val="26"/>
                <w:szCs w:val="26"/>
              </w:rPr>
              <w:t>□</w:t>
            </w:r>
            <w:r>
              <w:rPr>
                <w:bCs/>
                <w:spacing w:val="-6"/>
                <w:kern w:val="0"/>
                <w:sz w:val="26"/>
                <w:szCs w:val="26"/>
              </w:rPr>
              <w:t>纸质媒体</w:t>
            </w:r>
          </w:p>
          <w:p>
            <w:pPr>
              <w:pStyle w:val="Normal"/>
              <w:widowControl/>
              <w:spacing w:lineRule="exact" w:line="230"/>
              <w:rPr/>
            </w:pPr>
            <w:r>
              <w:rPr>
                <w:rFonts w:eastAsia="Times New Roman"/>
                <w:bCs/>
                <w:spacing w:val="-6"/>
                <w:kern w:val="0"/>
                <w:sz w:val="26"/>
                <w:szCs w:val="26"/>
              </w:rPr>
              <w:t xml:space="preserve"> </w:t>
            </w:r>
            <w:r>
              <w:rPr>
                <w:bCs/>
                <w:spacing w:val="-6"/>
                <w:kern w:val="0"/>
                <w:sz w:val="26"/>
                <w:szCs w:val="26"/>
              </w:rPr>
              <w:t>□</w:t>
            </w:r>
            <w:r>
              <w:rPr>
                <w:bCs/>
                <w:spacing w:val="-6"/>
                <w:kern w:val="0"/>
                <w:sz w:val="26"/>
                <w:szCs w:val="26"/>
              </w:rPr>
              <w:t>政务服务中心</w:t>
            </w:r>
            <w:r>
              <w:rPr>
                <w:rFonts w:eastAsia="Times New Roman"/>
                <w:bCs/>
                <w:spacing w:val="-6"/>
                <w:kern w:val="0"/>
                <w:sz w:val="26"/>
                <w:szCs w:val="26"/>
              </w:rPr>
              <w:t xml:space="preserve">             </w:t>
            </w:r>
          </w:p>
          <w:p>
            <w:pPr>
              <w:pStyle w:val="Normal"/>
              <w:widowControl/>
              <w:spacing w:lineRule="exact" w:line="230"/>
              <w:rPr/>
            </w:pPr>
            <w:r>
              <w:rPr>
                <w:bCs/>
                <w:spacing w:val="-6"/>
                <w:kern w:val="0"/>
                <w:sz w:val="26"/>
                <w:szCs w:val="26"/>
              </w:rPr>
              <w:t>□</w:t>
            </w:r>
            <w:r>
              <w:rPr>
                <w:bCs/>
                <w:spacing w:val="-6"/>
                <w:kern w:val="0"/>
                <w:sz w:val="26"/>
                <w:szCs w:val="26"/>
              </w:rPr>
              <w:t>便民服务站</w:t>
            </w:r>
            <w:r>
              <w:rPr>
                <w:rFonts w:eastAsia="Times New Roman"/>
                <w:bCs/>
                <w:spacing w:val="-6"/>
                <w:kern w:val="0"/>
                <w:sz w:val="26"/>
                <w:szCs w:val="26"/>
              </w:rPr>
              <w:t xml:space="preserve"> </w:t>
            </w:r>
            <w:r>
              <w:rPr>
                <w:bCs/>
                <w:spacing w:val="-6"/>
                <w:kern w:val="0"/>
                <w:sz w:val="26"/>
                <w:szCs w:val="26"/>
              </w:rPr>
              <w:t>□</w:t>
            </w:r>
            <w:r>
              <w:rPr>
                <w:bCs/>
                <w:spacing w:val="-6"/>
                <w:kern w:val="0"/>
                <w:sz w:val="26"/>
                <w:szCs w:val="26"/>
              </w:rPr>
              <w:t>入户</w:t>
            </w:r>
            <w:r>
              <w:rPr>
                <w:bCs/>
                <w:spacing w:val="-6"/>
                <w:kern w:val="0"/>
                <w:sz w:val="26"/>
                <w:szCs w:val="26"/>
              </w:rPr>
              <w:t>/</w:t>
            </w:r>
            <w:r>
              <w:rPr>
                <w:bCs/>
                <w:spacing w:val="-6"/>
                <w:kern w:val="0"/>
                <w:sz w:val="26"/>
                <w:szCs w:val="26"/>
              </w:rPr>
              <w:t>现场</w:t>
            </w:r>
          </w:p>
          <w:p>
            <w:pPr>
              <w:pStyle w:val="Normal"/>
              <w:widowControl/>
              <w:spacing w:lineRule="exact" w:line="230"/>
              <w:rPr/>
            </w:pPr>
            <w:r>
              <w:rPr>
                <w:bCs/>
                <w:spacing w:val="-6"/>
                <w:kern w:val="0"/>
                <w:sz w:val="26"/>
                <w:szCs w:val="26"/>
              </w:rPr>
              <w:t>□</w:t>
            </w:r>
            <w:r>
              <w:rPr>
                <w:bCs/>
                <w:spacing w:val="-6"/>
                <w:kern w:val="0"/>
                <w:sz w:val="26"/>
                <w:szCs w:val="26"/>
              </w:rPr>
              <w:t>社区</w:t>
            </w:r>
            <w:r>
              <w:rPr>
                <w:bCs/>
                <w:spacing w:val="-6"/>
                <w:kern w:val="0"/>
                <w:sz w:val="26"/>
                <w:szCs w:val="26"/>
              </w:rPr>
              <w:t>/</w:t>
            </w:r>
            <w:r>
              <w:rPr>
                <w:bCs/>
                <w:spacing w:val="-6"/>
                <w:kern w:val="0"/>
                <w:sz w:val="26"/>
                <w:szCs w:val="26"/>
              </w:rPr>
              <w:t>企事业单位</w:t>
            </w:r>
            <w:r>
              <w:rPr>
                <w:bCs/>
                <w:spacing w:val="-6"/>
                <w:kern w:val="0"/>
                <w:sz w:val="26"/>
                <w:szCs w:val="26"/>
              </w:rPr>
              <w:t>/</w:t>
            </w:r>
            <w:r>
              <w:rPr>
                <w:bCs/>
                <w:spacing w:val="-6"/>
                <w:kern w:val="0"/>
                <w:sz w:val="26"/>
                <w:szCs w:val="26"/>
              </w:rPr>
              <w:t>村公示栏（电子屏）</w:t>
            </w:r>
          </w:p>
          <w:p>
            <w:pPr>
              <w:pStyle w:val="Normal"/>
              <w:widowControl/>
              <w:spacing w:lineRule="exact" w:line="230"/>
              <w:rPr/>
            </w:pPr>
            <w:r>
              <w:rPr>
                <w:bCs/>
                <w:spacing w:val="-6"/>
                <w:kern w:val="0"/>
                <w:sz w:val="26"/>
                <w:szCs w:val="26"/>
              </w:rPr>
              <w:t>□</w:t>
            </w:r>
            <w:r>
              <w:rPr>
                <w:bCs/>
                <w:spacing w:val="-6"/>
                <w:kern w:val="0"/>
                <w:sz w:val="26"/>
                <w:szCs w:val="26"/>
              </w:rPr>
              <w:t>精准推送</w:t>
            </w:r>
            <w:r>
              <w:rPr>
                <w:rFonts w:eastAsia="Times New Roman"/>
                <w:bCs/>
                <w:spacing w:val="-6"/>
                <w:kern w:val="0"/>
                <w:sz w:val="26"/>
                <w:szCs w:val="26"/>
              </w:rPr>
              <w:t xml:space="preserve">   </w:t>
            </w:r>
            <w:r>
              <w:rPr>
                <w:bCs/>
                <w:spacing w:val="-6"/>
                <w:kern w:val="0"/>
                <w:sz w:val="26"/>
                <w:szCs w:val="26"/>
              </w:rPr>
              <w:t>□</w:t>
            </w:r>
            <w:r>
              <w:rPr>
                <w:bCs/>
                <w:spacing w:val="-6"/>
                <w:kern w:val="0"/>
                <w:sz w:val="26"/>
                <w:szCs w:val="26"/>
              </w:rPr>
              <w:t>其</w:t>
            </w:r>
            <w:r>
              <w:rPr>
                <w:bCs/>
                <w:kern w:val="0"/>
                <w:sz w:val="26"/>
                <w:szCs w:val="26"/>
              </w:rPr>
              <w:t>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319"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重大决策</w:t>
            </w:r>
            <w:r>
              <w:rPr>
                <w:kern w:val="0"/>
                <w:sz w:val="26"/>
                <w:szCs w:val="26"/>
              </w:rPr>
              <w:br/>
            </w:r>
            <w:r>
              <w:rPr>
                <w:kern w:val="0"/>
                <w:sz w:val="26"/>
              </w:rPr>
              <w:t>预公开</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意见征集</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bCs/>
                <w:kern w:val="0"/>
                <w:sz w:val="26"/>
                <w:szCs w:val="26"/>
              </w:rPr>
            </w:pPr>
            <w:r>
              <w:rPr>
                <w:bCs/>
                <w:kern w:val="0"/>
                <w:sz w:val="26"/>
                <w:szCs w:val="26"/>
              </w:rPr>
              <w:t>涉及重大民生议题、企业、专业领域的重要改革方案、重大政策措施、重点工程项目，除依法应当保密的外，主动向社会公布决策草案、决策依据等，通过听证座谈、网络征集、咨询协商、媒体沟通等多种形式向社会征求意见。</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《重大行政决策程序暂行条例》（国务院令第</w:t>
            </w:r>
            <w:r>
              <w:rPr>
                <w:bCs/>
                <w:kern w:val="0"/>
                <w:sz w:val="26"/>
                <w:szCs w:val="26"/>
              </w:rPr>
              <w:t>713</w:t>
            </w:r>
            <w:r>
              <w:rPr>
                <w:bCs/>
                <w:kern w:val="0"/>
                <w:sz w:val="26"/>
                <w:szCs w:val="26"/>
              </w:rPr>
              <w:t>号）；</w:t>
            </w:r>
          </w:p>
          <w:p>
            <w:pPr>
              <w:pStyle w:val="Normal"/>
              <w:widowControl/>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rFonts w:eastAsia="Times New Roman"/>
                <w:bCs/>
                <w:kern w:val="0"/>
                <w:sz w:val="26"/>
                <w:szCs w:val="26"/>
              </w:rPr>
            </w:pP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132"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rFonts w:eastAsia="方正黑体_GBK;微软雅黑"/>
                <w:kern w:val="0"/>
                <w:sz w:val="26"/>
                <w:szCs w:val="26"/>
              </w:rPr>
            </w:pPr>
            <w:r>
              <w:rPr>
                <w:rFonts w:eastAsia="方正黑体_GBK;微软雅黑"/>
                <w:kern w:val="0"/>
                <w:sz w:val="26"/>
                <w:szCs w:val="26"/>
              </w:rPr>
              <w:t>决策</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重大决策</w:t>
            </w:r>
            <w:r>
              <w:rPr>
                <w:kern w:val="0"/>
                <w:sz w:val="26"/>
                <w:szCs w:val="26"/>
              </w:rPr>
              <w:br/>
            </w:r>
            <w:r>
              <w:rPr>
                <w:kern w:val="0"/>
                <w:sz w:val="26"/>
              </w:rPr>
              <w:t>预公开</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意见反馈</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公布意见采纳情况及相对集中的意见未予采纳的原因。</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kern w:val="0"/>
                <w:sz w:val="26"/>
              </w:rPr>
              <w:t>《中华人民共和国政府信息公开条例》（国务院令第</w:t>
            </w:r>
            <w:r>
              <w:rPr>
                <w:kern w:val="0"/>
                <w:sz w:val="26"/>
              </w:rPr>
              <w:t>711</w:t>
            </w:r>
            <w:r>
              <w:rPr>
                <w:kern w:val="0"/>
                <w:sz w:val="26"/>
              </w:rPr>
              <w:t>号）；</w:t>
            </w:r>
          </w:p>
          <w:p>
            <w:pPr>
              <w:pStyle w:val="Normal"/>
              <w:widowControl/>
              <w:spacing w:lineRule="exact" w:line="300"/>
              <w:jc w:val="left"/>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1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规划计划</w:t>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本部门中长期发展规划、年度工作计划和工作总结。</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《中华人民共和国政府信息公开条例》（国务院令第</w:t>
            </w:r>
            <w:r>
              <w:rPr>
                <w:kern w:val="0"/>
                <w:sz w:val="26"/>
              </w:rPr>
              <w:t>492</w:t>
            </w:r>
            <w:r>
              <w:rPr>
                <w:kern w:val="0"/>
                <w:sz w:val="26"/>
              </w:rPr>
              <w:t>号）；</w:t>
            </w:r>
          </w:p>
          <w:p>
            <w:pPr>
              <w:pStyle w:val="Normal"/>
              <w:widowControl/>
              <w:spacing w:lineRule="exact" w:line="300"/>
              <w:rPr/>
            </w:pPr>
            <w:r>
              <w:rPr>
                <w:kern w:val="0"/>
                <w:sz w:val="26"/>
              </w:rPr>
              <w:t>《国务院关于加强国民经济和社会发展规划编制工作的若干意见》（国发〔</w:t>
            </w:r>
            <w:r>
              <w:rPr>
                <w:kern w:val="0"/>
                <w:sz w:val="26"/>
              </w:rPr>
              <w:t>2005</w:t>
            </w:r>
            <w:r>
              <w:rPr>
                <w:kern w:val="0"/>
                <w:sz w:val="26"/>
              </w:rPr>
              <w:t>〕</w:t>
            </w:r>
            <w:r>
              <w:rPr>
                <w:kern w:val="0"/>
                <w:sz w:val="26"/>
              </w:rPr>
              <w:t>33</w:t>
            </w:r>
            <w:r>
              <w:rPr>
                <w:kern w:val="0"/>
                <w:sz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11"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bookmarkStart w:id="0" w:name="_Hlk11998333"/>
            <w:bookmarkStart w:id="1" w:name="OLE_LINK8"/>
            <w:bookmarkStart w:id="2" w:name="OLE_LINK7"/>
            <w:bookmarkStart w:id="3" w:name="_Hlk11998333"/>
            <w:bookmarkStart w:id="4" w:name="OLE_LINK8"/>
            <w:bookmarkStart w:id="5" w:name="OLE_LINK7"/>
            <w:bookmarkEnd w:id="3"/>
            <w:bookmarkEnd w:id="4"/>
            <w:bookmarkEnd w:id="5"/>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jc w:val="center"/>
              <w:rPr>
                <w:rFonts w:eastAsia="方正黑体_GBK;微软雅黑"/>
                <w:kern w:val="0"/>
                <w:sz w:val="26"/>
                <w:szCs w:val="26"/>
              </w:rPr>
            </w:pPr>
            <w:r>
              <w:rPr>
                <w:rFonts w:eastAsia="方正黑体_GBK;微软雅黑"/>
                <w:kern w:val="0"/>
                <w:sz w:val="26"/>
                <w:szCs w:val="26"/>
              </w:rPr>
              <w:t>执行和结果</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bCs/>
                <w:kern w:val="0"/>
                <w:sz w:val="26"/>
                <w:szCs w:val="26"/>
              </w:rPr>
              <w:t>决策部署落实情况</w:t>
            </w:r>
            <w:r>
              <w:rPr>
                <w:bCs/>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重大决策、重要政策、政府工作报告、</w:t>
            </w:r>
            <w:r>
              <w:rPr>
                <w:kern w:val="0"/>
                <w:sz w:val="26"/>
                <w:szCs w:val="26"/>
              </w:rPr>
              <w:t>本部门年度重点工作任务</w:t>
            </w:r>
            <w:r>
              <w:rPr>
                <w:bCs/>
                <w:kern w:val="0"/>
                <w:sz w:val="26"/>
                <w:szCs w:val="26"/>
              </w:rPr>
              <w:t>的任务分解、执行和落实情况等信息。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《中共中央办公厅国务院办公厅印发〈关于全面推进政务公开工作的意见〉的通知》（中办发〔</w:t>
            </w:r>
            <w:r>
              <w:rPr>
                <w:kern w:val="0"/>
                <w:sz w:val="26"/>
              </w:rPr>
              <w:t>2016</w:t>
            </w:r>
            <w:r>
              <w:rPr>
                <w:kern w:val="0"/>
                <w:sz w:val="26"/>
              </w:rPr>
              <w:t>〕</w:t>
            </w:r>
            <w:r>
              <w:rPr>
                <w:kern w:val="0"/>
                <w:sz w:val="26"/>
              </w:rPr>
              <w:t>8</w:t>
            </w:r>
            <w:r>
              <w:rPr>
                <w:kern w:val="0"/>
                <w:sz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155"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建议提案</w:t>
            </w:r>
            <w:r>
              <w:rPr>
                <w:kern w:val="0"/>
                <w:sz w:val="26"/>
                <w:szCs w:val="26"/>
              </w:rPr>
              <w:br/>
            </w:r>
            <w:r>
              <w:rPr>
                <w:kern w:val="0"/>
                <w:sz w:val="26"/>
              </w:rPr>
              <w:t>办理</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人大代表建议办理</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人大代表建议办理答复。</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《国务院办公厅关于做好全国人大代表建议和全国政协委员提案办理结果公开工作的通知》（国办发﹝</w:t>
            </w:r>
            <w:r>
              <w:rPr>
                <w:bCs/>
                <w:kern w:val="0"/>
                <w:sz w:val="26"/>
                <w:szCs w:val="26"/>
              </w:rPr>
              <w:t>2014</w:t>
            </w:r>
            <w:r>
              <w:rPr>
                <w:rFonts w:cs="宋体" w:ascii="宋体" w:hAnsi="宋体"/>
                <w:bCs/>
                <w:kern w:val="0"/>
                <w:sz w:val="26"/>
                <w:szCs w:val="26"/>
              </w:rPr>
              <w:t>﹞</w:t>
            </w:r>
            <w:r>
              <w:rPr>
                <w:bCs/>
                <w:kern w:val="0"/>
                <w:sz w:val="26"/>
                <w:szCs w:val="26"/>
              </w:rPr>
              <w:t>46</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58"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政协委员提案办理</w:t>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政协委员提案办理答复。</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《国务院办公厅关于做好全国人大代表建议和全国政协委员提案办理结果公开工作的通知》（国办发﹝</w:t>
            </w:r>
            <w:r>
              <w:rPr>
                <w:bCs/>
                <w:kern w:val="0"/>
                <w:sz w:val="26"/>
                <w:szCs w:val="26"/>
              </w:rPr>
              <w:t>2014</w:t>
            </w:r>
            <w:r>
              <w:rPr>
                <w:rFonts w:cs="宋体" w:ascii="宋体" w:hAnsi="宋体"/>
                <w:bCs/>
                <w:kern w:val="0"/>
                <w:sz w:val="26"/>
                <w:szCs w:val="26"/>
              </w:rPr>
              <w:t>﹞</w:t>
            </w:r>
            <w:r>
              <w:rPr>
                <w:bCs/>
                <w:kern w:val="0"/>
                <w:sz w:val="26"/>
                <w:szCs w:val="26"/>
              </w:rPr>
              <w:t>46</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1021"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jc w:val="center"/>
              <w:rPr>
                <w:rFonts w:eastAsia="方正黑体_GBK;微软雅黑"/>
                <w:kern w:val="0"/>
                <w:sz w:val="26"/>
                <w:szCs w:val="26"/>
              </w:rPr>
            </w:pPr>
            <w:r>
              <w:rPr>
                <w:rFonts w:eastAsia="方正黑体_GBK;微软雅黑"/>
                <w:kern w:val="0"/>
                <w:sz w:val="26"/>
                <w:szCs w:val="26"/>
              </w:rPr>
              <w:t>管理和服务</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机构领导</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领导分工、简历、办公联系方式、照片；</w:t>
            </w:r>
            <w:r>
              <w:rPr>
                <w:kern w:val="0"/>
                <w:sz w:val="26"/>
                <w:szCs w:val="26"/>
              </w:rPr>
              <w:t>领导活动相关信息。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《中华人民共和国政府信息公开条例》（国务院令第</w:t>
            </w:r>
            <w:r>
              <w:rPr>
                <w:kern w:val="0"/>
                <w:sz w:val="26"/>
              </w:rPr>
              <w:t>711</w:t>
            </w:r>
            <w:r>
              <w:rPr>
                <w:kern w:val="0"/>
                <w:sz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758"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机构设置</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机构简介</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机关职能、机构设置、办公地址、办公时间、联系方式等。</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《中华人民共和国政府信息公开条例》（国务院令第</w:t>
            </w:r>
            <w:r>
              <w:rPr>
                <w:kern w:val="0"/>
                <w:sz w:val="26"/>
              </w:rPr>
              <w:t>711</w:t>
            </w:r>
            <w:r>
              <w:rPr>
                <w:kern w:val="0"/>
                <w:sz w:val="26"/>
              </w:rPr>
              <w:t>号）；</w:t>
            </w:r>
          </w:p>
          <w:p>
            <w:pPr>
              <w:pStyle w:val="Normal"/>
              <w:widowControl/>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1021"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内设机构及下属单位</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内设机构及下属单位设置、职能、办公地址、办公时间、联系方式、负责人姓名等。</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kern w:val="0"/>
                <w:sz w:val="26"/>
              </w:rPr>
              <w:t>《中华人民共和国政府信息公开条例》（国务院令第</w:t>
            </w:r>
            <w:r>
              <w:rPr>
                <w:kern w:val="0"/>
                <w:sz w:val="26"/>
              </w:rPr>
              <w:t>711</w:t>
            </w:r>
            <w:r>
              <w:rPr>
                <w:kern w:val="0"/>
                <w:sz w:val="26"/>
              </w:rPr>
              <w:t>号）；</w:t>
            </w:r>
          </w:p>
          <w:p>
            <w:pPr>
              <w:pStyle w:val="Normal"/>
              <w:widowControl/>
              <w:spacing w:lineRule="exact" w:line="300"/>
              <w:jc w:val="left"/>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财政资金</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年度部门</w:t>
            </w:r>
            <w:r>
              <w:rPr>
                <w:kern w:val="0"/>
                <w:sz w:val="26"/>
                <w:szCs w:val="26"/>
              </w:rPr>
              <w:br/>
            </w:r>
            <w:r>
              <w:rPr>
                <w:kern w:val="0"/>
                <w:sz w:val="26"/>
              </w:rPr>
              <w:t>预决算及“三公”</w:t>
            </w:r>
            <w:r>
              <w:rPr>
                <w:kern w:val="0"/>
                <w:sz w:val="26"/>
                <w:szCs w:val="26"/>
              </w:rPr>
              <w:br/>
            </w:r>
            <w:r>
              <w:rPr>
                <w:kern w:val="0"/>
                <w:sz w:val="26"/>
              </w:rPr>
              <w:t>经费情况</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本年度预算、报表及说明。</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bCs/>
                <w:kern w:val="0"/>
                <w:sz w:val="26"/>
                <w:szCs w:val="26"/>
              </w:rPr>
            </w:pPr>
            <w:r>
              <w:rPr>
                <w:bCs/>
                <w:kern w:val="0"/>
                <w:sz w:val="26"/>
                <w:szCs w:val="26"/>
              </w:rPr>
              <w:t>《中华人民共和国预算法》；</w:t>
            </w:r>
          </w:p>
          <w:p>
            <w:pPr>
              <w:pStyle w:val="Normal"/>
              <w:widowControl/>
              <w:spacing w:lineRule="exact" w:line="300"/>
              <w:rPr/>
            </w:pPr>
            <w:r>
              <w:rPr>
                <w:bCs/>
                <w:kern w:val="0"/>
                <w:sz w:val="26"/>
                <w:szCs w:val="26"/>
              </w:rPr>
              <w:t>《中共中央办公厅国务院办公厅印发〈关于进一步推进预算公开工作的意见〉的通知》（中办发〔</w:t>
            </w:r>
            <w:r>
              <w:rPr>
                <w:bCs/>
                <w:kern w:val="0"/>
                <w:sz w:val="26"/>
                <w:szCs w:val="26"/>
              </w:rPr>
              <w:t>2016</w:t>
            </w:r>
            <w:r>
              <w:rPr>
                <w:bCs/>
                <w:kern w:val="0"/>
                <w:sz w:val="26"/>
                <w:szCs w:val="26"/>
              </w:rPr>
              <w:t>〕</w:t>
            </w:r>
            <w:r>
              <w:rPr>
                <w:bCs/>
                <w:kern w:val="0"/>
                <w:sz w:val="26"/>
                <w:szCs w:val="26"/>
              </w:rPr>
              <w:t>13</w:t>
            </w:r>
            <w:r>
              <w:rPr>
                <w:bCs/>
                <w:kern w:val="0"/>
                <w:sz w:val="26"/>
                <w:szCs w:val="26"/>
              </w:rPr>
              <w:t>号）；</w:t>
            </w:r>
          </w:p>
          <w:p>
            <w:pPr>
              <w:pStyle w:val="Normal"/>
              <w:widowControl/>
              <w:spacing w:lineRule="exact" w:line="300"/>
              <w:rPr/>
            </w:pPr>
            <w:r>
              <w:rPr>
                <w:bCs/>
                <w:kern w:val="0"/>
                <w:sz w:val="26"/>
                <w:szCs w:val="26"/>
              </w:rPr>
              <w:t>《关于印发〈地方预决算公开操作规程〉的通知》（财预〔</w:t>
            </w:r>
            <w:r>
              <w:rPr>
                <w:bCs/>
                <w:kern w:val="0"/>
                <w:sz w:val="26"/>
                <w:szCs w:val="26"/>
              </w:rPr>
              <w:t>2016</w:t>
            </w:r>
            <w:r>
              <w:rPr>
                <w:bCs/>
                <w:kern w:val="0"/>
                <w:sz w:val="26"/>
                <w:szCs w:val="26"/>
              </w:rPr>
              <w:t>〕</w:t>
            </w:r>
            <w:r>
              <w:rPr>
                <w:bCs/>
                <w:kern w:val="0"/>
                <w:sz w:val="26"/>
                <w:szCs w:val="26"/>
              </w:rPr>
              <w:t>143</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本级政府财政部门批复后</w:t>
            </w:r>
            <w:r>
              <w:rPr>
                <w:kern w:val="0"/>
                <w:sz w:val="26"/>
                <w:szCs w:val="26"/>
              </w:rPr>
              <w:t>20</w:t>
            </w:r>
            <w:r>
              <w:rPr>
                <w:kern w:val="0"/>
                <w:sz w:val="26"/>
                <w:szCs w:val="26"/>
              </w:rPr>
              <w:t>日内</w:t>
            </w:r>
            <w:r>
              <w:rPr>
                <w:kern w:val="0"/>
                <w:sz w:val="26"/>
              </w:rPr>
              <w:t>。</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部门网站</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0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财政资金</w:t>
            </w:r>
            <w:r>
              <w:rPr>
                <w:kern w:val="0"/>
                <w:sz w:val="26"/>
                <w:szCs w:val="26"/>
              </w:rPr>
              <w:br/>
            </w:r>
          </w:p>
        </w:tc>
        <w:tc>
          <w:tcPr>
            <w:tcW w:w="15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年度部门</w:t>
            </w:r>
            <w:r>
              <w:rPr>
                <w:kern w:val="0"/>
                <w:sz w:val="26"/>
                <w:szCs w:val="26"/>
              </w:rPr>
              <w:br/>
            </w:r>
            <w:r>
              <w:rPr>
                <w:kern w:val="0"/>
                <w:sz w:val="26"/>
              </w:rPr>
              <w:t>预决算及“三公”</w:t>
            </w:r>
            <w:r>
              <w:rPr>
                <w:kern w:val="0"/>
                <w:sz w:val="26"/>
                <w:szCs w:val="26"/>
              </w:rPr>
              <w:br/>
            </w:r>
            <w:r>
              <w:rPr>
                <w:kern w:val="0"/>
                <w:sz w:val="26"/>
              </w:rPr>
              <w:t>经费情况</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上年度决算、报表及说明。</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bCs/>
                <w:kern w:val="0"/>
                <w:sz w:val="26"/>
                <w:szCs w:val="26"/>
              </w:rPr>
            </w:pPr>
            <w:r>
              <w:rPr>
                <w:bCs/>
                <w:kern w:val="0"/>
                <w:sz w:val="26"/>
                <w:szCs w:val="26"/>
              </w:rPr>
              <w:t>《中华人民共和国预算法》；</w:t>
            </w:r>
          </w:p>
          <w:p>
            <w:pPr>
              <w:pStyle w:val="Normal"/>
              <w:widowControl/>
              <w:spacing w:lineRule="exact" w:line="300"/>
              <w:jc w:val="left"/>
              <w:rPr/>
            </w:pPr>
            <w:r>
              <w:rPr>
                <w:bCs/>
                <w:kern w:val="0"/>
                <w:sz w:val="26"/>
                <w:szCs w:val="26"/>
              </w:rPr>
              <w:t>《关于印发〈地方预决算公开操作规程〉的通知》（财预〔</w:t>
            </w:r>
            <w:r>
              <w:rPr>
                <w:bCs/>
                <w:kern w:val="0"/>
                <w:sz w:val="26"/>
                <w:szCs w:val="26"/>
              </w:rPr>
              <w:t>2016</w:t>
            </w:r>
            <w:r>
              <w:rPr>
                <w:bCs/>
                <w:kern w:val="0"/>
                <w:sz w:val="26"/>
                <w:szCs w:val="26"/>
              </w:rPr>
              <w:t>〕</w:t>
            </w:r>
            <w:r>
              <w:rPr>
                <w:bCs/>
                <w:kern w:val="0"/>
                <w:sz w:val="26"/>
                <w:szCs w:val="26"/>
              </w:rPr>
              <w:t>143</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本级政府财政部门批复后</w:t>
            </w:r>
            <w:r>
              <w:rPr>
                <w:kern w:val="0"/>
                <w:sz w:val="26"/>
              </w:rPr>
              <w:t>20</w:t>
            </w:r>
            <w:r>
              <w:rPr>
                <w:kern w:val="0"/>
                <w:sz w:val="26"/>
              </w:rPr>
              <w:t>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公示栏（电子屏）</w:t>
            </w:r>
          </w:p>
          <w:p>
            <w:pPr>
              <w:pStyle w:val="Normal"/>
              <w:widowControl/>
              <w:spacing w:lineRule="exact" w:line="280"/>
              <w:rPr/>
            </w:pPr>
            <w:r>
              <w:rPr>
                <w:bCs/>
                <w:kern w:val="0"/>
                <w:sz w:val="26"/>
                <w:szCs w:val="26"/>
              </w:rPr>
              <w:t>■</w:t>
            </w:r>
            <w:r>
              <w:rPr>
                <w:bCs/>
                <w:kern w:val="0"/>
                <w:sz w:val="26"/>
                <w:szCs w:val="26"/>
              </w:rPr>
              <w:t>部门网站</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kern w:val="0"/>
                <w:sz w:val="26"/>
                <w:szCs w:val="26"/>
              </w:rPr>
            </w:pPr>
            <w:r>
              <w:rPr>
                <w:rFonts w:eastAsia="方正黑体_GBK;微软雅黑"/>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本年度</w:t>
            </w:r>
            <w:r>
              <w:rPr>
                <w:kern w:val="0"/>
                <w:sz w:val="26"/>
              </w:rPr>
              <w:t>“</w:t>
            </w:r>
            <w:r>
              <w:rPr>
                <w:kern w:val="0"/>
                <w:sz w:val="26"/>
              </w:rPr>
              <w:t>三公</w:t>
            </w:r>
            <w:r>
              <w:rPr>
                <w:kern w:val="0"/>
                <w:sz w:val="26"/>
              </w:rPr>
              <w:t>”</w:t>
            </w:r>
            <w:r>
              <w:rPr>
                <w:kern w:val="0"/>
                <w:sz w:val="26"/>
              </w:rPr>
              <w:t>经费预算及说明，上年度</w:t>
            </w:r>
            <w:r>
              <w:rPr>
                <w:kern w:val="0"/>
                <w:sz w:val="26"/>
              </w:rPr>
              <w:t>“</w:t>
            </w:r>
            <w:r>
              <w:rPr>
                <w:kern w:val="0"/>
                <w:sz w:val="26"/>
              </w:rPr>
              <w:t>三公</w:t>
            </w:r>
            <w:r>
              <w:rPr>
                <w:kern w:val="0"/>
                <w:sz w:val="26"/>
              </w:rPr>
              <w:t>”</w:t>
            </w:r>
            <w:r>
              <w:rPr>
                <w:kern w:val="0"/>
                <w:sz w:val="26"/>
              </w:rPr>
              <w:t>经费决算及说明。</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bCs/>
                <w:kern w:val="0"/>
                <w:sz w:val="26"/>
                <w:szCs w:val="26"/>
              </w:rPr>
            </w:pPr>
            <w:r>
              <w:rPr>
                <w:bCs/>
                <w:kern w:val="0"/>
                <w:sz w:val="26"/>
                <w:szCs w:val="26"/>
              </w:rPr>
              <w:t>《中华人民共和国预算法》；</w:t>
            </w:r>
          </w:p>
          <w:p>
            <w:pPr>
              <w:pStyle w:val="Normal"/>
              <w:widowControl/>
              <w:spacing w:lineRule="exact" w:line="300"/>
              <w:jc w:val="left"/>
              <w:rPr/>
            </w:pPr>
            <w:r>
              <w:rPr>
                <w:bCs/>
                <w:kern w:val="0"/>
                <w:sz w:val="26"/>
                <w:szCs w:val="26"/>
              </w:rPr>
              <w:t>《关于印发〈地方预决算公开操作规程〉的通知》（财预〔</w:t>
            </w:r>
            <w:r>
              <w:rPr>
                <w:bCs/>
                <w:kern w:val="0"/>
                <w:sz w:val="26"/>
                <w:szCs w:val="26"/>
              </w:rPr>
              <w:t>2016</w:t>
            </w:r>
            <w:r>
              <w:rPr>
                <w:bCs/>
                <w:kern w:val="0"/>
                <w:sz w:val="26"/>
                <w:szCs w:val="26"/>
              </w:rPr>
              <w:t>〕</w:t>
            </w:r>
            <w:r>
              <w:rPr>
                <w:bCs/>
                <w:kern w:val="0"/>
                <w:sz w:val="26"/>
                <w:szCs w:val="26"/>
              </w:rPr>
              <w:t>143</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本级政府财政部门批复后</w:t>
            </w:r>
            <w:r>
              <w:rPr>
                <w:kern w:val="0"/>
                <w:sz w:val="26"/>
              </w:rPr>
              <w:t>20</w:t>
            </w:r>
            <w:r>
              <w:rPr>
                <w:kern w:val="0"/>
                <w:sz w:val="26"/>
              </w:rPr>
              <w:t>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公示栏（电子屏）</w:t>
            </w:r>
          </w:p>
          <w:p>
            <w:pPr>
              <w:pStyle w:val="Normal"/>
              <w:widowControl/>
              <w:spacing w:lineRule="exact" w:line="280"/>
              <w:rPr/>
            </w:pPr>
            <w:r>
              <w:rPr>
                <w:bCs/>
                <w:kern w:val="0"/>
                <w:sz w:val="26"/>
                <w:szCs w:val="26"/>
              </w:rPr>
              <w:t>■</w:t>
            </w:r>
            <w:r>
              <w:rPr>
                <w:bCs/>
                <w:kern w:val="0"/>
                <w:sz w:val="26"/>
                <w:szCs w:val="26"/>
              </w:rPr>
              <w:t>部门网站</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财政专项资金</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县专项资金的制度文件。</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《中共中央办公厅国务院办公厅印发〈关于进一步推进预算公开工作的意见〉的通知》（中办发〔</w:t>
            </w:r>
            <w:r>
              <w:rPr>
                <w:bCs/>
                <w:kern w:val="0"/>
                <w:sz w:val="26"/>
                <w:szCs w:val="26"/>
              </w:rPr>
              <w:t>2016</w:t>
            </w:r>
            <w:r>
              <w:rPr>
                <w:bCs/>
                <w:kern w:val="0"/>
                <w:sz w:val="26"/>
                <w:szCs w:val="26"/>
              </w:rPr>
              <w:t>〕</w:t>
            </w:r>
            <w:r>
              <w:rPr>
                <w:bCs/>
                <w:kern w:val="0"/>
                <w:sz w:val="26"/>
                <w:szCs w:val="26"/>
              </w:rPr>
              <w:t>13</w:t>
            </w:r>
            <w:r>
              <w:rPr>
                <w:bCs/>
                <w:kern w:val="0"/>
                <w:sz w:val="26"/>
                <w:szCs w:val="26"/>
              </w:rPr>
              <w:t>号）；</w:t>
            </w:r>
          </w:p>
          <w:p>
            <w:pPr>
              <w:pStyle w:val="Normal"/>
              <w:widowControl/>
              <w:spacing w:lineRule="exact" w:line="300"/>
              <w:rPr>
                <w:rFonts w:eastAsia="仿宋_GB2312;仿宋"/>
                <w:kern w:val="0"/>
                <w:sz w:val="26"/>
                <w:szCs w:val="26"/>
              </w:rPr>
            </w:pPr>
            <w:r>
              <w:rPr>
                <w:rFonts w:eastAsia="仿宋_GB2312;仿宋"/>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893"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财政资金</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kern w:val="0"/>
                <w:sz w:val="26"/>
                <w:szCs w:val="26"/>
              </w:rPr>
              <w:t>财政专项资金</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财政专项资金</w:t>
            </w:r>
            <w:r>
              <w:rPr>
                <w:kern w:val="0"/>
                <w:sz w:val="26"/>
              </w:rPr>
              <w:t>管理和使用情况。</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《财政部关于推进基层财政专项支出预算公开的意见》（财预〔</w:t>
            </w:r>
            <w:r>
              <w:rPr>
                <w:bCs/>
                <w:kern w:val="0"/>
                <w:sz w:val="26"/>
                <w:szCs w:val="26"/>
              </w:rPr>
              <w:t>2011</w:t>
            </w:r>
            <w:r>
              <w:rPr>
                <w:bCs/>
                <w:kern w:val="0"/>
                <w:sz w:val="26"/>
                <w:szCs w:val="26"/>
              </w:rPr>
              <w:t>〕</w:t>
            </w:r>
            <w:r>
              <w:rPr>
                <w:bCs/>
                <w:kern w:val="0"/>
                <w:sz w:val="26"/>
                <w:szCs w:val="26"/>
              </w:rPr>
              <w:t>27</w:t>
            </w:r>
            <w:r>
              <w:rPr>
                <w:bCs/>
                <w:kern w:val="0"/>
                <w:sz w:val="26"/>
                <w:szCs w:val="26"/>
              </w:rPr>
              <w:t>号）；</w:t>
            </w:r>
          </w:p>
          <w:p>
            <w:pPr>
              <w:pStyle w:val="Normal"/>
              <w:widowControl/>
              <w:spacing w:lineRule="exact" w:line="300"/>
              <w:rPr/>
            </w:pPr>
            <w:r>
              <w:rPr>
                <w:bCs/>
                <w:kern w:val="0"/>
                <w:sz w:val="26"/>
                <w:szCs w:val="26"/>
              </w:rPr>
              <w:t>《中共中央办公厅国务院办公厅印发〈关于进一步推进预算公开工作的意见〉的通知》（中办发〔</w:t>
            </w:r>
            <w:r>
              <w:rPr>
                <w:bCs/>
                <w:kern w:val="0"/>
                <w:sz w:val="26"/>
                <w:szCs w:val="26"/>
              </w:rPr>
              <w:t>2016</w:t>
            </w:r>
            <w:r>
              <w:rPr>
                <w:bCs/>
                <w:kern w:val="0"/>
                <w:sz w:val="26"/>
                <w:szCs w:val="26"/>
              </w:rPr>
              <w:t>〕</w:t>
            </w:r>
            <w:r>
              <w:rPr>
                <w:bCs/>
                <w:kern w:val="0"/>
                <w:sz w:val="26"/>
                <w:szCs w:val="26"/>
              </w:rPr>
              <w:t>13</w:t>
            </w:r>
            <w:r>
              <w:rPr>
                <w:bCs/>
                <w:kern w:val="0"/>
                <w:sz w:val="26"/>
                <w:szCs w:val="26"/>
              </w:rPr>
              <w:t>号）；</w:t>
            </w:r>
          </w:p>
          <w:p>
            <w:pPr>
              <w:pStyle w:val="Normal"/>
              <w:widowControl/>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及时公开。</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bCs/>
                <w:kern w:val="0"/>
                <w:sz w:val="26"/>
                <w:szCs w:val="26"/>
              </w:rPr>
              <w:t>部门项目</w:t>
            </w:r>
            <w:r>
              <w:rPr>
                <w:bCs/>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公开项目实施主体、预算安排、绩效目标、绩效自评结果、绩效评价报告等信息。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《国务院办公厅关于印发</w:t>
            </w:r>
            <w:r>
              <w:rPr>
                <w:bCs/>
                <w:kern w:val="0"/>
                <w:sz w:val="26"/>
                <w:szCs w:val="26"/>
              </w:rPr>
              <w:t>2019</w:t>
            </w:r>
            <w:r>
              <w:rPr>
                <w:bCs/>
                <w:kern w:val="0"/>
                <w:sz w:val="26"/>
                <w:szCs w:val="26"/>
              </w:rPr>
              <w:t>年政务公开工作要点的通知》（国办发〔</w:t>
            </w:r>
            <w:r>
              <w:rPr>
                <w:bCs/>
                <w:kern w:val="0"/>
                <w:sz w:val="26"/>
                <w:szCs w:val="26"/>
              </w:rPr>
              <w:t>2019</w:t>
            </w:r>
            <w:r>
              <w:rPr>
                <w:bCs/>
                <w:kern w:val="0"/>
                <w:sz w:val="26"/>
                <w:szCs w:val="26"/>
              </w:rPr>
              <w:t>〕</w:t>
            </w:r>
            <w:r>
              <w:rPr>
                <w:bCs/>
                <w:kern w:val="0"/>
                <w:sz w:val="26"/>
                <w:szCs w:val="26"/>
              </w:rPr>
              <w:t>14</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自该信息形成或者变更之日起</w:t>
            </w:r>
            <w:r>
              <w:rPr>
                <w:bCs/>
                <w:kern w:val="0"/>
                <w:sz w:val="26"/>
                <w:szCs w:val="26"/>
              </w:rPr>
              <w:t>20</w:t>
            </w:r>
            <w:r>
              <w:rPr>
                <w:bCs/>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公示栏（电子屏）</w:t>
            </w:r>
          </w:p>
          <w:p>
            <w:pPr>
              <w:pStyle w:val="Normal"/>
              <w:widowControl/>
              <w:spacing w:lineRule="exact" w:line="280"/>
              <w:rPr/>
            </w:pPr>
            <w:r>
              <w:rPr>
                <w:bCs/>
                <w:kern w:val="0"/>
                <w:sz w:val="26"/>
                <w:szCs w:val="26"/>
              </w:rPr>
              <w:t>■</w:t>
            </w:r>
            <w:r>
              <w:rPr>
                <w:bCs/>
                <w:kern w:val="0"/>
                <w:sz w:val="26"/>
                <w:szCs w:val="26"/>
              </w:rPr>
              <w:t>部门网站</w:t>
            </w:r>
          </w:p>
          <w:p>
            <w:pPr>
              <w:pStyle w:val="Normal"/>
              <w:widowControl/>
              <w:spacing w:lineRule="exact" w:line="30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应急管理</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发布事故灾害类、社会安全事件类、自然灾害类和公共卫生事件类的应急预案、预警信息及应对情况等信息。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《中华人民共和国突发事件应对法》（主席令第</w:t>
            </w:r>
            <w:r>
              <w:rPr>
                <w:kern w:val="0"/>
                <w:sz w:val="26"/>
              </w:rPr>
              <w:t>69</w:t>
            </w:r>
            <w:r>
              <w:rPr>
                <w:kern w:val="0"/>
                <w:sz w:val="26"/>
              </w:rPr>
              <w:t>号）；</w:t>
            </w:r>
          </w:p>
          <w:p>
            <w:pPr>
              <w:pStyle w:val="Normal"/>
              <w:widowControl/>
              <w:spacing w:lineRule="exact" w:line="300"/>
              <w:rPr/>
            </w:pPr>
            <w:r>
              <w:rPr>
                <w:kern w:val="0"/>
                <w:sz w:val="26"/>
              </w:rPr>
              <w:t>《国务院办公厅关于印发突发事件应急预案管理办法的通知》（国办发〔</w:t>
            </w:r>
            <w:r>
              <w:rPr>
                <w:kern w:val="0"/>
                <w:sz w:val="26"/>
              </w:rPr>
              <w:t>2013</w:t>
            </w:r>
            <w:r>
              <w:rPr>
                <w:kern w:val="0"/>
                <w:sz w:val="26"/>
              </w:rPr>
              <w:t>〕</w:t>
            </w:r>
            <w:r>
              <w:rPr>
                <w:kern w:val="0"/>
                <w:sz w:val="26"/>
              </w:rPr>
              <w:t>101</w:t>
            </w:r>
            <w:r>
              <w:rPr>
                <w:kern w:val="0"/>
                <w:sz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按照法定时间公开。</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32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bCs/>
                <w:kern w:val="0"/>
                <w:sz w:val="26"/>
                <w:szCs w:val="26"/>
              </w:rPr>
            </w:pPr>
            <w:r>
              <w:rPr>
                <w:bCs/>
                <w:kern w:val="0"/>
                <w:sz w:val="26"/>
                <w:szCs w:val="26"/>
              </w:rPr>
              <w:t>精准脱贫</w:t>
            </w:r>
          </w:p>
          <w:p>
            <w:pPr>
              <w:pStyle w:val="Normal"/>
              <w:widowControl/>
              <w:spacing w:lineRule="exact" w:line="300"/>
              <w:jc w:val="center"/>
              <w:rPr>
                <w:bCs/>
                <w:kern w:val="0"/>
                <w:sz w:val="26"/>
                <w:szCs w:val="26"/>
              </w:rPr>
            </w:pPr>
            <w:r>
              <w:rPr>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bCs/>
                <w:kern w:val="0"/>
                <w:sz w:val="26"/>
                <w:szCs w:val="26"/>
              </w:rPr>
            </w:pPr>
            <w:r>
              <w:rPr>
                <w:bCs/>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60"/>
              <w:rPr>
                <w:kern w:val="0"/>
                <w:sz w:val="26"/>
                <w:szCs w:val="26"/>
              </w:rPr>
            </w:pPr>
            <w:r>
              <w:rPr>
                <w:kern w:val="0"/>
                <w:sz w:val="26"/>
                <w:szCs w:val="26"/>
              </w:rPr>
              <w:t>扶贫相关的政策文件、扶贫项目及帮扶工作信息。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420"/>
                <w:tab w:val="left" w:pos="585" w:leader="none"/>
              </w:tabs>
              <w:spacing w:lineRule="exact" w:line="300"/>
              <w:rPr/>
            </w:pPr>
            <w:r>
              <w:rPr>
                <w:bCs/>
                <w:kern w:val="0"/>
                <w:sz w:val="26"/>
                <w:szCs w:val="26"/>
              </w:rPr>
              <w:t>《国务院办公厅关于推进社会公益事业建设领域政府信息公开的意见》（国办发〔</w:t>
            </w:r>
            <w:r>
              <w:rPr>
                <w:bCs/>
                <w:kern w:val="0"/>
                <w:sz w:val="26"/>
                <w:szCs w:val="26"/>
              </w:rPr>
              <w:t>2018</w:t>
            </w:r>
            <w:r>
              <w:rPr>
                <w:bCs/>
                <w:kern w:val="0"/>
                <w:sz w:val="26"/>
                <w:szCs w:val="26"/>
              </w:rPr>
              <w:t>〕</w:t>
            </w:r>
            <w:r>
              <w:rPr>
                <w:bCs/>
                <w:kern w:val="0"/>
                <w:sz w:val="26"/>
                <w:szCs w:val="26"/>
              </w:rPr>
              <w:t>10</w:t>
            </w:r>
            <w:r>
              <w:rPr>
                <w:bCs/>
                <w:kern w:val="0"/>
                <w:sz w:val="26"/>
                <w:szCs w:val="26"/>
              </w:rPr>
              <w:t>号）；</w:t>
            </w:r>
          </w:p>
          <w:p>
            <w:pPr>
              <w:pStyle w:val="Normal"/>
              <w:widowControl/>
              <w:tabs>
                <w:tab w:val="clear" w:pos="420"/>
                <w:tab w:val="left" w:pos="585" w:leader="none"/>
              </w:tabs>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661"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bCs/>
                <w:kern w:val="0"/>
                <w:sz w:val="26"/>
                <w:szCs w:val="26"/>
              </w:rPr>
            </w:pPr>
            <w:r>
              <w:rPr>
                <w:bCs/>
                <w:kern w:val="0"/>
                <w:sz w:val="26"/>
                <w:szCs w:val="26"/>
              </w:rPr>
              <w:t>权责清单和动态调整情况</w:t>
            </w:r>
          </w:p>
          <w:p>
            <w:pPr>
              <w:pStyle w:val="Normal"/>
              <w:widowControl/>
              <w:spacing w:lineRule="exact" w:line="300"/>
              <w:jc w:val="center"/>
              <w:rPr>
                <w:bCs/>
                <w:kern w:val="0"/>
                <w:sz w:val="26"/>
                <w:szCs w:val="26"/>
              </w:rPr>
            </w:pPr>
            <w:r>
              <w:rPr>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bCs/>
                <w:kern w:val="0"/>
                <w:sz w:val="26"/>
                <w:szCs w:val="26"/>
              </w:rPr>
            </w:pPr>
            <w:r>
              <w:rPr>
                <w:bCs/>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60"/>
              <w:rPr>
                <w:kern w:val="0"/>
                <w:sz w:val="26"/>
                <w:szCs w:val="26"/>
              </w:rPr>
            </w:pPr>
            <w:r>
              <w:rPr>
                <w:kern w:val="0"/>
                <w:sz w:val="26"/>
                <w:szCs w:val="26"/>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《中共中央办公厅国务院办公厅印发〈关于推行地方各级政府工作部门权力清单制度的指导意见〉的通知》</w:t>
            </w:r>
            <w:r>
              <w:rPr>
                <w:kern w:val="0"/>
                <w:sz w:val="26"/>
              </w:rPr>
              <w:t>(</w:t>
            </w:r>
            <w:r>
              <w:rPr>
                <w:kern w:val="0"/>
                <w:sz w:val="26"/>
              </w:rPr>
              <w:t>中办发〔</w:t>
            </w:r>
            <w:r>
              <w:rPr>
                <w:kern w:val="0"/>
                <w:sz w:val="26"/>
              </w:rPr>
              <w:t>2015</w:t>
            </w:r>
            <w:r>
              <w:rPr>
                <w:kern w:val="0"/>
                <w:sz w:val="26"/>
              </w:rPr>
              <w:t>〕</w:t>
            </w:r>
            <w:r>
              <w:rPr>
                <w:kern w:val="0"/>
                <w:sz w:val="26"/>
              </w:rPr>
              <w:t>21</w:t>
            </w:r>
            <w:r>
              <w:rPr>
                <w:kern w:val="0"/>
                <w:sz w:val="26"/>
              </w:rPr>
              <w:t>号</w:t>
            </w:r>
            <w:r>
              <w:rPr>
                <w:kern w:val="0"/>
                <w:sz w:val="26"/>
              </w:rPr>
              <w:t>)</w:t>
            </w:r>
            <w:r>
              <w:rPr>
                <w:kern w:val="0"/>
                <w:sz w:val="26"/>
              </w:rPr>
              <w:t>；</w:t>
            </w:r>
          </w:p>
          <w:p>
            <w:pPr>
              <w:pStyle w:val="Normal"/>
              <w:widowControl/>
              <w:spacing w:lineRule="exact" w:line="300"/>
              <w:rPr/>
            </w:pPr>
            <w:r>
              <w:rPr>
                <w:bCs/>
                <w:kern w:val="0"/>
                <w:sz w:val="26"/>
                <w:szCs w:val="26"/>
              </w:rPr>
              <w:t>《国务院办公厅关于做好证明事项清理工作的通知》（国办发〔</w:t>
            </w:r>
            <w:r>
              <w:rPr>
                <w:bCs/>
                <w:kern w:val="0"/>
                <w:sz w:val="26"/>
                <w:szCs w:val="26"/>
              </w:rPr>
              <w:t>2018</w:t>
            </w:r>
            <w:r>
              <w:rPr>
                <w:bCs/>
                <w:kern w:val="0"/>
                <w:sz w:val="26"/>
                <w:szCs w:val="26"/>
              </w:rPr>
              <w:t>〕</w:t>
            </w:r>
            <w:r>
              <w:rPr>
                <w:bCs/>
                <w:kern w:val="0"/>
                <w:sz w:val="26"/>
                <w:szCs w:val="26"/>
              </w:rPr>
              <w:t>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16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bookmarkStart w:id="6" w:name="_Hlk11949435"/>
            <w:bookmarkStart w:id="7" w:name="OLE_LINK6"/>
            <w:bookmarkStart w:id="8" w:name="_Hlk11949435"/>
            <w:bookmarkStart w:id="9" w:name="OLE_LINK6"/>
            <w:bookmarkEnd w:id="8"/>
            <w:bookmarkEnd w:id="9"/>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行政权力</w:t>
            </w:r>
            <w:r>
              <w:rPr>
                <w:kern w:val="0"/>
                <w:sz w:val="26"/>
              </w:rPr>
              <w:t>运行结果</w:t>
            </w:r>
            <w:r>
              <w:rPr>
                <w:kern w:val="0"/>
                <w:sz w:val="26"/>
                <w:szCs w:val="26"/>
              </w:rPr>
              <w:br/>
            </w:r>
          </w:p>
        </w:tc>
        <w:tc>
          <w:tcPr>
            <w:tcW w:w="15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行政权力</w:t>
            </w:r>
            <w:r>
              <w:rPr>
                <w:kern w:val="0"/>
                <w:sz w:val="26"/>
              </w:rPr>
              <w:t>运行结果</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行政审批结果信息。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《山东省人民政府关于印发</w:t>
            </w:r>
            <w:r>
              <w:rPr>
                <w:rFonts w:ascii="微软雅黑" w:hAnsi="微软雅黑" w:cs="微软雅黑" w:eastAsia="微软雅黑"/>
                <w:bCs/>
                <w:kern w:val="0"/>
                <w:sz w:val="26"/>
                <w:szCs w:val="26"/>
              </w:rPr>
              <w:t>＜</w:t>
            </w:r>
            <w:r>
              <w:rPr>
                <w:bCs/>
                <w:kern w:val="0"/>
                <w:sz w:val="26"/>
                <w:szCs w:val="26"/>
              </w:rPr>
              <w:t>山东省政府部门权责清单管理办法</w:t>
            </w:r>
            <w:r>
              <w:rPr>
                <w:rFonts w:ascii="微软雅黑" w:hAnsi="微软雅黑" w:cs="微软雅黑" w:eastAsia="微软雅黑"/>
                <w:bCs/>
                <w:kern w:val="0"/>
                <w:sz w:val="26"/>
                <w:szCs w:val="26"/>
              </w:rPr>
              <w:t>＞</w:t>
            </w:r>
            <w:r>
              <w:rPr>
                <w:bCs/>
                <w:kern w:val="0"/>
                <w:sz w:val="26"/>
                <w:szCs w:val="26"/>
              </w:rPr>
              <w:t>的通知》（鲁政字〔</w:t>
            </w:r>
            <w:r>
              <w:rPr>
                <w:bCs/>
                <w:kern w:val="0"/>
                <w:sz w:val="26"/>
                <w:szCs w:val="26"/>
              </w:rPr>
              <w:t>2019</w:t>
            </w:r>
            <w:r>
              <w:rPr>
                <w:bCs/>
                <w:kern w:val="0"/>
                <w:sz w:val="26"/>
                <w:szCs w:val="26"/>
              </w:rPr>
              <w:t>〕</w:t>
            </w:r>
            <w:r>
              <w:rPr>
                <w:bCs/>
                <w:kern w:val="0"/>
                <w:sz w:val="26"/>
                <w:szCs w:val="26"/>
              </w:rPr>
              <w:t>247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1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kern w:val="0"/>
                <w:sz w:val="26"/>
                <w:szCs w:val="26"/>
              </w:rPr>
            </w:pPr>
            <w:r>
              <w:rPr>
                <w:rFonts w:eastAsia="方正黑体_GBK;微软雅黑"/>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行政处罚结果信息。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《山东省人民政府关于印发</w:t>
            </w:r>
            <w:r>
              <w:rPr>
                <w:rFonts w:ascii="微软雅黑" w:hAnsi="微软雅黑" w:cs="微软雅黑" w:eastAsia="微软雅黑"/>
                <w:bCs/>
                <w:kern w:val="0"/>
                <w:sz w:val="26"/>
                <w:szCs w:val="26"/>
              </w:rPr>
              <w:t>＜</w:t>
            </w:r>
            <w:r>
              <w:rPr>
                <w:bCs/>
                <w:kern w:val="0"/>
                <w:sz w:val="26"/>
                <w:szCs w:val="26"/>
              </w:rPr>
              <w:t>山东省政府部门权责清单管理办法</w:t>
            </w:r>
            <w:r>
              <w:rPr>
                <w:rFonts w:ascii="微软雅黑" w:hAnsi="微软雅黑" w:cs="微软雅黑" w:eastAsia="微软雅黑"/>
                <w:bCs/>
                <w:kern w:val="0"/>
                <w:sz w:val="26"/>
                <w:szCs w:val="26"/>
              </w:rPr>
              <w:t>＞</w:t>
            </w:r>
            <w:r>
              <w:rPr>
                <w:bCs/>
                <w:kern w:val="0"/>
                <w:sz w:val="26"/>
                <w:szCs w:val="26"/>
              </w:rPr>
              <w:t>的通知》（鲁政字〔</w:t>
            </w:r>
            <w:r>
              <w:rPr>
                <w:bCs/>
                <w:kern w:val="0"/>
                <w:sz w:val="26"/>
                <w:szCs w:val="26"/>
              </w:rPr>
              <w:t>2019</w:t>
            </w:r>
            <w:r>
              <w:rPr>
                <w:bCs/>
                <w:kern w:val="0"/>
                <w:sz w:val="26"/>
                <w:szCs w:val="26"/>
              </w:rPr>
              <w:t>〕</w:t>
            </w:r>
            <w:r>
              <w:rPr>
                <w:bCs/>
                <w:kern w:val="0"/>
                <w:sz w:val="26"/>
                <w:szCs w:val="26"/>
              </w:rPr>
              <w:t>247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作出行政处罚决定之日起</w:t>
            </w:r>
            <w:r>
              <w:rPr>
                <w:kern w:val="0"/>
                <w:sz w:val="26"/>
              </w:rPr>
              <w:t>7</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34"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kern w:val="0"/>
                <w:sz w:val="26"/>
                <w:szCs w:val="26"/>
              </w:rPr>
            </w:pPr>
            <w:r>
              <w:rPr>
                <w:rFonts w:eastAsia="方正黑体_GBK;微软雅黑"/>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行政奖励结果信息。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《山东省人民政府关于印发</w:t>
            </w:r>
            <w:r>
              <w:rPr>
                <w:rFonts w:ascii="微软雅黑" w:hAnsi="微软雅黑" w:cs="微软雅黑" w:eastAsia="微软雅黑"/>
                <w:bCs/>
                <w:kern w:val="0"/>
                <w:sz w:val="26"/>
                <w:szCs w:val="26"/>
              </w:rPr>
              <w:t>＜</w:t>
            </w:r>
            <w:r>
              <w:rPr>
                <w:bCs/>
                <w:kern w:val="0"/>
                <w:sz w:val="26"/>
                <w:szCs w:val="26"/>
              </w:rPr>
              <w:t>山东省政府部门权责清单管理办法</w:t>
            </w:r>
            <w:r>
              <w:rPr>
                <w:rFonts w:ascii="微软雅黑" w:hAnsi="微软雅黑" w:cs="微软雅黑" w:eastAsia="微软雅黑"/>
                <w:bCs/>
                <w:kern w:val="0"/>
                <w:sz w:val="26"/>
                <w:szCs w:val="26"/>
              </w:rPr>
              <w:t>＞</w:t>
            </w:r>
            <w:r>
              <w:rPr>
                <w:bCs/>
                <w:kern w:val="0"/>
                <w:sz w:val="26"/>
                <w:szCs w:val="26"/>
              </w:rPr>
              <w:t>的通知》（鲁政字〔</w:t>
            </w:r>
            <w:r>
              <w:rPr>
                <w:bCs/>
                <w:kern w:val="0"/>
                <w:sz w:val="26"/>
                <w:szCs w:val="26"/>
              </w:rPr>
              <w:t>2019</w:t>
            </w:r>
            <w:r>
              <w:rPr>
                <w:bCs/>
                <w:kern w:val="0"/>
                <w:sz w:val="26"/>
                <w:szCs w:val="26"/>
              </w:rPr>
              <w:t>〕</w:t>
            </w:r>
            <w:r>
              <w:rPr>
                <w:bCs/>
                <w:kern w:val="0"/>
                <w:sz w:val="26"/>
                <w:szCs w:val="26"/>
              </w:rPr>
              <w:t>247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自该信息形成或者变更之日起</w:t>
            </w:r>
            <w:r>
              <w:rPr>
                <w:bCs/>
                <w:kern w:val="0"/>
                <w:sz w:val="26"/>
                <w:szCs w:val="26"/>
              </w:rPr>
              <w:t>20</w:t>
            </w:r>
            <w:r>
              <w:rPr>
                <w:bCs/>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kern w:val="0"/>
                <w:sz w:val="26"/>
                <w:szCs w:val="26"/>
              </w:rPr>
            </w:pPr>
            <w:r>
              <w:rPr>
                <w:rFonts w:eastAsia="方正黑体_GBK;微软雅黑"/>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行政强制结果信息。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《山东省人民政府关于印发</w:t>
            </w:r>
            <w:r>
              <w:rPr>
                <w:rFonts w:ascii="微软雅黑" w:hAnsi="微软雅黑" w:cs="微软雅黑" w:eastAsia="微软雅黑"/>
                <w:bCs/>
                <w:kern w:val="0"/>
                <w:sz w:val="26"/>
                <w:szCs w:val="26"/>
              </w:rPr>
              <w:t>＜</w:t>
            </w:r>
            <w:r>
              <w:rPr>
                <w:bCs/>
                <w:kern w:val="0"/>
                <w:sz w:val="26"/>
                <w:szCs w:val="26"/>
              </w:rPr>
              <w:t>山东省政府部门权责清单管理办法</w:t>
            </w:r>
            <w:r>
              <w:rPr>
                <w:rFonts w:ascii="微软雅黑" w:hAnsi="微软雅黑" w:cs="微软雅黑" w:eastAsia="微软雅黑"/>
                <w:bCs/>
                <w:kern w:val="0"/>
                <w:sz w:val="26"/>
                <w:szCs w:val="26"/>
              </w:rPr>
              <w:t>＞</w:t>
            </w:r>
            <w:r>
              <w:rPr>
                <w:bCs/>
                <w:kern w:val="0"/>
                <w:sz w:val="26"/>
                <w:szCs w:val="26"/>
              </w:rPr>
              <w:t>的通知》（鲁政字〔</w:t>
            </w:r>
            <w:r>
              <w:rPr>
                <w:bCs/>
                <w:kern w:val="0"/>
                <w:sz w:val="26"/>
                <w:szCs w:val="26"/>
              </w:rPr>
              <w:t>2019</w:t>
            </w:r>
            <w:r>
              <w:rPr>
                <w:bCs/>
                <w:kern w:val="0"/>
                <w:sz w:val="26"/>
                <w:szCs w:val="26"/>
              </w:rPr>
              <w:t>〕</w:t>
            </w:r>
            <w:r>
              <w:rPr>
                <w:bCs/>
                <w:kern w:val="0"/>
                <w:sz w:val="26"/>
                <w:szCs w:val="26"/>
              </w:rPr>
              <w:t>247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自该信息形成或者变更之日起</w:t>
            </w:r>
            <w:r>
              <w:rPr>
                <w:bCs/>
                <w:kern w:val="0"/>
                <w:sz w:val="26"/>
                <w:szCs w:val="26"/>
              </w:rPr>
              <w:t>20</w:t>
            </w:r>
            <w:r>
              <w:rPr>
                <w:bCs/>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73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kern w:val="0"/>
                <w:sz w:val="26"/>
                <w:szCs w:val="26"/>
              </w:rPr>
            </w:pPr>
            <w:r>
              <w:rPr>
                <w:rFonts w:eastAsia="方正黑体_GBK;微软雅黑"/>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行政规划结果信息。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《山东省人民政府关于印发</w:t>
            </w:r>
            <w:r>
              <w:rPr>
                <w:rFonts w:ascii="微软雅黑" w:hAnsi="微软雅黑" w:cs="微软雅黑" w:eastAsia="微软雅黑"/>
                <w:bCs/>
                <w:kern w:val="0"/>
                <w:sz w:val="26"/>
                <w:szCs w:val="26"/>
              </w:rPr>
              <w:t>＜</w:t>
            </w:r>
            <w:r>
              <w:rPr>
                <w:bCs/>
                <w:kern w:val="0"/>
                <w:sz w:val="26"/>
                <w:szCs w:val="26"/>
              </w:rPr>
              <w:t>山东省政府部门权责清单管理办法</w:t>
            </w:r>
            <w:r>
              <w:rPr>
                <w:rFonts w:ascii="微软雅黑" w:hAnsi="微软雅黑" w:cs="微软雅黑" w:eastAsia="微软雅黑"/>
                <w:bCs/>
                <w:kern w:val="0"/>
                <w:sz w:val="26"/>
                <w:szCs w:val="26"/>
              </w:rPr>
              <w:t>＞</w:t>
            </w:r>
            <w:r>
              <w:rPr>
                <w:bCs/>
                <w:kern w:val="0"/>
                <w:sz w:val="26"/>
                <w:szCs w:val="26"/>
              </w:rPr>
              <w:t>的通知》（鲁政字〔</w:t>
            </w:r>
            <w:r>
              <w:rPr>
                <w:bCs/>
                <w:kern w:val="0"/>
                <w:sz w:val="26"/>
                <w:szCs w:val="26"/>
              </w:rPr>
              <w:t>2019</w:t>
            </w:r>
            <w:r>
              <w:rPr>
                <w:bCs/>
                <w:kern w:val="0"/>
                <w:sz w:val="26"/>
                <w:szCs w:val="26"/>
              </w:rPr>
              <w:t>〕</w:t>
            </w:r>
            <w:r>
              <w:rPr>
                <w:bCs/>
                <w:kern w:val="0"/>
                <w:sz w:val="26"/>
                <w:szCs w:val="26"/>
              </w:rPr>
              <w:t>247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自该信息形成或者变更之日起</w:t>
            </w:r>
            <w:r>
              <w:rPr>
                <w:bCs/>
                <w:kern w:val="0"/>
                <w:sz w:val="26"/>
                <w:szCs w:val="26"/>
              </w:rPr>
              <w:t>20</w:t>
            </w:r>
            <w:r>
              <w:rPr>
                <w:bCs/>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35"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行政权力</w:t>
            </w:r>
            <w:r>
              <w:rPr>
                <w:kern w:val="0"/>
                <w:sz w:val="26"/>
                <w:szCs w:val="26"/>
              </w:rPr>
              <w:br/>
            </w:r>
            <w:r>
              <w:rPr>
                <w:kern w:val="0"/>
                <w:sz w:val="26"/>
              </w:rPr>
              <w:t>运行</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行政权力</w:t>
            </w:r>
            <w:r>
              <w:rPr>
                <w:kern w:val="0"/>
                <w:sz w:val="26"/>
              </w:rPr>
              <w:t>运行结果</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其他权力结果信息。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《山东省人民政府关于印发</w:t>
            </w:r>
            <w:r>
              <w:rPr>
                <w:rFonts w:ascii="微软雅黑" w:hAnsi="微软雅黑" w:cs="微软雅黑" w:eastAsia="微软雅黑"/>
                <w:bCs/>
                <w:kern w:val="0"/>
                <w:sz w:val="26"/>
                <w:szCs w:val="26"/>
              </w:rPr>
              <w:t>＜</w:t>
            </w:r>
            <w:r>
              <w:rPr>
                <w:bCs/>
                <w:kern w:val="0"/>
                <w:sz w:val="26"/>
                <w:szCs w:val="26"/>
              </w:rPr>
              <w:t>山东省政府部门权责清单管理办法</w:t>
            </w:r>
            <w:r>
              <w:rPr>
                <w:rFonts w:ascii="微软雅黑" w:hAnsi="微软雅黑" w:cs="微软雅黑" w:eastAsia="微软雅黑"/>
                <w:bCs/>
                <w:kern w:val="0"/>
                <w:sz w:val="26"/>
                <w:szCs w:val="26"/>
              </w:rPr>
              <w:t>＞</w:t>
            </w:r>
            <w:r>
              <w:rPr>
                <w:bCs/>
                <w:kern w:val="0"/>
                <w:sz w:val="26"/>
                <w:szCs w:val="26"/>
              </w:rPr>
              <w:t>的通知》（鲁政字〔</w:t>
            </w:r>
            <w:r>
              <w:rPr>
                <w:bCs/>
                <w:kern w:val="0"/>
                <w:sz w:val="26"/>
                <w:szCs w:val="26"/>
              </w:rPr>
              <w:t>2019</w:t>
            </w:r>
            <w:r>
              <w:rPr>
                <w:bCs/>
                <w:kern w:val="0"/>
                <w:sz w:val="26"/>
                <w:szCs w:val="26"/>
              </w:rPr>
              <w:t>〕</w:t>
            </w:r>
            <w:r>
              <w:rPr>
                <w:bCs/>
                <w:kern w:val="0"/>
                <w:sz w:val="26"/>
                <w:szCs w:val="26"/>
              </w:rPr>
              <w:t>247</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1848"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行政许可和行政处罚双公示</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行政许可和行政处罚双公示信息。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《国家发展改革委办公厅关于进一步完善行政许可和行政处罚等信用信息公示工作的指导意见》（发改办财金〔</w:t>
            </w:r>
            <w:r>
              <w:rPr>
                <w:bCs/>
                <w:kern w:val="0"/>
                <w:sz w:val="26"/>
                <w:szCs w:val="26"/>
              </w:rPr>
              <w:t>2018</w:t>
            </w:r>
            <w:r>
              <w:rPr>
                <w:bCs/>
                <w:kern w:val="0"/>
                <w:sz w:val="26"/>
                <w:szCs w:val="26"/>
              </w:rPr>
              <w:t>〕</w:t>
            </w:r>
            <w:r>
              <w:rPr>
                <w:bCs/>
                <w:kern w:val="0"/>
                <w:sz w:val="26"/>
                <w:szCs w:val="26"/>
              </w:rPr>
              <w:t>424</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作出行政许可、行政处罚决定之日起</w:t>
            </w:r>
            <w:r>
              <w:rPr>
                <w:kern w:val="0"/>
                <w:sz w:val="26"/>
              </w:rPr>
              <w:t>7</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行政执法公示</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公开行政执法职责、执法依据、执法程序、监督途径和执法结果等信息。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《国务院办公厅关于全面推行行政执法公示制度执法全过程记录制度》（国办发〔</w:t>
            </w:r>
            <w:r>
              <w:rPr>
                <w:bCs/>
                <w:kern w:val="0"/>
                <w:sz w:val="26"/>
                <w:szCs w:val="26"/>
              </w:rPr>
              <w:t>2018</w:t>
            </w:r>
            <w:r>
              <w:rPr>
                <w:bCs/>
                <w:kern w:val="0"/>
                <w:sz w:val="26"/>
                <w:szCs w:val="26"/>
              </w:rPr>
              <w:t>〕</w:t>
            </w:r>
            <w:r>
              <w:rPr>
                <w:bCs/>
                <w:kern w:val="0"/>
                <w:sz w:val="26"/>
                <w:szCs w:val="26"/>
              </w:rPr>
              <w:t>118</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35"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rFonts w:ascii="微软雅黑" w:hAnsi="微软雅黑" w:cs="微软雅黑" w:eastAsia="微软雅黑"/>
                <w:kern w:val="0"/>
                <w:sz w:val="26"/>
                <w:szCs w:val="26"/>
              </w:rPr>
              <w:t>“</w:t>
            </w:r>
            <w:r>
              <w:rPr>
                <w:kern w:val="0"/>
                <w:sz w:val="26"/>
                <w:szCs w:val="26"/>
              </w:rPr>
              <w:t>双随机一公开</w:t>
            </w:r>
            <w:r>
              <w:rPr>
                <w:rFonts w:eastAsia="微软雅黑"/>
                <w:kern w:val="0"/>
                <w:sz w:val="26"/>
                <w:szCs w:val="26"/>
              </w:rPr>
              <w:t>”</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监管过程中随机抽取检查对象、随机选派执法检查人员信息，抽查情况及查处结果信息（涉及的部门添加此栏目）。</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20"/>
              <w:rPr/>
            </w:pPr>
            <w:r>
              <w:rPr>
                <w:bCs/>
                <w:kern w:val="0"/>
                <w:sz w:val="26"/>
                <w:szCs w:val="26"/>
              </w:rPr>
              <w:t>《国务院办公厅关于推广随机抽查规范事中事后监管的通知》（国办发〔</w:t>
            </w:r>
            <w:r>
              <w:rPr>
                <w:bCs/>
                <w:kern w:val="0"/>
                <w:sz w:val="26"/>
                <w:szCs w:val="26"/>
              </w:rPr>
              <w:t>2015</w:t>
            </w:r>
            <w:r>
              <w:rPr>
                <w:bCs/>
                <w:kern w:val="0"/>
                <w:sz w:val="26"/>
                <w:szCs w:val="26"/>
              </w:rPr>
              <w:t>〕</w:t>
            </w:r>
            <w:r>
              <w:rPr>
                <w:bCs/>
                <w:kern w:val="0"/>
                <w:sz w:val="26"/>
                <w:szCs w:val="26"/>
              </w:rPr>
              <w:t>58</w:t>
            </w:r>
            <w:r>
              <w:rPr>
                <w:bCs/>
                <w:kern w:val="0"/>
                <w:sz w:val="26"/>
                <w:szCs w:val="26"/>
              </w:rPr>
              <w:t>号）；</w:t>
            </w:r>
          </w:p>
          <w:p>
            <w:pPr>
              <w:pStyle w:val="Normal"/>
              <w:widowControl/>
              <w:spacing w:lineRule="exact" w:line="32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检查及查处结果作出之日起的</w:t>
            </w:r>
            <w:r>
              <w:rPr>
                <w:kern w:val="0"/>
                <w:sz w:val="26"/>
              </w:rPr>
              <w:t>7</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6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1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网上</w:t>
            </w:r>
            <w:r>
              <w:rPr>
                <w:kern w:val="0"/>
                <w:sz w:val="26"/>
                <w:szCs w:val="26"/>
              </w:rPr>
              <w:br/>
            </w:r>
            <w:r>
              <w:rPr>
                <w:kern w:val="0"/>
                <w:sz w:val="26"/>
              </w:rPr>
              <w:t>政务服务</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公开办事指南及流程、公共服务事项办件结果、企业及个人全生命周期事项办理指南、流程、过程结果查询等信息（可链接到山东省政务服务网）。</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《国务院关于加快推进</w:t>
            </w:r>
            <w:r>
              <w:rPr>
                <w:bCs/>
                <w:kern w:val="0"/>
                <w:sz w:val="26"/>
                <w:szCs w:val="26"/>
              </w:rPr>
              <w:t>“</w:t>
            </w:r>
            <w:r>
              <w:rPr>
                <w:bCs/>
                <w:kern w:val="0"/>
                <w:sz w:val="26"/>
                <w:szCs w:val="26"/>
              </w:rPr>
              <w:t>互联网</w:t>
            </w:r>
            <w:r>
              <w:rPr>
                <w:bCs/>
                <w:kern w:val="0"/>
                <w:sz w:val="26"/>
                <w:szCs w:val="26"/>
              </w:rPr>
              <w:t>+</w:t>
            </w:r>
            <w:r>
              <w:rPr>
                <w:bCs/>
                <w:kern w:val="0"/>
                <w:sz w:val="26"/>
                <w:szCs w:val="26"/>
              </w:rPr>
              <w:t>政务服务</w:t>
            </w:r>
            <w:r>
              <w:rPr>
                <w:bCs/>
                <w:kern w:val="0"/>
                <w:sz w:val="26"/>
                <w:szCs w:val="26"/>
              </w:rPr>
              <w:t>”</w:t>
            </w:r>
            <w:r>
              <w:rPr>
                <w:bCs/>
                <w:kern w:val="0"/>
                <w:sz w:val="26"/>
                <w:szCs w:val="26"/>
              </w:rPr>
              <w:t>工作的指导意见》（国发〔</w:t>
            </w:r>
            <w:r>
              <w:rPr>
                <w:bCs/>
                <w:kern w:val="0"/>
                <w:sz w:val="26"/>
                <w:szCs w:val="26"/>
              </w:rPr>
              <w:t>2016</w:t>
            </w:r>
            <w:r>
              <w:rPr>
                <w:bCs/>
                <w:kern w:val="0"/>
                <w:sz w:val="26"/>
                <w:szCs w:val="26"/>
              </w:rPr>
              <w:t>〕</w:t>
            </w:r>
            <w:r>
              <w:rPr>
                <w:bCs/>
                <w:kern w:val="0"/>
                <w:sz w:val="26"/>
                <w:szCs w:val="26"/>
              </w:rPr>
              <w:t>55</w:t>
            </w:r>
            <w:r>
              <w:rPr>
                <w:bCs/>
                <w:kern w:val="0"/>
                <w:sz w:val="26"/>
                <w:szCs w:val="26"/>
              </w:rPr>
              <w:t>号）；</w:t>
            </w:r>
          </w:p>
          <w:p>
            <w:pPr>
              <w:pStyle w:val="Normal"/>
              <w:widowControl/>
              <w:spacing w:lineRule="exact" w:line="300"/>
              <w:rPr/>
            </w:pPr>
            <w:r>
              <w:rPr>
                <w:bCs/>
                <w:kern w:val="0"/>
                <w:sz w:val="26"/>
                <w:szCs w:val="26"/>
              </w:rPr>
              <w:t>《国务院办公厅关于印发进一步深化</w:t>
            </w:r>
            <w:r>
              <w:rPr>
                <w:bCs/>
                <w:kern w:val="0"/>
                <w:sz w:val="26"/>
                <w:szCs w:val="26"/>
              </w:rPr>
              <w:t>“</w:t>
            </w:r>
            <w:r>
              <w:rPr>
                <w:bCs/>
                <w:kern w:val="0"/>
                <w:sz w:val="26"/>
                <w:szCs w:val="26"/>
              </w:rPr>
              <w:t>互联网</w:t>
            </w:r>
            <w:r>
              <w:rPr>
                <w:bCs/>
                <w:kern w:val="0"/>
                <w:sz w:val="26"/>
                <w:szCs w:val="26"/>
              </w:rPr>
              <w:t>+</w:t>
            </w:r>
            <w:r>
              <w:rPr>
                <w:bCs/>
                <w:kern w:val="0"/>
                <w:sz w:val="26"/>
                <w:szCs w:val="26"/>
              </w:rPr>
              <w:t>政务服务</w:t>
            </w:r>
            <w:r>
              <w:rPr>
                <w:bCs/>
                <w:kern w:val="0"/>
                <w:sz w:val="26"/>
                <w:szCs w:val="26"/>
              </w:rPr>
              <w:t>”</w:t>
            </w:r>
            <w:r>
              <w:rPr>
                <w:bCs/>
                <w:kern w:val="0"/>
                <w:sz w:val="26"/>
                <w:szCs w:val="26"/>
              </w:rPr>
              <w:t>推进政务服务</w:t>
            </w:r>
            <w:r>
              <w:rPr>
                <w:bCs/>
                <w:kern w:val="0"/>
                <w:sz w:val="26"/>
                <w:szCs w:val="26"/>
              </w:rPr>
              <w:t>“</w:t>
            </w:r>
            <w:r>
              <w:rPr>
                <w:bCs/>
                <w:kern w:val="0"/>
                <w:sz w:val="26"/>
                <w:szCs w:val="26"/>
              </w:rPr>
              <w:t>一网、一门、一次</w:t>
            </w:r>
            <w:r>
              <w:rPr>
                <w:bCs/>
                <w:kern w:val="0"/>
                <w:sz w:val="26"/>
                <w:szCs w:val="26"/>
              </w:rPr>
              <w:t>”</w:t>
            </w:r>
            <w:r>
              <w:rPr>
                <w:bCs/>
                <w:kern w:val="0"/>
                <w:sz w:val="26"/>
                <w:szCs w:val="26"/>
              </w:rPr>
              <w:t>改革实施方案的通知》（国办发〔</w:t>
            </w:r>
            <w:r>
              <w:rPr>
                <w:bCs/>
                <w:kern w:val="0"/>
                <w:sz w:val="26"/>
                <w:szCs w:val="26"/>
              </w:rPr>
              <w:t>2018</w:t>
            </w:r>
            <w:r>
              <w:rPr>
                <w:bCs/>
                <w:kern w:val="0"/>
                <w:sz w:val="26"/>
                <w:szCs w:val="26"/>
              </w:rPr>
              <w:t>〕</w:t>
            </w:r>
            <w:r>
              <w:rPr>
                <w:bCs/>
                <w:kern w:val="0"/>
                <w:sz w:val="26"/>
                <w:szCs w:val="26"/>
              </w:rPr>
              <w:t>45</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401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招标采购</w:t>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kern w:val="0"/>
                <w:sz w:val="26"/>
                <w:szCs w:val="26"/>
              </w:rPr>
            </w:pPr>
            <w:r>
              <w:rPr>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公开招标公示、招标采购预算及中标候选人公告，成交情况及实施情况等信息。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rPr>
              <w:t>《中华人民共和国政府信息公开条例》（国务院令第</w:t>
            </w:r>
            <w:r>
              <w:rPr>
                <w:kern w:val="0"/>
                <w:sz w:val="26"/>
              </w:rPr>
              <w:t>492</w:t>
            </w:r>
            <w:r>
              <w:rPr>
                <w:kern w:val="0"/>
                <w:sz w:val="26"/>
              </w:rPr>
              <w:t>号）；</w:t>
            </w:r>
          </w:p>
          <w:p>
            <w:pPr>
              <w:pStyle w:val="Normal"/>
              <w:widowControl/>
              <w:spacing w:lineRule="exact" w:line="300"/>
              <w:rPr/>
            </w:pPr>
            <w:r>
              <w:rPr>
                <w:kern w:val="0"/>
                <w:sz w:val="26"/>
              </w:rPr>
              <w:t>《中华人民共和国招标投标法实施条例》（国务院令第</w:t>
            </w:r>
            <w:r>
              <w:rPr>
                <w:kern w:val="0"/>
                <w:sz w:val="26"/>
              </w:rPr>
              <w:t>698</w:t>
            </w:r>
            <w:r>
              <w:rPr>
                <w:kern w:val="0"/>
                <w:sz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按照规定及时公开。</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rFonts w:eastAsia="Times New Roman"/>
                <w:bCs/>
                <w:kern w:val="0"/>
                <w:sz w:val="26"/>
                <w:szCs w:val="26"/>
              </w:rPr>
            </w:pP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510"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jc w:val="center"/>
              <w:rPr>
                <w:rFonts w:eastAsia="方正黑体_GBK;微软雅黑"/>
                <w:kern w:val="0"/>
                <w:sz w:val="26"/>
                <w:szCs w:val="26"/>
              </w:rPr>
            </w:pPr>
            <w:r>
              <w:rPr>
                <w:rFonts w:eastAsia="方正黑体_GBK;微软雅黑"/>
                <w:kern w:val="0"/>
                <w:sz w:val="26"/>
                <w:szCs w:val="26"/>
              </w:rPr>
              <w:t>重点</w:t>
            </w:r>
          </w:p>
          <w:p>
            <w:pPr>
              <w:pStyle w:val="Normal"/>
              <w:spacing w:lineRule="exact" w:line="300"/>
              <w:jc w:val="center"/>
              <w:rPr>
                <w:rFonts w:eastAsia="方正黑体_GBK;微软雅黑"/>
                <w:kern w:val="0"/>
                <w:sz w:val="26"/>
                <w:szCs w:val="26"/>
              </w:rPr>
            </w:pPr>
            <w:r>
              <w:rPr>
                <w:rFonts w:eastAsia="方正黑体_GBK;微软雅黑"/>
                <w:kern w:val="0"/>
                <w:sz w:val="26"/>
                <w:szCs w:val="26"/>
              </w:rPr>
              <w:t>领域</w:t>
            </w:r>
          </w:p>
          <w:p>
            <w:pPr>
              <w:pStyle w:val="Normal"/>
              <w:spacing w:lineRule="exact" w:line="300"/>
              <w:jc w:val="center"/>
              <w:rPr>
                <w:rFonts w:eastAsia="方正黑体_GBK;微软雅黑"/>
                <w:kern w:val="0"/>
                <w:sz w:val="26"/>
                <w:szCs w:val="26"/>
              </w:rPr>
            </w:pPr>
            <w:r>
              <w:rPr>
                <w:rFonts w:eastAsia="方正黑体_GBK;微软雅黑"/>
                <w:kern w:val="0"/>
                <w:sz w:val="26"/>
                <w:szCs w:val="26"/>
              </w:rPr>
              <w:t>信息</w:t>
            </w:r>
          </w:p>
          <w:p>
            <w:pPr>
              <w:pStyle w:val="Normal"/>
              <w:spacing w:lineRule="exact" w:line="300"/>
              <w:jc w:val="center"/>
              <w:rPr>
                <w:rFonts w:eastAsia="方正黑体_GBK;微软雅黑"/>
                <w:kern w:val="0"/>
                <w:sz w:val="26"/>
                <w:szCs w:val="26"/>
              </w:rPr>
            </w:pPr>
            <w:r>
              <w:rPr>
                <w:rFonts w:eastAsia="方正黑体_GBK;微软雅黑"/>
                <w:kern w:val="0"/>
                <w:sz w:val="26"/>
                <w:szCs w:val="26"/>
              </w:rPr>
              <w:t>公开</w:t>
            </w:r>
          </w:p>
          <w:p>
            <w:pPr>
              <w:pStyle w:val="Normal"/>
              <w:spacing w:lineRule="exact" w:line="300"/>
              <w:jc w:val="center"/>
              <w:rPr>
                <w:rFonts w:eastAsia="方正黑体_GBK;微软雅黑"/>
                <w:kern w:val="0"/>
                <w:sz w:val="26"/>
                <w:szCs w:val="26"/>
              </w:rPr>
            </w:pPr>
            <w:r>
              <w:rPr>
                <w:rFonts w:eastAsia="方正黑体_GBK;微软雅黑"/>
                <w:kern w:val="0"/>
                <w:sz w:val="26"/>
                <w:szCs w:val="26"/>
              </w:rPr>
              <w:t>（根据职能及承担的重点领域信息公开任务设置目录）</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rPr>
            </w:pPr>
            <w:r>
              <w:rPr>
                <w:rFonts w:eastAsia="方正黑体_GBK;微软雅黑"/>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rPr>
            </w:pPr>
            <w:r>
              <w:rPr>
                <w:rFonts w:eastAsia="方正黑体_GBK;微软雅黑"/>
                <w:kern w:val="0"/>
                <w:sz w:val="26"/>
                <w:szCs w:val="26"/>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rFonts w:eastAsia="方正黑体_GBK;微软雅黑"/>
                <w:kern w:val="0"/>
                <w:sz w:val="26"/>
                <w:szCs w:val="26"/>
              </w:rPr>
            </w:pPr>
            <w:r>
              <w:rPr>
                <w:rFonts w:eastAsia="方正黑体_GBK;微软雅黑"/>
                <w:kern w:val="0"/>
                <w:sz w:val="26"/>
                <w:szCs w:val="26"/>
              </w:rPr>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bCs/>
                <w:kern w:val="0"/>
                <w:sz w:val="26"/>
                <w:szCs w:val="26"/>
              </w:rPr>
            </w:pPr>
            <w:r>
              <w:rPr>
                <w:bCs/>
                <w:kern w:val="0"/>
                <w:sz w:val="26"/>
                <w:szCs w:val="26"/>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rPr>
                <w:bCs/>
                <w:kern w:val="0"/>
                <w:sz w:val="26"/>
                <w:szCs w:val="26"/>
              </w:rPr>
            </w:pPr>
            <w:r>
              <w:rPr>
                <w:bCs/>
                <w:kern w:val="0"/>
                <w:sz w:val="26"/>
                <w:szCs w:val="26"/>
              </w:rPr>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831"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新闻</w:t>
            </w:r>
          </w:p>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发布</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新闻</w:t>
            </w:r>
          </w:p>
          <w:p>
            <w:pPr>
              <w:pStyle w:val="Normal"/>
              <w:widowControl/>
              <w:spacing w:lineRule="exact" w:line="300"/>
              <w:jc w:val="center"/>
              <w:rPr>
                <w:kern w:val="0"/>
                <w:sz w:val="26"/>
                <w:szCs w:val="26"/>
              </w:rPr>
            </w:pPr>
            <w:r>
              <w:rPr>
                <w:kern w:val="0"/>
                <w:sz w:val="26"/>
                <w:szCs w:val="26"/>
              </w:rPr>
              <w:t>发布</w:t>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制度安排</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新闻发布制度、工作机制和年度安排</w:t>
            </w:r>
            <w:r>
              <w:rPr>
                <w:spacing w:val="-6"/>
                <w:kern w:val="0"/>
                <w:sz w:val="26"/>
                <w:szCs w:val="26"/>
              </w:rPr>
              <w:t>（发布主题、发布形式、发布时间等）。</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《中华人民共和国政府信息公开条例》（国务院令第</w:t>
            </w:r>
            <w:r>
              <w:rPr>
                <w:bCs/>
                <w:kern w:val="0"/>
                <w:sz w:val="26"/>
                <w:szCs w:val="26"/>
              </w:rPr>
              <w:t>711</w:t>
            </w:r>
            <w:r>
              <w:rPr>
                <w:bCs/>
                <w:kern w:val="0"/>
                <w:sz w:val="26"/>
                <w:szCs w:val="26"/>
              </w:rPr>
              <w:t>号）；</w:t>
            </w:r>
          </w:p>
          <w:p>
            <w:pPr>
              <w:pStyle w:val="Normal"/>
              <w:widowControl/>
              <w:spacing w:lineRule="exact" w:line="30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按规定及时发布。</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政策</w:t>
            </w:r>
          </w:p>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解读</w:t>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政策</w:t>
            </w:r>
            <w:r>
              <w:rPr>
                <w:kern w:val="0"/>
                <w:sz w:val="26"/>
                <w:szCs w:val="26"/>
              </w:rPr>
              <w:br/>
            </w:r>
            <w:r>
              <w:rPr>
                <w:kern w:val="0"/>
                <w:sz w:val="26"/>
              </w:rPr>
              <w:t>解读</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上级政策</w:t>
            </w:r>
            <w:r>
              <w:rPr>
                <w:kern w:val="0"/>
                <w:sz w:val="26"/>
                <w:szCs w:val="26"/>
              </w:rPr>
              <w:br/>
            </w:r>
            <w:r>
              <w:rPr>
                <w:kern w:val="0"/>
                <w:sz w:val="26"/>
              </w:rPr>
              <w:t>解读</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转发国家和省、市、县（市、区）等上级机关或者专家、学者关于法律法规规章及上级重要政策措施的解读。</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部门解读</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深入解读重要政策文件的制定背景、起草过程、工作目标、主要内容、创新举措和下一步工作考虑等。鼓励采用图片图表、音频视频、卡通动漫等群众喜闻乐见的展现形式提升解读效果。</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left"/>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635"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回应</w:t>
            </w:r>
          </w:p>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关切</w:t>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回应</w:t>
            </w:r>
          </w:p>
          <w:p>
            <w:pPr>
              <w:pStyle w:val="Normal"/>
              <w:widowControl/>
              <w:spacing w:lineRule="exact" w:line="300"/>
              <w:jc w:val="center"/>
              <w:rPr/>
            </w:pPr>
            <w:r>
              <w:rPr>
                <w:kern w:val="0"/>
                <w:sz w:val="26"/>
                <w:szCs w:val="26"/>
              </w:rPr>
              <w:t>关切</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主动回应</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kern w:val="0"/>
                <w:sz w:val="26"/>
                <w:szCs w:val="26"/>
              </w:rPr>
            </w:pPr>
            <w:r>
              <w:rPr>
                <w:kern w:val="0"/>
                <w:sz w:val="26"/>
                <w:szCs w:val="26"/>
              </w:rPr>
              <w:t>公开与本部门职能相关的社会热点，以及人民群众办事的堵点痛点等信息；接受新闻媒体采访、转载新闻媒体正面宣传报道以及针对涉及群众切身利益、影响社会稳定和突发公共事件的重点事项等信息。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60"/>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p>
            <w:pPr>
              <w:pStyle w:val="Normal"/>
              <w:widowControl/>
              <w:spacing w:lineRule="exact" w:line="26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按规定及时公开。</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rFonts w:eastAsia="Times New Roman"/>
                <w:bCs/>
                <w:kern w:val="0"/>
                <w:sz w:val="26"/>
                <w:szCs w:val="26"/>
              </w:rPr>
            </w:pP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659"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bCs/>
                <w:kern w:val="0"/>
                <w:sz w:val="26"/>
                <w:szCs w:val="26"/>
              </w:rPr>
            </w:pPr>
            <w:r>
              <w:rPr>
                <w:rFonts w:eastAsia="方正黑体_GBK;微软雅黑"/>
                <w:bCs/>
                <w:kern w:val="0"/>
                <w:sz w:val="26"/>
                <w:szCs w:val="26"/>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互动回应</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bCs/>
                <w:kern w:val="0"/>
                <w:sz w:val="26"/>
                <w:szCs w:val="26"/>
              </w:rPr>
            </w:pPr>
            <w:r>
              <w:rPr>
                <w:bCs/>
                <w:kern w:val="0"/>
                <w:sz w:val="26"/>
                <w:szCs w:val="26"/>
              </w:rPr>
              <w:t>在收集分析研判舆情的基础上，针对舆论关注的焦点、热点和群众投诉咨询问题的互动回应、回复处理内容。</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60"/>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p>
            <w:pPr>
              <w:pStyle w:val="Normal"/>
              <w:widowControl/>
              <w:spacing w:lineRule="exact" w:line="260"/>
              <w:rPr>
                <w:bCs/>
                <w:kern w:val="0"/>
                <w:sz w:val="26"/>
                <w:szCs w:val="26"/>
              </w:rPr>
            </w:pPr>
            <w:r>
              <w:rPr>
                <w:bCs/>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按规定及时公开。</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5004"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监督</w:t>
            </w:r>
          </w:p>
          <w:p>
            <w:pPr>
              <w:pStyle w:val="Normal"/>
              <w:widowControl/>
              <w:spacing w:lineRule="exact" w:line="300"/>
              <w:jc w:val="center"/>
              <w:rPr>
                <w:rFonts w:eastAsia="方正黑体_GBK;微软雅黑"/>
                <w:kern w:val="0"/>
                <w:sz w:val="26"/>
                <w:szCs w:val="26"/>
              </w:rPr>
            </w:pPr>
            <w:r>
              <w:rPr>
                <w:rFonts w:eastAsia="方正黑体_GBK;微软雅黑"/>
                <w:kern w:val="0"/>
                <w:sz w:val="26"/>
                <w:szCs w:val="26"/>
              </w:rPr>
              <w:t>保障</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监督</w:t>
            </w:r>
          </w:p>
          <w:p>
            <w:pPr>
              <w:pStyle w:val="Normal"/>
              <w:widowControl/>
              <w:spacing w:lineRule="exact" w:line="300"/>
              <w:jc w:val="center"/>
              <w:rPr/>
            </w:pPr>
            <w:r>
              <w:rPr>
                <w:kern w:val="0"/>
                <w:sz w:val="26"/>
                <w:szCs w:val="26"/>
              </w:rPr>
              <w:t>保障</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公开制度</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kern w:val="0"/>
                <w:sz w:val="24"/>
              </w:rPr>
            </w:pPr>
            <w:r>
              <w:rPr>
                <w:kern w:val="0"/>
                <w:sz w:val="24"/>
              </w:rPr>
              <w:t>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《中华人民共和国政府信息公开条例》（国务院令第</w:t>
            </w:r>
            <w:r>
              <w:rPr>
                <w:bCs/>
                <w:kern w:val="0"/>
                <w:sz w:val="26"/>
                <w:szCs w:val="26"/>
              </w:rPr>
              <w:t>711</w:t>
            </w:r>
            <w:r>
              <w:rPr>
                <w:bCs/>
                <w:kern w:val="0"/>
                <w:sz w:val="26"/>
                <w:szCs w:val="26"/>
              </w:rPr>
              <w:t>号）；</w:t>
            </w:r>
          </w:p>
          <w:p>
            <w:pPr>
              <w:pStyle w:val="Normal"/>
              <w:widowControl/>
              <w:spacing w:lineRule="exact" w:line="300"/>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kern w:val="0"/>
                <w:sz w:val="26"/>
                <w:szCs w:val="26"/>
              </w:rPr>
              <w:t>自该信息形成或者变更之日起</w:t>
            </w:r>
            <w:r>
              <w:rPr>
                <w:kern w:val="0"/>
                <w:sz w:val="26"/>
              </w:rPr>
              <w:t>20</w:t>
            </w:r>
            <w:r>
              <w:rPr>
                <w:kern w:val="0"/>
                <w:sz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4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4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4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4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4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4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4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
              </w:numPr>
              <w:snapToGrid w:val="false"/>
              <w:spacing w:lineRule="exact" w:line="300"/>
              <w:ind w:left="0" w:right="0" w:hanging="0"/>
              <w:jc w:val="center"/>
              <w:rPr>
                <w:bCs/>
                <w:kern w:val="0"/>
                <w:sz w:val="26"/>
                <w:szCs w:val="26"/>
              </w:rPr>
            </w:pPr>
            <w:r>
              <w:rPr>
                <w:bCs/>
                <w:kern w:val="0"/>
                <w:sz w:val="26"/>
                <w:szCs w:val="26"/>
              </w:rPr>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bCs/>
                <w:kern w:val="0"/>
                <w:sz w:val="26"/>
                <w:szCs w:val="26"/>
              </w:rPr>
            </w:pPr>
            <w:r>
              <w:rPr>
                <w:rFonts w:eastAsia="方正黑体_GBK;微软雅黑"/>
                <w:bCs/>
                <w:kern w:val="0"/>
                <w:sz w:val="26"/>
                <w:szCs w:val="26"/>
              </w:rPr>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kern w:val="0"/>
                <w:sz w:val="26"/>
                <w:szCs w:val="26"/>
              </w:rPr>
            </w:pPr>
            <w:r>
              <w:rPr>
                <w:kern w:val="0"/>
                <w:sz w:val="26"/>
                <w:szCs w:val="26"/>
              </w:rPr>
              <w:t>监督</w:t>
            </w:r>
          </w:p>
          <w:p>
            <w:pPr>
              <w:pStyle w:val="Normal"/>
              <w:widowControl/>
              <w:spacing w:lineRule="exact" w:line="300"/>
              <w:jc w:val="center"/>
              <w:rPr/>
            </w:pPr>
            <w:r>
              <w:rPr>
                <w:kern w:val="0"/>
                <w:sz w:val="26"/>
                <w:szCs w:val="26"/>
              </w:rPr>
              <w:t>保障</w:t>
            </w:r>
            <w:r>
              <w:rPr>
                <w:kern w:val="0"/>
                <w:sz w:val="26"/>
                <w:szCs w:val="26"/>
              </w:rPr>
              <w:b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bCs/>
                <w:kern w:val="0"/>
                <w:sz w:val="26"/>
                <w:szCs w:val="26"/>
              </w:rPr>
              <w:t>专项工作</w:t>
            </w:r>
            <w:r>
              <w:rPr>
                <w:bCs/>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bCs/>
                <w:kern w:val="0"/>
                <w:sz w:val="26"/>
                <w:szCs w:val="26"/>
              </w:rPr>
            </w:pPr>
            <w:r>
              <w:rPr>
                <w:bCs/>
                <w:kern w:val="0"/>
                <w:sz w:val="26"/>
                <w:szCs w:val="26"/>
              </w:rPr>
              <w:t>发布基层政务公开标准化规范化试点成果巩固推广、贯彻落实政府信息公开条例等信息。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《中华人民共和国政府信息公开条例》（国务院令第</w:t>
            </w:r>
            <w:r>
              <w:rPr>
                <w:bCs/>
                <w:kern w:val="0"/>
                <w:sz w:val="26"/>
                <w:szCs w:val="26"/>
              </w:rPr>
              <w:t>711</w:t>
            </w:r>
            <w:r>
              <w:rPr>
                <w:bCs/>
                <w:kern w:val="0"/>
                <w:sz w:val="26"/>
                <w:szCs w:val="26"/>
              </w:rPr>
              <w:t>号）；</w:t>
            </w:r>
          </w:p>
          <w:p>
            <w:pPr>
              <w:pStyle w:val="Normal"/>
              <w:widowControl/>
              <w:spacing w:lineRule="exact" w:line="300"/>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自该信息形成或者变更之日起</w:t>
            </w:r>
            <w:r>
              <w:rPr>
                <w:bCs/>
                <w:kern w:val="0"/>
                <w:sz w:val="26"/>
                <w:szCs w:val="26"/>
              </w:rPr>
              <w:t>20</w:t>
            </w:r>
            <w:r>
              <w:rPr>
                <w:bCs/>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300"/>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r>
              <w:rPr>
                <w:rFonts w:eastAsia="Times New Roman"/>
                <w:bCs/>
                <w:kern w:val="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r>
        <w:trPr>
          <w:trHeight w:val="397" w:hRule="atLeast"/>
        </w:trPr>
        <w:tc>
          <w:tcPr>
            <w:tcW w:w="5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ind w:left="0" w:right="0" w:hanging="0"/>
              <w:jc w:val="center"/>
              <w:rPr>
                <w:lang w:val="en-US" w:eastAsia="zh-CN"/>
              </w:rPr>
            </w:pPr>
            <w:r>
              <w:rPr>
                <w:lang w:val="en-US" w:eastAsia="zh-CN"/>
              </w:rPr>
              <w:t>40</w:t>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left"/>
              <w:rPr>
                <w:rFonts w:eastAsia="方正黑体_GBK;微软雅黑"/>
                <w:kern w:val="0"/>
                <w:sz w:val="26"/>
                <w:szCs w:val="26"/>
                <w:lang w:val="en-US" w:eastAsia="zh-CN"/>
              </w:rPr>
            </w:pPr>
            <w:r>
              <w:rPr>
                <w:rFonts w:eastAsia="方正黑体_GBK;微软雅黑"/>
                <w:kern w:val="0"/>
                <w:sz w:val="26"/>
                <w:szCs w:val="26"/>
                <w:lang w:val="en-US" w:eastAsia="zh-CN"/>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jc w:val="center"/>
              <w:rPr>
                <w:rFonts w:eastAsia="方正黑体_GBK;微软雅黑"/>
                <w:kern w:val="0"/>
                <w:sz w:val="26"/>
                <w:szCs w:val="26"/>
                <w:lang w:val="en-US" w:eastAsia="zh-CN"/>
              </w:rPr>
            </w:pPr>
            <w:r>
              <w:rPr>
                <w:rFonts w:eastAsia="方正黑体_GBK;微软雅黑"/>
                <w:kern w:val="0"/>
                <w:sz w:val="26"/>
                <w:szCs w:val="26"/>
                <w:lang w:val="en-US" w:eastAsia="zh-CN"/>
              </w:rPr>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jc w:val="center"/>
              <w:rPr/>
            </w:pPr>
            <w:r>
              <w:rPr>
                <w:kern w:val="0"/>
                <w:sz w:val="26"/>
                <w:szCs w:val="26"/>
              </w:rPr>
              <w:t>工作推进</w:t>
            </w:r>
            <w:r>
              <w:rPr>
                <w:kern w:val="0"/>
                <w:sz w:val="26"/>
                <w:szCs w:val="26"/>
              </w:rPr>
              <w:b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kern w:val="0"/>
                <w:sz w:val="26"/>
                <w:szCs w:val="26"/>
              </w:rPr>
            </w:pPr>
            <w:r>
              <w:rPr>
                <w:kern w:val="0"/>
                <w:sz w:val="26"/>
                <w:szCs w:val="26"/>
              </w:rPr>
              <w:t>政务公开工作开展、督查调度、工作交流、简报等信息。</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《中华人民共和国政府信息公开条例》（国务院令第</w:t>
            </w:r>
            <w:r>
              <w:rPr>
                <w:bCs/>
                <w:kern w:val="0"/>
                <w:sz w:val="26"/>
                <w:szCs w:val="26"/>
              </w:rPr>
              <w:t>711</w:t>
            </w:r>
            <w:r>
              <w:rPr>
                <w:bCs/>
                <w:kern w:val="0"/>
                <w:sz w:val="26"/>
                <w:szCs w:val="26"/>
              </w:rPr>
              <w:t>号）；</w:t>
            </w:r>
          </w:p>
          <w:p>
            <w:pPr>
              <w:pStyle w:val="Normal"/>
              <w:widowControl/>
              <w:spacing w:lineRule="exact" w:line="300"/>
              <w:rPr/>
            </w:pPr>
            <w:r>
              <w:rPr>
                <w:bCs/>
                <w:kern w:val="0"/>
                <w:sz w:val="26"/>
                <w:szCs w:val="26"/>
              </w:rPr>
              <w:t>《中共中央办公厅国务院办公厅印发〈关于全面推进政务公开工作的意见〉的通知》（中办发〔</w:t>
            </w:r>
            <w:r>
              <w:rPr>
                <w:bCs/>
                <w:kern w:val="0"/>
                <w:sz w:val="26"/>
                <w:szCs w:val="26"/>
              </w:rPr>
              <w:t>2016</w:t>
            </w:r>
            <w:r>
              <w:rPr>
                <w:bCs/>
                <w:kern w:val="0"/>
                <w:sz w:val="26"/>
                <w:szCs w:val="26"/>
              </w:rPr>
              <w:t>〕</w:t>
            </w:r>
            <w:r>
              <w:rPr>
                <w:bCs/>
                <w:kern w:val="0"/>
                <w:sz w:val="26"/>
                <w:szCs w:val="26"/>
              </w:rPr>
              <w:t>8</w:t>
            </w:r>
            <w:r>
              <w:rPr>
                <w:bCs/>
                <w:kern w:val="0"/>
                <w:sz w:val="26"/>
                <w:szCs w:val="26"/>
              </w:rPr>
              <w:t>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rPr/>
            </w:pPr>
            <w:r>
              <w:rPr>
                <w:bCs/>
                <w:kern w:val="0"/>
                <w:sz w:val="26"/>
                <w:szCs w:val="26"/>
              </w:rPr>
              <w:t>自该信息形成或者变更之日起</w:t>
            </w:r>
            <w:r>
              <w:rPr>
                <w:bCs/>
                <w:kern w:val="0"/>
                <w:sz w:val="26"/>
                <w:szCs w:val="26"/>
              </w:rPr>
              <w:t>20</w:t>
            </w:r>
            <w:r>
              <w:rPr>
                <w:bCs/>
                <w:kern w:val="0"/>
                <w:sz w:val="26"/>
                <w:szCs w:val="26"/>
              </w:rPr>
              <w:t>个工作日内。</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300"/>
              <w:rPr>
                <w:kern w:val="0"/>
                <w:sz w:val="26"/>
                <w:szCs w:val="26"/>
              </w:rPr>
            </w:pPr>
            <w:r>
              <w:rPr>
                <w:kern w:val="0"/>
                <w:sz w:val="26"/>
                <w:szCs w:val="26"/>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rPr/>
            </w:pPr>
            <w:r>
              <w:rPr>
                <w:bCs/>
                <w:kern w:val="0"/>
                <w:sz w:val="26"/>
                <w:szCs w:val="26"/>
              </w:rPr>
              <w:t>■</w:t>
            </w:r>
            <w:r>
              <w:rPr>
                <w:bCs/>
                <w:kern w:val="0"/>
                <w:sz w:val="26"/>
                <w:szCs w:val="26"/>
              </w:rPr>
              <w:t>政府网站</w:t>
            </w:r>
            <w:r>
              <w:rPr>
                <w:rFonts w:eastAsia="Times New Roman"/>
                <w:bCs/>
                <w:kern w:val="0"/>
                <w:sz w:val="26"/>
                <w:szCs w:val="26"/>
              </w:rPr>
              <w:t xml:space="preserve">   </w:t>
            </w:r>
            <w:r>
              <w:rPr>
                <w:bCs/>
                <w:kern w:val="0"/>
                <w:sz w:val="26"/>
                <w:szCs w:val="26"/>
              </w:rPr>
              <w:t>□</w:t>
            </w:r>
            <w:r>
              <w:rPr>
                <w:bCs/>
                <w:kern w:val="0"/>
                <w:sz w:val="26"/>
                <w:szCs w:val="26"/>
              </w:rPr>
              <w:t>政府公报</w:t>
            </w:r>
          </w:p>
          <w:p>
            <w:pPr>
              <w:pStyle w:val="Normal"/>
              <w:widowControl/>
              <w:spacing w:lineRule="exact" w:line="280"/>
              <w:rPr/>
            </w:pPr>
            <w:r>
              <w:rPr>
                <w:bCs/>
                <w:kern w:val="0"/>
                <w:sz w:val="26"/>
                <w:szCs w:val="26"/>
              </w:rPr>
              <w:t>□</w:t>
            </w:r>
            <w:r>
              <w:rPr>
                <w:bCs/>
                <w:kern w:val="0"/>
                <w:sz w:val="26"/>
                <w:szCs w:val="26"/>
              </w:rPr>
              <w:t>两微一端</w:t>
            </w:r>
            <w:r>
              <w:rPr>
                <w:rFonts w:eastAsia="Times New Roman"/>
                <w:bCs/>
                <w:kern w:val="0"/>
                <w:sz w:val="26"/>
                <w:szCs w:val="26"/>
              </w:rPr>
              <w:t xml:space="preserve">   </w:t>
            </w:r>
            <w:r>
              <w:rPr>
                <w:bCs/>
                <w:kern w:val="0"/>
                <w:sz w:val="26"/>
                <w:szCs w:val="26"/>
              </w:rPr>
              <w:t>□</w:t>
            </w:r>
            <w:r>
              <w:rPr>
                <w:bCs/>
                <w:kern w:val="0"/>
                <w:sz w:val="26"/>
                <w:szCs w:val="26"/>
              </w:rPr>
              <w:t>发布会</w:t>
            </w:r>
          </w:p>
          <w:p>
            <w:pPr>
              <w:pStyle w:val="Normal"/>
              <w:widowControl/>
              <w:spacing w:lineRule="exact" w:line="280"/>
              <w:rPr/>
            </w:pPr>
            <w:r>
              <w:rPr>
                <w:bCs/>
                <w:kern w:val="0"/>
                <w:sz w:val="26"/>
                <w:szCs w:val="26"/>
              </w:rPr>
              <w:t>□</w:t>
            </w:r>
            <w:r>
              <w:rPr>
                <w:bCs/>
                <w:kern w:val="0"/>
                <w:sz w:val="26"/>
                <w:szCs w:val="26"/>
              </w:rPr>
              <w:t>广播电视</w:t>
            </w:r>
            <w:r>
              <w:rPr>
                <w:rFonts w:eastAsia="Times New Roman"/>
                <w:bCs/>
                <w:kern w:val="0"/>
                <w:sz w:val="26"/>
                <w:szCs w:val="26"/>
              </w:rPr>
              <w:t xml:space="preserve">   </w:t>
            </w:r>
            <w:r>
              <w:rPr>
                <w:bCs/>
                <w:kern w:val="0"/>
                <w:sz w:val="26"/>
                <w:szCs w:val="26"/>
              </w:rPr>
              <w:t>□</w:t>
            </w:r>
            <w:r>
              <w:rPr>
                <w:bCs/>
                <w:kern w:val="0"/>
                <w:sz w:val="26"/>
                <w:szCs w:val="26"/>
              </w:rPr>
              <w:t>纸质媒体</w:t>
            </w:r>
          </w:p>
          <w:p>
            <w:pPr>
              <w:pStyle w:val="Normal"/>
              <w:widowControl/>
              <w:spacing w:lineRule="exact" w:line="280"/>
              <w:rPr/>
            </w:pPr>
            <w:r>
              <w:rPr>
                <w:bCs/>
                <w:kern w:val="0"/>
                <w:sz w:val="26"/>
                <w:szCs w:val="26"/>
              </w:rPr>
              <w:t>□</w:t>
            </w:r>
            <w:r>
              <w:rPr>
                <w:bCs/>
                <w:kern w:val="0"/>
                <w:sz w:val="26"/>
                <w:szCs w:val="26"/>
              </w:rPr>
              <w:t>公开查阅点</w:t>
            </w:r>
            <w:r>
              <w:rPr>
                <w:rFonts w:eastAsia="Times New Roman"/>
                <w:bCs/>
                <w:kern w:val="0"/>
                <w:sz w:val="26"/>
                <w:szCs w:val="26"/>
              </w:rPr>
              <w:t xml:space="preserve"> </w:t>
            </w:r>
            <w:r>
              <w:rPr>
                <w:bCs/>
                <w:kern w:val="0"/>
                <w:sz w:val="26"/>
                <w:szCs w:val="26"/>
              </w:rPr>
              <w:t>□</w:t>
            </w:r>
            <w:r>
              <w:rPr>
                <w:bCs/>
                <w:kern w:val="0"/>
                <w:sz w:val="26"/>
                <w:szCs w:val="26"/>
              </w:rPr>
              <w:t>政务服务中心</w:t>
            </w:r>
            <w:r>
              <w:rPr>
                <w:rFonts w:eastAsia="Times New Roman"/>
                <w:bCs/>
                <w:kern w:val="0"/>
                <w:sz w:val="26"/>
                <w:szCs w:val="26"/>
              </w:rPr>
              <w:t xml:space="preserve">             </w:t>
            </w:r>
          </w:p>
          <w:p>
            <w:pPr>
              <w:pStyle w:val="Normal"/>
              <w:widowControl/>
              <w:spacing w:lineRule="exact" w:line="280"/>
              <w:rPr/>
            </w:pPr>
            <w:r>
              <w:rPr>
                <w:bCs/>
                <w:kern w:val="0"/>
                <w:sz w:val="26"/>
                <w:szCs w:val="26"/>
              </w:rPr>
              <w:t>□</w:t>
            </w:r>
            <w:r>
              <w:rPr>
                <w:bCs/>
                <w:kern w:val="0"/>
                <w:sz w:val="26"/>
                <w:szCs w:val="26"/>
              </w:rPr>
              <w:t>便民服务站</w:t>
            </w:r>
            <w:r>
              <w:rPr>
                <w:rFonts w:eastAsia="Times New Roman"/>
                <w:bCs/>
                <w:kern w:val="0"/>
                <w:sz w:val="26"/>
                <w:szCs w:val="26"/>
              </w:rPr>
              <w:t xml:space="preserve"> </w:t>
            </w:r>
            <w:r>
              <w:rPr>
                <w:bCs/>
                <w:kern w:val="0"/>
                <w:sz w:val="26"/>
                <w:szCs w:val="26"/>
              </w:rPr>
              <w:t>□</w:t>
            </w:r>
            <w:r>
              <w:rPr>
                <w:bCs/>
                <w:kern w:val="0"/>
                <w:sz w:val="26"/>
                <w:szCs w:val="26"/>
              </w:rPr>
              <w:t>入户</w:t>
            </w:r>
            <w:r>
              <w:rPr>
                <w:bCs/>
                <w:kern w:val="0"/>
                <w:sz w:val="26"/>
                <w:szCs w:val="26"/>
              </w:rPr>
              <w:t>/</w:t>
            </w:r>
            <w:r>
              <w:rPr>
                <w:bCs/>
                <w:kern w:val="0"/>
                <w:sz w:val="26"/>
                <w:szCs w:val="26"/>
              </w:rPr>
              <w:t>现场</w:t>
            </w:r>
          </w:p>
          <w:p>
            <w:pPr>
              <w:pStyle w:val="Normal"/>
              <w:widowControl/>
              <w:spacing w:lineRule="exact" w:line="280"/>
              <w:rPr/>
            </w:pPr>
            <w:r>
              <w:rPr>
                <w:bCs/>
                <w:kern w:val="0"/>
                <w:sz w:val="26"/>
                <w:szCs w:val="26"/>
              </w:rPr>
              <w:t>□</w:t>
            </w:r>
            <w:r>
              <w:rPr>
                <w:bCs/>
                <w:kern w:val="0"/>
                <w:sz w:val="26"/>
                <w:szCs w:val="26"/>
              </w:rPr>
              <w:t>社区</w:t>
            </w:r>
            <w:r>
              <w:rPr>
                <w:bCs/>
                <w:kern w:val="0"/>
                <w:sz w:val="26"/>
                <w:szCs w:val="26"/>
              </w:rPr>
              <w:t>/</w:t>
            </w:r>
            <w:r>
              <w:rPr>
                <w:bCs/>
                <w:kern w:val="0"/>
                <w:sz w:val="26"/>
                <w:szCs w:val="26"/>
              </w:rPr>
              <w:t>企事业单位</w:t>
            </w:r>
            <w:r>
              <w:rPr>
                <w:bCs/>
                <w:kern w:val="0"/>
                <w:sz w:val="26"/>
                <w:szCs w:val="26"/>
              </w:rPr>
              <w:t>/</w:t>
            </w:r>
            <w:r>
              <w:rPr>
                <w:bCs/>
                <w:kern w:val="0"/>
                <w:sz w:val="26"/>
                <w:szCs w:val="26"/>
              </w:rPr>
              <w:t>村公示栏（电子屏）</w:t>
            </w:r>
          </w:p>
          <w:p>
            <w:pPr>
              <w:pStyle w:val="Normal"/>
              <w:widowControl/>
              <w:spacing w:lineRule="exact" w:line="280"/>
              <w:jc w:val="left"/>
              <w:rPr/>
            </w:pPr>
            <w:r>
              <w:rPr>
                <w:bCs/>
                <w:kern w:val="0"/>
                <w:sz w:val="26"/>
                <w:szCs w:val="26"/>
              </w:rPr>
              <w:t>□</w:t>
            </w:r>
            <w:r>
              <w:rPr>
                <w:bCs/>
                <w:kern w:val="0"/>
                <w:sz w:val="26"/>
                <w:szCs w:val="26"/>
              </w:rPr>
              <w:t>精准推送</w:t>
            </w:r>
            <w:r>
              <w:rPr>
                <w:rFonts w:eastAsia="Times New Roman"/>
                <w:bCs/>
                <w:kern w:val="0"/>
                <w:sz w:val="26"/>
                <w:szCs w:val="26"/>
              </w:rPr>
              <w:t xml:space="preserve">   </w:t>
            </w:r>
            <w:r>
              <w:rPr>
                <w:bCs/>
                <w:kern w:val="0"/>
                <w:sz w:val="26"/>
                <w:szCs w:val="26"/>
              </w:rPr>
              <w:t>□</w:t>
            </w:r>
            <w:r>
              <w:rPr>
                <w:bCs/>
                <w:kern w:val="0"/>
                <w:sz w:val="26"/>
                <w:szCs w:val="26"/>
              </w:rPr>
              <w:t>其他</w:t>
            </w:r>
          </w:p>
        </w:tc>
        <w:tc>
          <w:tcPr>
            <w:tcW w:w="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280"/>
              <w:jc w:val="center"/>
              <w:rPr>
                <w:rFonts w:ascii="宋体" w:hAnsi="宋体" w:cs="宋体"/>
                <w:bCs/>
                <w:kern w:val="0"/>
                <w:sz w:val="26"/>
                <w:szCs w:val="26"/>
              </w:rPr>
            </w:pPr>
            <w:r>
              <w:rPr>
                <w:rFonts w:ascii="宋体" w:hAnsi="宋体" w:cs="宋体"/>
                <w:bCs/>
                <w:kern w:val="0"/>
                <w:sz w:val="26"/>
                <w:szCs w:val="26"/>
              </w:rPr>
              <w:t>√</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exact" w:line="280"/>
              <w:jc w:val="center"/>
              <w:rPr>
                <w:bCs/>
                <w:kern w:val="0"/>
                <w:sz w:val="26"/>
                <w:szCs w:val="26"/>
              </w:rPr>
            </w:pPr>
            <w:r>
              <w:rPr>
                <w:bCs/>
                <w:kern w:val="0"/>
                <w:sz w:val="26"/>
                <w:szCs w:val="26"/>
              </w:rPr>
            </w:r>
          </w:p>
        </w:tc>
      </w:tr>
    </w:tbl>
    <w:p>
      <w:pPr>
        <w:sectPr>
          <w:footerReference w:type="default" r:id="rId2"/>
          <w:type w:val="nextPage"/>
          <w:pgSz w:orient="landscape" w:w="23811" w:h="16838"/>
          <w:pgMar w:left="1417" w:right="1417" w:gutter="0" w:header="0" w:top="1417" w:footer="1247" w:bottom="1417"/>
          <w:pgNumType w:fmt="decimal"/>
          <w:formProt w:val="false"/>
          <w:textDirection w:val="lrTb"/>
          <w:docGrid w:type="lines" w:linePitch="312" w:charSpace="0"/>
        </w:sectPr>
      </w:pPr>
      <w:r>
        <w:br w:type="page"/>
      </w:r>
    </w:p>
    <w:p>
      <w:pPr>
        <w:pStyle w:val="Normal"/>
        <w:keepNext w:val="false"/>
        <w:keepLines w:val="false"/>
        <w:pageBreakBefore w:val="false"/>
        <w:widowControl w:val="false"/>
        <w:kinsoku w:val="true"/>
        <w:overflowPunct w:val="true"/>
        <w:autoSpaceDE w:val="true"/>
        <w:bidi w:val="0"/>
        <w:snapToGrid w:val="true"/>
        <w:spacing w:lineRule="exact" w:line="200" w:before="0" w:after="0"/>
        <w:ind w:left="0" w:right="0" w:hanging="0"/>
        <w:jc w:val="both"/>
        <w:textAlignment w:val="auto"/>
        <w:rPr>
          <w:rFonts w:ascii="仿宋_GB2312;仿宋" w:hAnsi="仿宋_GB2312;仿宋" w:eastAsia="仿宋_GB2312;仿宋" w:cs="仿宋_GB2312;仿宋"/>
          <w:color w:val="000000"/>
          <w:spacing w:val="-10"/>
          <w:sz w:val="15"/>
          <w:szCs w:val="15"/>
          <w:shd w:fill="FFFFFF" w:val="clear"/>
        </w:rPr>
      </w:pPr>
      <w:r>
        <w:rPr>
          <w:rFonts w:eastAsia="仿宋_GB2312;仿宋" w:cs="仿宋_GB2312;仿宋" w:ascii="仿宋_GB2312;仿宋" w:hAnsi="仿宋_GB2312;仿宋"/>
          <w:color w:val="000000"/>
          <w:spacing w:val="-10"/>
          <w:sz w:val="15"/>
          <w:szCs w:val="15"/>
          <w:shd w:fill="FFFFFF" w:val="clear"/>
        </w:rPr>
      </w:r>
    </w:p>
    <w:sectPr>
      <w:footerReference w:type="default" r:id="rId3"/>
      <w:type w:val="nextPage"/>
      <w:pgSz w:w="11906" w:h="16838"/>
      <w:pgMar w:left="1417" w:right="1417" w:gutter="0" w:header="0" w:top="1417" w:footer="1247" w:bottom="1417"/>
      <w:pgNumType w:fmt="decimal"/>
      <w:formProt w:val="false"/>
      <w:textDirection w:val="lrTb"/>
      <w:docGrid w:type="lines" w:linePitch="31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default"/>
  </w:font>
  <w:font w:name="Liberation Sans">
    <w:altName w:val="Arial"/>
    <w:charset w:val="86"/>
    <w:family w:val="swiss"/>
    <w:pitch w:val="default"/>
  </w:font>
  <w:font w:name="宋体">
    <w:charset w:val="86"/>
    <w:family w:val="auto"/>
    <w:pitch w:val="default"/>
  </w:font>
  <w:font w:name="仿宋_GB2312">
    <w:altName w:val="仿宋"/>
    <w:charset w:val="86"/>
    <w:family w:val="modern"/>
    <w:pitch w:val="default"/>
  </w:font>
  <w:font w:name="方正小标宋_GBK">
    <w:altName w:val="微软雅黑"/>
    <w:charset w:val="86"/>
    <w:family w:val="script"/>
    <w:pitch w:val="default"/>
  </w:font>
  <w:font w:name="楷体_GB2312">
    <w:altName w:val="楷体"/>
    <w:charset w:val="86"/>
    <w:family w:val="modern"/>
    <w:pitch w:val="default"/>
  </w:font>
  <w:font w:name="微软雅黑">
    <w:charset w:val="86"/>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left="0" w:right="360" w:firstLine="360"/>
      <w:rPr>
        <w:lang w:val="zh-CN" w:eastAsia="zh-CN"/>
      </w:rPr>
    </w:pPr>
    <w:r>
      <w:rPr>
        <w:lang w:val="zh-CN" w:eastAsia="zh-CN"/>
      </w:rPr>
    </w:r>
    <w:r>
      <mc:AlternateContent>
        <mc:Choice Requires="wps">
          <w:drawing>
            <wp:anchor behindDoc="1" distT="0" distB="0" distL="114935" distR="114935" simplePos="0" locked="0" layoutInCell="0" allowOverlap="1" relativeHeight="18">
              <wp:simplePos x="0" y="0"/>
              <wp:positionH relativeFrom="column">
                <wp:posOffset>6602095</wp:posOffset>
              </wp:positionH>
              <wp:positionV relativeFrom="paragraph">
                <wp:posOffset>5080</wp:posOffset>
              </wp:positionV>
              <wp:extent cx="172085" cy="121285"/>
              <wp:effectExtent l="0" t="0" r="0" b="0"/>
              <wp:wrapNone/>
              <wp:docPr id="1" name="框架1"/>
              <a:graphic xmlns:a="http://schemas.openxmlformats.org/drawingml/2006/main">
                <a:graphicData uri="http://schemas.microsoft.com/office/word/2010/wordprocessingShape">
                  <wps:wsp>
                    <wps:cNvSpPr txBox="1"/>
                    <wps:spPr>
                      <a:xfrm>
                        <a:off x="0" y="0"/>
                        <a:ext cx="172085" cy="121285"/>
                      </a:xfrm>
                      <a:prstGeom prst="rect"/>
                      <a:solidFill>
                        <a:srgbClr val="FFFFFF">
                          <a:alpha val="0"/>
                        </a:srgbClr>
                      </a:solidFill>
                    </wps:spPr>
                    <wps:txbx>
                      <w:txbxContent>
                        <w:p>
                          <w:pPr>
                            <w:pStyle w:val="Style24"/>
                            <w:rPr/>
                          </w:pPr>
                          <w:r>
                            <w:rPr/>
                            <w:fldChar w:fldCharType="begin"/>
                          </w:r>
                          <w:r>
                            <w:rPr/>
                            <w:instrText xml:space="preserve"> PAGE </w:instrText>
                          </w:r>
                          <w:r>
                            <w:rPr/>
                            <w:fldChar w:fldCharType="separate"/>
                          </w:r>
                          <w:r>
                            <w:rPr/>
                            <w:t>17</w:t>
                          </w:r>
                          <w:r>
                            <w:rPr/>
                            <w:fldChar w:fldCharType="end"/>
                          </w:r>
                        </w:p>
                      </w:txbxContent>
                    </wps:txbx>
                    <wps:bodyPr anchor="t" lIns="1905" tIns="1905" rIns="1905" bIns="1905">
                      <a:noAutofit/>
                    </wps:bodyPr>
                  </wps:wsp>
                </a:graphicData>
              </a:graphic>
            </wp:anchor>
          </w:drawing>
        </mc:Choice>
        <mc:Fallback>
          <w:pict>
            <v:rect fillcolor="#FFFFFF" style="position:absolute;rotation:-0;width:13.55pt;height:9.55pt;mso-wrap-distance-left:9.05pt;mso-wrap-distance-right:9.05pt;mso-wrap-distance-top:0pt;mso-wrap-distance-bottom:0pt;margin-top:0.4pt;mso-position-vertical-relative:text;margin-left:519.85pt;mso-position-horizontal-relative:text">
              <v:fill opacity="0f"/>
              <v:textbox inset="0.00208333333333333in,0.00208333333333333in,0.00208333333333333in,0.00208333333333333in">
                <w:txbxContent>
                  <w:p>
                    <w:pPr>
                      <w:pStyle w:val="Style24"/>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left="0" w:right="360" w:firstLine="360"/>
      <w:rPr>
        <w:lang w:val="zh-CN" w:eastAsia="zh-CN"/>
      </w:rPr>
    </w:pPr>
    <w:r>
      <w:rPr>
        <w:lang w:val="zh-CN" w:eastAsia="zh-CN"/>
      </w:rPr>
    </w:r>
    <w:r>
      <mc:AlternateContent>
        <mc:Choice Requires="wps">
          <w:drawing>
            <wp:anchor behindDoc="1" distT="0" distB="0" distL="114935" distR="114935" simplePos="0" locked="0" layoutInCell="0" allowOverlap="1" relativeHeight="19">
              <wp:simplePos x="0" y="0"/>
              <wp:positionH relativeFrom="column">
                <wp:posOffset>2794000</wp:posOffset>
              </wp:positionH>
              <wp:positionV relativeFrom="paragraph">
                <wp:posOffset>5080</wp:posOffset>
              </wp:positionV>
              <wp:extent cx="172085" cy="121285"/>
              <wp:effectExtent l="0" t="0" r="0" b="0"/>
              <wp:wrapNone/>
              <wp:docPr id="2" name="框架2"/>
              <a:graphic xmlns:a="http://schemas.openxmlformats.org/drawingml/2006/main">
                <a:graphicData uri="http://schemas.microsoft.com/office/word/2010/wordprocessingShape">
                  <wps:wsp>
                    <wps:cNvSpPr txBox="1"/>
                    <wps:spPr>
                      <a:xfrm>
                        <a:off x="0" y="0"/>
                        <a:ext cx="172085" cy="121285"/>
                      </a:xfrm>
                      <a:prstGeom prst="rect"/>
                      <a:solidFill>
                        <a:srgbClr val="FFFFFF">
                          <a:alpha val="0"/>
                        </a:srgbClr>
                      </a:solidFill>
                    </wps:spPr>
                    <wps:txbx>
                      <w:txbxContent>
                        <w:p>
                          <w:pPr>
                            <w:pStyle w:val="Style24"/>
                            <w:rPr/>
                          </w:pPr>
                          <w:r>
                            <w:rPr/>
                            <w:fldChar w:fldCharType="begin"/>
                          </w:r>
                          <w:r>
                            <w:rPr/>
                            <w:instrText xml:space="preserve"> PAGE </w:instrText>
                          </w:r>
                          <w:r>
                            <w:rPr/>
                            <w:fldChar w:fldCharType="separate"/>
                          </w:r>
                          <w:r>
                            <w:rPr/>
                            <w:t>18</w:t>
                          </w:r>
                          <w:r>
                            <w:rPr/>
                            <w:fldChar w:fldCharType="end"/>
                          </w:r>
                        </w:p>
                      </w:txbxContent>
                    </wps:txbx>
                    <wps:bodyPr anchor="t" lIns="1905" tIns="1905" rIns="1905" bIns="1905">
                      <a:noAutofit/>
                    </wps:bodyPr>
                  </wps:wsp>
                </a:graphicData>
              </a:graphic>
            </wp:anchor>
          </w:drawing>
        </mc:Choice>
        <mc:Fallback>
          <w:pict>
            <v:rect fillcolor="#FFFFFF" style="position:absolute;rotation:-0;width:13.55pt;height:9.55pt;mso-wrap-distance-left:9.05pt;mso-wrap-distance-right:9.05pt;mso-wrap-distance-top:0pt;mso-wrap-distance-bottom:0pt;margin-top:0.4pt;mso-position-vertical-relative:text;margin-left:220pt;mso-position-horizontal-relative:text">
              <v:fill opacity="0f"/>
              <v:textbox inset="0.00208333333333333in,0.00208333333333333in,0.00208333333333333in,0.00208333333333333in">
                <w:txbxContent>
                  <w:p>
                    <w:pPr>
                      <w:pStyle w:val="Style24"/>
                      <w:rPr/>
                    </w:pPr>
                    <w:r>
                      <w:rPr/>
                      <w:fldChar w:fldCharType="begin"/>
                    </w:r>
                    <w:r>
                      <w:rPr/>
                      <w:instrText xml:space="preserve"> PAGE </w:instrText>
                    </w:r>
                    <w:r>
                      <w:rPr/>
                      <w:fldChar w:fldCharType="separate"/>
                    </w:r>
                    <w:r>
                      <w:rPr/>
                      <w:t>18</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5" w:hanging="425"/>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宋体" w:cs="Arial"/>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jc w:val="both"/>
    </w:pPr>
    <w:rPr>
      <w:rFonts w:ascii="Times New Roman" w:hAnsi="Times New Roman" w:eastAsia="宋体" w:cs="Times New Roman"/>
      <w:color w:val="000000"/>
      <w:kern w:val="2"/>
      <w:sz w:val="21"/>
      <w:szCs w:val="24"/>
      <w:lang w:val="en-US" w:eastAsia="zh-CN" w:bidi="ar-SA"/>
    </w:rPr>
  </w:style>
  <w:style w:type="character" w:styleId="WW8Num1z0">
    <w:name w:val="WW8Num1z0"/>
    <w:qFormat/>
    <w:rPr>
      <w:rFonts w:cs="Times New Roman"/>
    </w:rPr>
  </w:style>
  <w:style w:type="character" w:styleId="Style14">
    <w:name w:val="默认段落字体"/>
    <w:qFormat/>
    <w:rPr/>
  </w:style>
  <w:style w:type="character" w:styleId="1">
    <w:name w:val="默认段落字体1"/>
    <w:qFormat/>
    <w:rPr/>
  </w:style>
  <w:style w:type="character" w:styleId="Style15">
    <w:name w:val="Strong"/>
    <w:basedOn w:val="1"/>
    <w:qFormat/>
    <w:rPr>
      <w:b/>
    </w:rPr>
  </w:style>
  <w:style w:type="character" w:styleId="Internet">
    <w:name w:val="Hyperlink"/>
    <w:basedOn w:val="1"/>
    <w:rPr>
      <w:rFonts w:cs="Times New Roman"/>
      <w:color w:val="0000FF"/>
      <w:u w:val="single"/>
    </w:rPr>
  </w:style>
  <w:style w:type="character" w:styleId="Style16">
    <w:name w:val="Page Number"/>
    <w:basedOn w:val="1"/>
    <w:rPr>
      <w:rFonts w:cs="Times New Roman"/>
    </w:rPr>
  </w:style>
  <w:style w:type="character" w:styleId="Internet1">
    <w:name w:val="FollowedHyperlink"/>
    <w:basedOn w:val="1"/>
    <w:rPr>
      <w:rFonts w:cs="Times New Roman"/>
      <w:color w:val="800080"/>
      <w:u w:val="single"/>
    </w:rPr>
  </w:style>
  <w:style w:type="character" w:styleId="FooterChar">
    <w:name w:val="Footer Char"/>
    <w:basedOn w:val="1"/>
    <w:qFormat/>
    <w:rPr>
      <w:rFonts w:ascii="Times New Roman" w:hAnsi="Times New Roman" w:cs="Times New Roman"/>
      <w:kern w:val="2"/>
      <w:sz w:val="18"/>
      <w:szCs w:val="18"/>
    </w:rPr>
  </w:style>
  <w:style w:type="character" w:styleId="WW8Num3z0">
    <w:name w:val="WW8Num3z0"/>
    <w:qFormat/>
    <w:rPr>
      <w:rFonts w:cs="Times New Roman"/>
    </w:rPr>
  </w:style>
  <w:style w:type="character" w:styleId="WW8Num2z0">
    <w:name w:val="WW8Num2z0"/>
    <w:qFormat/>
    <w:rPr>
      <w:rFonts w:cs="Times New Roman"/>
    </w:rPr>
  </w:style>
  <w:style w:type="character" w:styleId="CommentTextChar">
    <w:name w:val="Comment Text Char"/>
    <w:basedOn w:val="1"/>
    <w:qFormat/>
    <w:rPr>
      <w:rFonts w:ascii="Times New Roman" w:hAnsi="Times New Roman" w:cs="Times New Roman"/>
      <w:kern w:val="2"/>
      <w:sz w:val="21"/>
      <w:szCs w:val="24"/>
    </w:rPr>
  </w:style>
  <w:style w:type="character" w:styleId="HeaderChar">
    <w:name w:val="Header Char"/>
    <w:basedOn w:val="1"/>
    <w:qFormat/>
    <w:rPr>
      <w:rFonts w:ascii="Times New Roman" w:hAnsi="Times New Roman" w:cs="Times New Roman"/>
      <w:kern w:val="2"/>
      <w:sz w:val="18"/>
      <w:szCs w:val="18"/>
    </w:rPr>
  </w:style>
  <w:style w:type="paragraph" w:styleId="Style17">
    <w:name w:val="标题样式"/>
    <w:basedOn w:val="Normal"/>
    <w:next w:val="Style18"/>
    <w:qFormat/>
    <w:pPr>
      <w:keepNext w:val="true"/>
      <w:spacing w:before="240" w:after="120"/>
    </w:pPr>
    <w:rPr>
      <w:rFonts w:ascii="Liberation Sans;Arial" w:hAnsi="Liberation Sans;Arial" w:eastAsia="微软雅黑" w:cs="Mangal"/>
      <w:sz w:val="28"/>
      <w:szCs w:val="28"/>
    </w:rPr>
  </w:style>
  <w:style w:type="paragraph" w:styleId="Style18">
    <w:name w:val="Body Text"/>
    <w:basedOn w:val="Normal"/>
    <w:pPr>
      <w:spacing w:lineRule="auto" w:line="276" w:before="0" w:after="140"/>
    </w:pPr>
    <w:rPr/>
  </w:style>
  <w:style w:type="paragraph" w:styleId="Style19">
    <w:name w:val="List"/>
    <w:pPr>
      <w:widowControl/>
      <w:suppressAutoHyphens w:val="true"/>
      <w:bidi w:val="0"/>
    </w:pPr>
    <w:rPr>
      <w:rFonts w:ascii="Times New Roman" w:hAnsi="Times New Roman" w:eastAsia="Times New Roman" w:cs="Mangal"/>
      <w:color w:val="auto"/>
      <w:sz w:val="20"/>
      <w:szCs w:val="20"/>
      <w:lang w:val="en-US" w:eastAsia="zh-CN" w:bidi="hi-IN"/>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页眉与页脚"/>
    <w:basedOn w:val="Normal"/>
    <w:qFormat/>
    <w:pPr>
      <w:suppressLineNumbers/>
      <w:tabs>
        <w:tab w:val="clear" w:pos="420"/>
        <w:tab w:val="center" w:pos="4819" w:leader="none"/>
        <w:tab w:val="right" w:pos="9638" w:leader="none"/>
      </w:tabs>
    </w:pPr>
    <w:rPr/>
  </w:style>
  <w:style w:type="paragraph" w:styleId="Style23">
    <w:name w:val="Header"/>
    <w:basedOn w:val="Normal"/>
    <w:pPr>
      <w:pBdr/>
      <w:tabs>
        <w:tab w:val="clear" w:pos="420"/>
        <w:tab w:val="center" w:pos="4153" w:leader="none"/>
        <w:tab w:val="right" w:pos="8306" w:leader="none"/>
      </w:tabs>
      <w:snapToGrid w:val="false"/>
    </w:pPr>
    <w:rPr>
      <w:rFonts w:ascii="Times New Roman" w:hAnsi="Times New Roman" w:cs="Times New Roman"/>
      <w:kern w:val="2"/>
      <w:sz w:val="18"/>
      <w:szCs w:val="18"/>
    </w:rPr>
  </w:style>
  <w:style w:type="paragraph" w:styleId="Style24">
    <w:name w:val="Footer"/>
    <w:basedOn w:val="Normal"/>
    <w:pPr>
      <w:tabs>
        <w:tab w:val="clear" w:pos="420"/>
        <w:tab w:val="center" w:pos="4153" w:leader="none"/>
        <w:tab w:val="right" w:pos="8306" w:leader="none"/>
      </w:tabs>
      <w:snapToGrid w:val="false"/>
      <w:jc w:val="left"/>
    </w:pPr>
    <w:rPr>
      <w:rFonts w:ascii="Times New Roman" w:hAnsi="Times New Roman" w:cs="Times New Roman"/>
      <w:kern w:val="2"/>
      <w:sz w:val="18"/>
      <w:szCs w:val="18"/>
    </w:rPr>
  </w:style>
  <w:style w:type="paragraph" w:styleId="11">
    <w:name w:val="批注文字1"/>
    <w:basedOn w:val="Normal"/>
    <w:qFormat/>
    <w:pPr>
      <w:jc w:val="left"/>
    </w:pPr>
    <w:rPr>
      <w:rFonts w:ascii="Times New Roman" w:hAnsi="Times New Roman" w:cs="Times New Roman"/>
      <w:kern w:val="2"/>
      <w:sz w:val="21"/>
      <w:szCs w:val="24"/>
    </w:rPr>
  </w:style>
  <w:style w:type="paragraph" w:styleId="12">
    <w:name w:val="普通(网站)1"/>
    <w:basedOn w:val="Normal"/>
    <w:qFormat/>
    <w:pPr>
      <w:widowControl/>
      <w:spacing w:before="280" w:after="280"/>
      <w:jc w:val="left"/>
    </w:pPr>
    <w:rPr>
      <w:rFonts w:ascii="宋体" w:hAnsi="宋体" w:cs="宋体"/>
      <w:kern w:val="0"/>
      <w:sz w:val="24"/>
    </w:rPr>
  </w:style>
  <w:style w:type="paragraph" w:styleId="Style25">
    <w:name w:val="表格内容"/>
    <w:basedOn w:val="Normal"/>
    <w:qFormat/>
    <w:pPr>
      <w:widowControl w:val="false"/>
      <w:suppressLineNumbers/>
    </w:pPr>
    <w:rPr/>
  </w:style>
  <w:style w:type="paragraph" w:styleId="Style26">
    <w:name w:val="表格标题"/>
    <w:basedOn w:val="Style25"/>
    <w:qFormat/>
    <w:pPr>
      <w:suppressLineNumbers/>
      <w:jc w:val="center"/>
    </w:pPr>
    <w:rPr>
      <w:b/>
      <w:bCs/>
    </w:rPr>
  </w:style>
  <w:style w:type="paragraph" w:styleId="Style27">
    <w:name w:val="框架内容"/>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18721</TotalTime>
  <Application>LibreOffice/7.4.5.1$Windows_x86 LibreOffice_project/9c0871452b3918c1019dde9bfac75448afc4b57f</Application>
  <AppVersion>15.0000</AppVersion>
  <Pages>18</Pages>
  <Words>7572</Words>
  <Characters>7818</Characters>
  <CharactersWithSpaces>8913</CharactersWithSpaces>
  <Paragraphs>633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2020-08-05T09:12:00Z</dcterms:created>
  <dc:creator>NTKO</dc:creator>
  <dc:description/>
  <dc:language>zh-CN</dc:language>
  <cp:lastModifiedBy/>
  <dcterms:modified xsi:type="dcterms:W3CDTF">2023-05-15T14:11:25Z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