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EF5A">
      <w:pPr>
        <w:adjustRightInd w:val="0"/>
        <w:snapToGrid w:val="0"/>
        <w:jc w:val="center"/>
        <w:rPr>
          <w:rFonts w:hint="eastAsia" w:ascii="方正小标宋简体" w:eastAsia="方正小标宋简体"/>
          <w:snapToGrid w:val="0"/>
          <w:color w:val="FF0000"/>
          <w:w w:val="80"/>
          <w:kern w:val="0"/>
          <w:sz w:val="96"/>
          <w:szCs w:val="96"/>
        </w:rPr>
      </w:pPr>
      <w:r>
        <w:rPr>
          <w:rFonts w:hint="eastAsia" w:ascii="方正小标宋简体" w:eastAsia="方正小标宋简体"/>
          <w:snapToGrid w:val="0"/>
          <w:color w:val="FF0000"/>
          <w:w w:val="80"/>
          <w:kern w:val="0"/>
          <w:sz w:val="96"/>
          <w:szCs w:val="96"/>
        </w:rPr>
        <w:t>博山区五岭路小学文件</w:t>
      </w:r>
    </w:p>
    <w:p w14:paraId="0A183048">
      <w:pPr>
        <w:adjustRightInd w:val="0"/>
        <w:snapToGrid w:val="0"/>
        <w:spacing w:line="576" w:lineRule="exact"/>
        <w:rPr>
          <w:rFonts w:hint="eastAsia" w:ascii="方正小标宋简体" w:eastAsia="方正小标宋简体"/>
          <w:snapToGrid w:val="0"/>
          <w:color w:val="000000" w:themeColor="text1"/>
          <w:kern w:val="0"/>
          <w:sz w:val="44"/>
          <w:szCs w:val="44"/>
          <w14:textFill>
            <w14:solidFill>
              <w14:schemeClr w14:val="tx1"/>
            </w14:solidFill>
          </w14:textFill>
        </w:rPr>
      </w:pPr>
    </w:p>
    <w:p w14:paraId="5D00F2CD">
      <w:pPr>
        <w:adjustRightInd w:val="0"/>
        <w:snapToGrid w:val="0"/>
        <w:spacing w:line="576" w:lineRule="exact"/>
        <w:jc w:val="center"/>
        <w:rPr>
          <w:rFonts w:hint="eastAsia" w:ascii="仿宋_GB2312" w:eastAsia="仿宋_GB2312"/>
          <w:snapToGrid w:val="0"/>
          <w:color w:val="000000" w:themeColor="text1"/>
          <w:kern w:val="0"/>
          <w:sz w:val="32"/>
          <w:szCs w:val="32"/>
          <w14:textFill>
            <w14:solidFill>
              <w14:schemeClr w14:val="tx1"/>
            </w14:solidFill>
          </w14:textFill>
        </w:rPr>
      </w:pPr>
      <w:r>
        <w:rPr>
          <w:rFonts w:hint="eastAsia" w:ascii="仿宋_GB2312" w:eastAsia="仿宋_GB2312"/>
          <w:snapToGrid w:val="0"/>
          <w:color w:val="000000" w:themeColor="text1"/>
          <w:kern w:val="0"/>
          <w:sz w:val="32"/>
          <w:szCs w:val="32"/>
          <w14:textFill>
            <w14:solidFill>
              <w14:schemeClr w14:val="tx1"/>
            </w14:solidFill>
          </w14:textFill>
        </w:rPr>
        <w:t>五小发〔</w:t>
      </w:r>
      <w:r>
        <w:rPr>
          <w:rFonts w:ascii="仿宋_GB2312" w:eastAsia="仿宋_GB2312"/>
          <w:snapToGrid w:val="0"/>
          <w:color w:val="000000" w:themeColor="text1"/>
          <w:kern w:val="0"/>
          <w:sz w:val="32"/>
          <w:szCs w:val="32"/>
          <w14:textFill>
            <w14:solidFill>
              <w14:schemeClr w14:val="tx1"/>
            </w14:solidFill>
          </w14:textFill>
        </w:rPr>
        <w:t>202</w:t>
      </w:r>
      <w:r>
        <w:rPr>
          <w:rFonts w:hint="eastAsia" w:ascii="仿宋_GB2312" w:eastAsia="仿宋_GB2312"/>
          <w:snapToGrid w:val="0"/>
          <w:color w:val="000000" w:themeColor="text1"/>
          <w:kern w:val="0"/>
          <w:sz w:val="32"/>
          <w:szCs w:val="32"/>
          <w:lang w:val="en-US" w:eastAsia="zh-CN"/>
          <w14:textFill>
            <w14:solidFill>
              <w14:schemeClr w14:val="tx1"/>
            </w14:solidFill>
          </w14:textFill>
        </w:rPr>
        <w:t>5〕10</w:t>
      </w:r>
      <w:r>
        <w:rPr>
          <w:rFonts w:ascii="仿宋_GB2312" w:eastAsia="仿宋_GB2312"/>
          <w:snapToGrid w:val="0"/>
          <w:color w:val="000000" w:themeColor="text1"/>
          <w:kern w:val="0"/>
          <w:sz w:val="32"/>
          <w:szCs w:val="32"/>
          <w14:textFill>
            <w14:solidFill>
              <w14:schemeClr w14:val="tx1"/>
            </w14:solidFill>
          </w14:textFill>
        </w:rPr>
        <w:t>号</w:t>
      </w:r>
    </w:p>
    <w:p w14:paraId="086F889B">
      <w:pPr>
        <w:adjustRightInd w:val="0"/>
        <w:snapToGrid w:val="0"/>
        <w:spacing w:line="576" w:lineRule="exact"/>
        <w:rPr>
          <w:rFonts w:hint="eastAsia" w:ascii="仿宋_GB2312" w:eastAsia="仿宋_GB2312"/>
          <w:snapToGrid w:val="0"/>
          <w:color w:val="000000" w:themeColor="text1"/>
          <w:kern w:val="0"/>
          <w:sz w:val="32"/>
          <w:szCs w:val="32"/>
          <w14:textFill>
            <w14:solidFill>
              <w14:schemeClr w14:val="tx1"/>
            </w14:solidFill>
          </w14:textFill>
        </w:rPr>
      </w:pPr>
      <w:r>
        <w:rPr>
          <w:rFonts w:ascii="Times New Roman" w:eastAsia="宋体"/>
          <w:color w:val="000000" w:themeColor="text1"/>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59055</wp:posOffset>
                </wp:positionV>
                <wp:extent cx="5631180" cy="22860"/>
                <wp:effectExtent l="0" t="0" r="26670" b="34290"/>
                <wp:wrapNone/>
                <wp:docPr id="2" name="直接连接符 1"/>
                <wp:cNvGraphicFramePr/>
                <a:graphic xmlns:a="http://schemas.openxmlformats.org/drawingml/2006/main">
                  <a:graphicData uri="http://schemas.microsoft.com/office/word/2010/wordprocessingShape">
                    <wps:wsp>
                      <wps:cNvCnPr/>
                      <wps:spPr>
                        <a:xfrm>
                          <a:off x="0" y="0"/>
                          <a:ext cx="5631180" cy="22860"/>
                        </a:xfrm>
                        <a:prstGeom prst="line">
                          <a:avLst/>
                        </a:prstGeom>
                        <a:noFill/>
                        <a:ln w="6350" cap="flat" cmpd="sng" algn="ctr">
                          <a:solidFill>
                            <a:srgbClr val="FF0000"/>
                          </a:solidFill>
                          <a:prstDash val="solid"/>
                          <a:miter lim="800000"/>
                        </a:ln>
                        <a:effectLst/>
                      </wps:spPr>
                      <wps:bodyPr/>
                    </wps:wsp>
                  </a:graphicData>
                </a:graphic>
              </wp:anchor>
            </w:drawing>
          </mc:Choice>
          <mc:Fallback>
            <w:pict>
              <v:line id="直接连接符 1" o:spid="_x0000_s1026" o:spt="20" style="position:absolute;left:0pt;margin-top:4.65pt;height:1.8pt;width:443.4pt;mso-position-horizontal:left;mso-position-horizontal-relative:margin;z-index:251660288;mso-width-relative:page;mso-height-relative:page;" filled="f" stroked="t" coordsize="21600,21600" o:gfxdata="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x2K&#10;QdEAAAAFAQAADwAAAAAAAAABACAAAAAiAAAAZHJzL2Rvd25yZXYueG1sUEsBAhQAFAAAAAgAh07i&#10;QNmVj3/wAQAAwwMAAA4AAAAAAAAAAQAgAAAAIAEAAGRycy9lMm9Eb2MueG1sUEsFBgAAAAAGAAYA&#10;WQEAAIIFAAAAAA==&#10;">
                <v:fill on="f" focussize="0,0"/>
                <v:stroke weight="0.5pt" color="#FF0000" miterlimit="8" joinstyle="miter"/>
                <v:imagedata o:title=""/>
                <o:lock v:ext="edit" aspectratio="f"/>
              </v:line>
            </w:pict>
          </mc:Fallback>
        </mc:AlternateContent>
      </w:r>
    </w:p>
    <w:p w14:paraId="6C658C01">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博山区五岭路小学教师考核评价指导意见</w:t>
      </w:r>
    </w:p>
    <w:p w14:paraId="0EB90378">
      <w:pPr>
        <w:spacing w:line="576"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（讨论稿）</w:t>
      </w:r>
    </w:p>
    <w:p w14:paraId="33C2137A">
      <w:pPr>
        <w:spacing w:line="576" w:lineRule="exact"/>
        <w:ind w:left="288" w:firstLine="653"/>
        <w:jc w:val="left"/>
        <w:rPr>
          <w:rFonts w:hint="eastAsia" w:ascii="仿宋_GB2312" w:eastAsia="仿宋_GB2312"/>
          <w:color w:val="000000" w:themeColor="text1"/>
          <w:sz w:val="32"/>
          <w:szCs w:val="32"/>
          <w14:textFill>
            <w14:solidFill>
              <w14:schemeClr w14:val="tx1"/>
            </w14:solidFill>
          </w14:textFill>
        </w:rPr>
      </w:pPr>
    </w:p>
    <w:p w14:paraId="6AC6C4DE">
      <w:pPr>
        <w:spacing w:line="576" w:lineRule="exact"/>
        <w:ind w:left="288" w:firstLine="653"/>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贯彻落实中共中央、国务院《深化新时代教育评价改革总体方案》，中共中央组织部、人力资源社会保障部《事业单位工作人员考核规足》，山东省教育厅等4部门《关于进一步加强中小学教师队伍管理的若干措施》，区委、区政府《关于全面深化新时代教师队伍建设改革的实施意见》等文件精神，改革教师评价，推进践行教书育人使命，办好人民满意的教育，结合学校教育实际，制订本意见。</w:t>
      </w:r>
    </w:p>
    <w:p w14:paraId="667B7447">
      <w:pPr>
        <w:spacing w:line="576" w:lineRule="exact"/>
        <w:ind w:left="288" w:firstLine="653"/>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一、指导思想</w:t>
      </w:r>
    </w:p>
    <w:p w14:paraId="2928BCE8">
      <w:pPr>
        <w:spacing w:line="576" w:lineRule="exact"/>
        <w:ind w:left="288" w:right="91" w:firstLine="667"/>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习近平新时代中国特色社会主义思想为指导，紧紧围绕党的二十大战略部署，全面贯彻党的教育方针，落实立德树人根本任务，坚持把师德师风作为第一标准，加强和改进教师评价，着力构建符合教育教学和教师成长规律，导向明确、标准科学、体系完善、评价多元的教师考核评价制度，规范教师从教行为，促进教师专业发展，激发教师从教积极性，全面提升育人质量，培养德智体美劳全面发展的社会主义建设者和接班人。</w:t>
      </w:r>
    </w:p>
    <w:p w14:paraId="0EC3E0D3">
      <w:pPr>
        <w:spacing w:line="576" w:lineRule="exact"/>
        <w:ind w:left="288" w:right="91" w:firstLine="667"/>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二、考核原则</w:t>
      </w:r>
    </w:p>
    <w:p w14:paraId="340C9F46">
      <w:pPr>
        <w:spacing w:line="576" w:lineRule="exact"/>
        <w:ind w:right="91"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（一）分类实施原则。</w:t>
      </w:r>
      <w:r>
        <w:rPr>
          <w:rFonts w:hint="eastAsia" w:ascii="仿宋_GB2312" w:eastAsia="仿宋_GB2312"/>
          <w:color w:val="000000" w:themeColor="text1"/>
          <w:sz w:val="32"/>
          <w:szCs w:val="32"/>
          <w14:textFill>
            <w14:solidFill>
              <w14:schemeClr w14:val="tx1"/>
            </w14:solidFill>
          </w14:textFill>
        </w:rPr>
        <w:t>立足教育实际，坚持统筹兼顾，针对不同岗位特点，分类制定考核细则并组织实施，增强评价工作的针对性、系统性、整体性、协同性。</w:t>
      </w:r>
    </w:p>
    <w:p w14:paraId="6346FD92">
      <w:pPr>
        <w:spacing w:line="576" w:lineRule="exact"/>
        <w:ind w:right="106"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（二）明确导向原则。</w:t>
      </w:r>
      <w:r>
        <w:rPr>
          <w:rFonts w:hint="eastAsia" w:ascii="仿宋_GB2312" w:eastAsia="仿宋_GB2312"/>
          <w:color w:val="000000" w:themeColor="text1"/>
          <w:sz w:val="32"/>
          <w:szCs w:val="32"/>
          <w14:textFill>
            <w14:solidFill>
              <w14:schemeClr w14:val="tx1"/>
            </w14:solidFill>
          </w14:textFill>
        </w:rPr>
        <w:t>坚持问题导向和目标导向，落实立德</w:t>
      </w:r>
      <w:r>
        <w:rPr>
          <w:rFonts w:hint="eastAsia" w:ascii="仿宋_GB2312" w:hAnsi="微软雅黑" w:eastAsia="仿宋_GB2312" w:cs="微软雅黑"/>
          <w:color w:val="000000" w:themeColor="text1"/>
          <w:sz w:val="32"/>
          <w:szCs w:val="32"/>
          <w14:textFill>
            <w14:solidFill>
              <w14:schemeClr w14:val="tx1"/>
            </w14:solidFill>
          </w14:textFill>
        </w:rPr>
        <w:t>树人根本任务，坚决克服“五唯”顽瘴痼疾，把有理想信念、有道德情操、有扎实学识、有仁爱还心作为教师评价的基本标准，重师德、重能力、重业绩、重贡献。</w:t>
      </w:r>
    </w:p>
    <w:p w14:paraId="357AAC45">
      <w:pPr>
        <w:widowControl/>
        <w:spacing w:line="576" w:lineRule="exact"/>
        <w:ind w:right="130"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（三）科学有效原则。</w:t>
      </w:r>
      <w:r>
        <w:rPr>
          <w:rFonts w:hint="eastAsia" w:ascii="仿宋_GB2312" w:hAnsi="微软雅黑" w:eastAsia="仿宋_GB2312" w:cs="微软雅黑"/>
          <w:color w:val="000000" w:themeColor="text1"/>
          <w:sz w:val="32"/>
          <w:szCs w:val="32"/>
          <w14:textFill>
            <w14:solidFill>
              <w14:schemeClr w14:val="tx1"/>
            </w14:solidFill>
          </w14:textFill>
        </w:rPr>
        <w:t>改进结果评价，强化过程评价，健全综合评价，充分利用信息技术，提高教育评价的科学性、专业性、客观性。</w:t>
      </w:r>
    </w:p>
    <w:p w14:paraId="3E2FB1ED">
      <w:pPr>
        <w:widowControl/>
        <w:spacing w:line="576" w:lineRule="exact"/>
        <w:ind w:right="130"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（四）客观公正原则。</w:t>
      </w:r>
      <w:r>
        <w:rPr>
          <w:rFonts w:hint="eastAsia" w:ascii="仿宋_GB2312" w:hAnsi="微软雅黑" w:eastAsia="仿宋_GB2312" w:cs="微软雅黑"/>
          <w:color w:val="000000" w:themeColor="text1"/>
          <w:sz w:val="32"/>
          <w:szCs w:val="32"/>
          <w14:textFill>
            <w14:solidFill>
              <w14:schemeClr w14:val="tx1"/>
            </w14:solidFill>
          </w14:textFill>
        </w:rPr>
        <w:t>坚持依法实施考核，考核过程公开、透明，考核结果公平、公正；程序严格、操作规范，讲求实效。</w:t>
      </w:r>
    </w:p>
    <w:p w14:paraId="46C9A94A">
      <w:pPr>
        <w:widowControl/>
        <w:spacing w:line="576" w:lineRule="exact"/>
        <w:ind w:right="130" w:firstLine="640" w:firstLineChars="200"/>
        <w:rPr>
          <w:rFonts w:hint="eastAsia" w:ascii="黑体" w:hAnsi="黑体" w:eastAsia="黑体"/>
          <w:color w:val="000000" w:themeColor="text1"/>
          <w:sz w:val="32"/>
          <w:szCs w:val="32"/>
          <w14:textFill>
            <w14:solidFill>
              <w14:schemeClr w14:val="tx1"/>
            </w14:solidFill>
          </w14:textFill>
        </w:rPr>
      </w:pPr>
      <w:r>
        <w:rPr>
          <w:rFonts w:ascii="黑体" w:hAnsi="黑体" w:eastAsia="黑体" w:cs="微软雅黑"/>
          <w:color w:val="000000" w:themeColor="text1"/>
          <w:sz w:val="32"/>
          <w:szCs w:val="32"/>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考核类别和内容</w:t>
      </w:r>
    </w:p>
    <w:p w14:paraId="41704DB4">
      <w:pPr>
        <w:widowControl/>
        <w:spacing w:line="576" w:lineRule="exact"/>
        <w:ind w:right="48"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kern w:val="0"/>
          <w:sz w:val="32"/>
          <w:szCs w:val="32"/>
          <w14:textFill>
            <w14:solidFill>
              <w14:schemeClr w14:val="tx1"/>
            </w14:solidFill>
          </w14:textFill>
        </w:rPr>
        <w:t>（一）考核类别。</w:t>
      </w:r>
      <w:r>
        <w:rPr>
          <w:rFonts w:hint="eastAsia" w:ascii="仿宋_GB2312" w:hAnsi="微软雅黑" w:eastAsia="仿宋_GB2312" w:cs="微软雅黑"/>
          <w:color w:val="000000" w:themeColor="text1"/>
          <w:sz w:val="32"/>
          <w:szCs w:val="32"/>
          <w14:textFill>
            <w14:solidFill>
              <w14:schemeClr w14:val="tx1"/>
            </w14:solidFill>
          </w14:textFill>
        </w:rPr>
        <w:t>考核按学期组织，两个学期的考核成绩平</w:t>
      </w:r>
      <w:r>
        <w:rPr>
          <w:rFonts w:hint="eastAsia" w:ascii="仿宋_GB2312" w:eastAsia="仿宋_GB2312"/>
          <w:color w:val="000000" w:themeColor="text1"/>
          <w:sz w:val="32"/>
          <w:szCs w:val="32"/>
          <w14:textFill>
            <w14:solidFill>
              <w14:schemeClr w14:val="tx1"/>
            </w14:solidFill>
          </w14:textFill>
        </w:rPr>
        <w:drawing>
          <wp:inline distT="0" distB="0" distL="0" distR="0">
            <wp:extent cx="5715" cy="5715"/>
            <wp:effectExtent l="0" t="0" r="0" b="0"/>
            <wp:docPr id="11628" name="Picture 11628"/>
            <wp:cNvGraphicFramePr/>
            <a:graphic xmlns:a="http://schemas.openxmlformats.org/drawingml/2006/main">
              <a:graphicData uri="http://schemas.openxmlformats.org/drawingml/2006/picture">
                <pic:pic xmlns:pic="http://schemas.openxmlformats.org/drawingml/2006/picture">
                  <pic:nvPicPr>
                    <pic:cNvPr id="11628" name="Picture 11628"/>
                    <pic:cNvPicPr/>
                  </pic:nvPicPr>
                  <pic:blipFill>
                    <a:blip r:embed="rId10"/>
                    <a:stretch>
                      <a:fillRect/>
                    </a:stretch>
                  </pic:blipFill>
                  <pic:spPr>
                    <a:xfrm>
                      <a:off x="0" y="0"/>
                      <a:ext cx="6096" cy="6098"/>
                    </a:xfrm>
                    <a:prstGeom prst="rect">
                      <a:avLst/>
                    </a:prstGeom>
                  </pic:spPr>
                </pic:pic>
              </a:graphicData>
            </a:graphic>
          </wp:inline>
        </w:drawing>
      </w:r>
      <w:r>
        <w:rPr>
          <w:rFonts w:hint="eastAsia" w:ascii="仿宋_GB2312" w:hAnsi="微软雅黑" w:eastAsia="仿宋_GB2312" w:cs="微软雅黑"/>
          <w:color w:val="000000" w:themeColor="text1"/>
          <w:sz w:val="32"/>
          <w:szCs w:val="32"/>
          <w14:textFill>
            <w14:solidFill>
              <w14:schemeClr w14:val="tx1"/>
            </w14:solidFill>
          </w14:textFill>
        </w:rPr>
        <w:t>均值，即为年度考核成绩。</w:t>
      </w:r>
    </w:p>
    <w:p w14:paraId="0C61D9B8">
      <w:pPr>
        <w:widowControl/>
        <w:spacing w:line="576" w:lineRule="exact"/>
        <w:ind w:right="48"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楷体_GB2312" w:eastAsia="楷体_GB2312"/>
          <w:color w:val="000000" w:themeColor="text1"/>
          <w:kern w:val="0"/>
          <w:sz w:val="32"/>
          <w:szCs w:val="32"/>
          <w:highlight w:val="none"/>
          <w14:textFill>
            <w14:solidFill>
              <w14:schemeClr w14:val="tx1"/>
            </w14:solidFill>
          </w14:textFill>
        </w:rPr>
        <w:t>（二）</w:t>
      </w:r>
      <w:r>
        <w:rPr>
          <w:rFonts w:hint="eastAsia" w:ascii="楷体_GB2312" w:hAnsi="微软雅黑" w:eastAsia="楷体_GB2312" w:cs="微软雅黑"/>
          <w:color w:val="000000" w:themeColor="text1"/>
          <w:sz w:val="32"/>
          <w:szCs w:val="32"/>
          <w:highlight w:val="none"/>
          <w14:textFill>
            <w14:solidFill>
              <w14:schemeClr w14:val="tx1"/>
            </w14:solidFill>
          </w14:textFill>
        </w:rPr>
        <w:t>考核内容。</w:t>
      </w:r>
      <w:r>
        <w:rPr>
          <w:rFonts w:hint="eastAsia" w:ascii="仿宋_GB2312" w:hAnsi="微软雅黑" w:eastAsia="仿宋_GB2312" w:cs="微软雅黑"/>
          <w:color w:val="000000" w:themeColor="text1"/>
          <w:sz w:val="32"/>
          <w:szCs w:val="32"/>
          <w:highlight w:val="none"/>
          <w14:textFill>
            <w14:solidFill>
              <w14:schemeClr w14:val="tx1"/>
            </w14:solidFill>
          </w14:textFill>
        </w:rPr>
        <w:t>从德、能、勤、绩、廉、学六个方面，按类别分行政管理人员、学科教师、教辅人员三类进行考核，设计底线、业绩和满意度三类指标。业绩指标占90％，满意度指标占10％，违反底线指标的按有关规定执行。</w:t>
      </w:r>
    </w:p>
    <w:p w14:paraId="20EA2DD4">
      <w:pPr>
        <w:spacing w:line="576" w:lineRule="exact"/>
        <w:ind w:right="14" w:firstLine="643" w:firstLineChars="200"/>
        <w:rPr>
          <w:rFonts w:hint="eastAsia" w:ascii="仿宋_GB2312" w:hAnsi="微软雅黑" w:eastAsia="仿宋_GB2312" w:cs="微软雅黑"/>
          <w:color w:val="000000" w:themeColor="text1"/>
          <w:sz w:val="32"/>
          <w:szCs w:val="32"/>
          <w:highlight w:val="none"/>
          <w14:textFill>
            <w14:solidFill>
              <w14:schemeClr w14:val="tx1"/>
            </w14:solidFill>
          </w14:textFill>
        </w:rPr>
      </w:pPr>
      <w:r>
        <w:rPr>
          <w:rFonts w:ascii="仿宋_GB2312" w:hAnsi="微软雅黑" w:eastAsia="仿宋_GB2312" w:cs="微软雅黑"/>
          <w:b/>
          <w:bCs/>
          <w:color w:val="000000" w:themeColor="text1"/>
          <w:sz w:val="32"/>
          <w:szCs w:val="32"/>
          <w:highlight w:val="none"/>
          <w14:textFill>
            <w14:solidFill>
              <w14:schemeClr w14:val="tx1"/>
            </w14:solidFill>
          </w14:textFill>
        </w:rPr>
        <w:t>1.</w:t>
      </w:r>
      <w:r>
        <w:rPr>
          <w:rFonts w:hint="eastAsia" w:ascii="仿宋_GB2312" w:hAnsi="微软雅黑" w:eastAsia="仿宋_GB2312" w:cs="微软雅黑"/>
          <w:b/>
          <w:bCs/>
          <w:color w:val="000000" w:themeColor="text1"/>
          <w:sz w:val="32"/>
          <w:szCs w:val="32"/>
          <w:highlight w:val="none"/>
          <w14:textFill>
            <w14:solidFill>
              <w14:schemeClr w14:val="tx1"/>
            </w14:solidFill>
          </w14:textFill>
        </w:rPr>
        <w:t>底线指标。</w:t>
      </w:r>
      <w:r>
        <w:rPr>
          <w:rFonts w:hint="eastAsia" w:ascii="仿宋_GB2312" w:hAnsi="微软雅黑" w:eastAsia="仿宋_GB2312" w:cs="微软雅黑"/>
          <w:color w:val="000000" w:themeColor="text1"/>
          <w:sz w:val="32"/>
          <w:szCs w:val="32"/>
          <w:highlight w:val="none"/>
          <w14:textFill>
            <w14:solidFill>
              <w14:schemeClr w14:val="tx1"/>
            </w14:solidFill>
          </w14:textFill>
        </w:rPr>
        <w:t>根据教育部《新时代中小学教师职业行为十项准则》《新时代幼儿园教师职业行为十项准则》及其他法律法规要求设计。</w:t>
      </w:r>
    </w:p>
    <w:p w14:paraId="52ECEA84">
      <w:pPr>
        <w:spacing w:line="576" w:lineRule="exact"/>
        <w:ind w:right="14" w:firstLine="643"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2</w:t>
      </w:r>
      <w:r>
        <w:rPr>
          <w:rFonts w:ascii="仿宋_GB2312" w:eastAsia="仿宋_GB2312"/>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业绩指标。</w:t>
      </w:r>
      <w:r>
        <w:rPr>
          <w:rFonts w:hint="eastAsia" w:ascii="仿宋_GB2312" w:hAnsi="微软雅黑" w:eastAsia="仿宋_GB2312" w:cs="微软雅黑"/>
          <w:color w:val="000000" w:themeColor="text1"/>
          <w:sz w:val="32"/>
          <w:szCs w:val="32"/>
          <w14:textFill>
            <w14:solidFill>
              <w14:schemeClr w14:val="tx1"/>
            </w14:solidFill>
          </w14:textFill>
        </w:rPr>
        <w:t>根据岗位特点，分行政管理人员、学科教师、教辅人员三类设计，重点从履行职责（教学常规、家校沟通、课后服务、假期托管、社团建设、班级管理、课时量、工作量、考勤）、育人成效（教学质量监测、五育并举、学业述评）、专业发展（学习培训、专业测试、教学成果、业务成果、公开课、优质课、教育科研、课程开发）等方面进行考核。</w:t>
      </w:r>
    </w:p>
    <w:p w14:paraId="65EDB540">
      <w:pPr>
        <w:spacing w:line="576" w:lineRule="exact"/>
        <w:ind w:right="14" w:firstLine="643"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b/>
          <w:bCs/>
          <w:color w:val="000000" w:themeColor="text1"/>
          <w:sz w:val="32"/>
          <w:szCs w:val="32"/>
          <w14:textFill>
            <w14:solidFill>
              <w14:schemeClr w14:val="tx1"/>
            </w14:solidFill>
          </w14:textFill>
        </w:rPr>
        <w:t>3</w:t>
      </w:r>
      <w:r>
        <w:rPr>
          <w:rFonts w:ascii="仿宋_GB2312" w:hAnsi="微软雅黑" w:eastAsia="仿宋_GB2312" w:cs="微软雅黑"/>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满意度指标。</w:t>
      </w:r>
      <w:r>
        <w:rPr>
          <w:rFonts w:hint="eastAsia" w:ascii="仿宋_GB2312" w:hAnsi="微软雅黑" w:eastAsia="仿宋_GB2312" w:cs="微软雅黑"/>
          <w:color w:val="000000" w:themeColor="text1"/>
          <w:sz w:val="32"/>
          <w:szCs w:val="32"/>
          <w14:textFill>
            <w14:solidFill>
              <w14:schemeClr w14:val="tx1"/>
            </w14:solidFill>
          </w14:textFill>
        </w:rPr>
        <w:t>根据岗位特点，由教职工、家长进行评议，重点从履行岗位职责、依法执教、关爱学生、为人师表、家校联系、廉洁从教等方面设计评议票。</w:t>
      </w:r>
    </w:p>
    <w:p w14:paraId="6B4F3648">
      <w:pPr>
        <w:spacing w:line="576" w:lineRule="exact"/>
        <w:ind w:right="14"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四、考核方法、程序和结果使用</w:t>
      </w:r>
    </w:p>
    <w:p w14:paraId="58E266C9">
      <w:pPr>
        <w:spacing w:line="576" w:lineRule="exact"/>
        <w:ind w:left="831" w:right="14"/>
        <w:rPr>
          <w:rFonts w:hint="eastAsia" w:ascii="楷体_GB2312" w:eastAsia="楷体_GB2312"/>
          <w:color w:val="000000" w:themeColor="text1"/>
          <w:sz w:val="32"/>
          <w:szCs w:val="32"/>
          <w14:textFill>
            <w14:solidFill>
              <w14:schemeClr w14:val="tx1"/>
            </w14:solidFill>
          </w14:textFill>
        </w:rPr>
      </w:pPr>
      <w:r>
        <w:rPr>
          <w:rFonts w:hint="eastAsia" w:ascii="楷体_GB2312" w:hAnsi="微软雅黑" w:eastAsia="楷体_GB2312" w:cs="微软雅黑"/>
          <w:color w:val="000000" w:themeColor="text1"/>
          <w:sz w:val="32"/>
          <w:szCs w:val="32"/>
          <w14:textFill>
            <w14:solidFill>
              <w14:schemeClr w14:val="tx1"/>
            </w14:solidFill>
          </w14:textFill>
        </w:rPr>
        <w:t>（一）考核方法</w:t>
      </w:r>
    </w:p>
    <w:p w14:paraId="008E05F7">
      <w:pPr>
        <w:spacing w:line="576" w:lineRule="exact"/>
        <w:ind w:left="4" w:right="14" w:firstLine="634"/>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考核工作坚持自评和他评相结合，平时考核与定期考核相结口，基础性评价和发展性评价相结合，统一性评价和差异性评价相结合，定量评价和定性评价相结合，过程性评价和终结性评价相结合。</w:t>
      </w:r>
    </w:p>
    <w:p w14:paraId="63877925">
      <w:pPr>
        <w:widowControl/>
        <w:spacing w:line="576" w:lineRule="exact"/>
        <w:ind w:right="14" w:firstLine="643"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b/>
          <w:bCs/>
          <w:color w:val="000000" w:themeColor="text1"/>
          <w:sz w:val="32"/>
          <w:szCs w:val="32"/>
          <w:highlight w:val="none"/>
          <w14:textFill>
            <w14:solidFill>
              <w14:schemeClr w14:val="tx1"/>
            </w14:solidFill>
          </w14:textFill>
        </w:rPr>
        <w:t>1</w:t>
      </w:r>
      <w:r>
        <w:rPr>
          <w:rFonts w:ascii="仿宋_GB2312" w:hAnsi="微软雅黑" w:eastAsia="仿宋_GB2312" w:cs="微软雅黑"/>
          <w:b/>
          <w:bCs/>
          <w:color w:val="000000" w:themeColor="text1"/>
          <w:sz w:val="32"/>
          <w:szCs w:val="32"/>
          <w:highlight w:val="none"/>
          <w14:textFill>
            <w14:solidFill>
              <w14:schemeClr w14:val="tx1"/>
            </w14:solidFill>
          </w14:textFill>
        </w:rPr>
        <w:t>.</w:t>
      </w:r>
      <w:r>
        <w:rPr>
          <w:rFonts w:hint="eastAsia" w:ascii="仿宋_GB2312" w:hAnsi="微软雅黑" w:eastAsia="仿宋_GB2312" w:cs="微软雅黑"/>
          <w:b/>
          <w:bCs/>
          <w:color w:val="000000" w:themeColor="text1"/>
          <w:sz w:val="32"/>
          <w:szCs w:val="32"/>
          <w:highlight w:val="none"/>
          <w14:textFill>
            <w14:solidFill>
              <w14:schemeClr w14:val="tx1"/>
            </w14:solidFill>
          </w14:textFill>
        </w:rPr>
        <w:t>底线指标考核。</w:t>
      </w:r>
      <w:r>
        <w:rPr>
          <w:rFonts w:hint="eastAsia" w:ascii="仿宋_GB2312" w:hAnsi="微软雅黑" w:eastAsia="仿宋_GB2312" w:cs="微软雅黑"/>
          <w:color w:val="000000" w:themeColor="text1"/>
          <w:sz w:val="32"/>
          <w:szCs w:val="32"/>
          <w:highlight w:val="none"/>
          <w14:textFill>
            <w14:solidFill>
              <w14:schemeClr w14:val="tx1"/>
            </w14:solidFill>
          </w14:textFill>
        </w:rPr>
        <w:t>根据违反底线指标所列行为程度及次数，按照相关规定执行，部分项目可根据学校实际（支部会研究通过）实行扣分制。</w:t>
      </w:r>
    </w:p>
    <w:p w14:paraId="5F3F64EB">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b/>
          <w:bCs/>
          <w:color w:val="000000" w:themeColor="text1"/>
          <w:sz w:val="32"/>
          <w:szCs w:val="32"/>
          <w14:textFill>
            <w14:solidFill>
              <w14:schemeClr w14:val="tx1"/>
            </w14:solidFill>
          </w14:textFill>
        </w:rPr>
        <w:t>2</w:t>
      </w:r>
      <w:r>
        <w:rPr>
          <w:rFonts w:ascii="仿宋_GB2312" w:hAnsi="微软雅黑" w:eastAsia="仿宋_GB2312" w:cs="微软雅黑"/>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业绩指标考核（90%）。</w:t>
      </w:r>
      <w:r>
        <w:rPr>
          <w:rFonts w:hint="eastAsia" w:ascii="仿宋_GB2312" w:hAnsi="微软雅黑" w:eastAsia="仿宋_GB2312" w:cs="微软雅黑"/>
          <w:color w:val="000000" w:themeColor="text1"/>
          <w:sz w:val="32"/>
          <w:szCs w:val="32"/>
          <w14:textFill>
            <w14:solidFill>
              <w14:schemeClr w14:val="tx1"/>
            </w14:solidFill>
          </w14:textFill>
        </w:rPr>
        <w:t>根据岗位类别对应的考核细则，每月一次进行记录、统计、公示，每学期一次汇总。</w:t>
      </w:r>
    </w:p>
    <w:p w14:paraId="1E0F86EE">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b/>
          <w:bCs/>
          <w:color w:val="000000" w:themeColor="text1"/>
          <w:sz w:val="32"/>
          <w:szCs w:val="32"/>
          <w14:textFill>
            <w14:solidFill>
              <w14:schemeClr w14:val="tx1"/>
            </w14:solidFill>
          </w14:textFill>
        </w:rPr>
        <w:t>3.</w:t>
      </w:r>
      <w:r>
        <w:rPr>
          <w:rFonts w:hint="eastAsia" w:ascii="仿宋_GB2312" w:hAnsi="微软雅黑" w:eastAsia="仿宋_GB2312" w:cs="微软雅黑"/>
          <w:b/>
          <w:bCs/>
          <w:color w:val="000000" w:themeColor="text1"/>
          <w:sz w:val="32"/>
          <w:szCs w:val="32"/>
          <w14:textFill>
            <w14:solidFill>
              <w14:schemeClr w14:val="tx1"/>
            </w14:solidFill>
          </w14:textFill>
        </w:rPr>
        <w:t>满意度指标考核（10%）。</w:t>
      </w:r>
      <w:r>
        <w:rPr>
          <w:rFonts w:hint="eastAsia" w:ascii="仿宋_GB2312" w:hAnsi="微软雅黑" w:eastAsia="仿宋_GB2312" w:cs="微软雅黑"/>
          <w:color w:val="000000" w:themeColor="text1"/>
          <w:sz w:val="32"/>
          <w:szCs w:val="32"/>
          <w14:textFill>
            <w14:solidFill>
              <w14:schemeClr w14:val="tx1"/>
            </w14:solidFill>
          </w14:textFill>
        </w:rPr>
        <w:t>每学期组织一次，由教职工、家长进行评议。教职工、家长评议按满意、基本满意、不满意分别对应100分、60分、0分计算分值。评议结果按照5：5的比例计算原始成绩。</w:t>
      </w:r>
    </w:p>
    <w:p w14:paraId="54B82017">
      <w:pPr>
        <w:widowControl/>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1</w:t>
      </w: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学科教师评议以班级为单位组织，其中任课教师按照所教班级满意度平均值计算；任课教师兼班王任的，任课教师评议分值占60％，同时对班主任工作在本班进行单独评议，班主任评议分值占40％，按照两项折算后的满意率分值相加计算。</w:t>
      </w:r>
    </w:p>
    <w:p w14:paraId="36B40512">
      <w:pPr>
        <w:widowControl/>
        <w:spacing w:line="576" w:lineRule="exact"/>
        <w:ind w:right="14"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2</w:t>
      </w: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行政管理人员兼课的，按学科教师评议；未兼课的，由教职工评议。教辅人员由教职工评议。教职工评议全员参加；家长评议由学校按照每班不低于60％的比例抽取班级家长评议。</w:t>
      </w:r>
    </w:p>
    <w:p w14:paraId="333360E7">
      <w:pPr>
        <w:widowControl/>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3）评议考核成绩=原始成绩×10％。</w:t>
      </w:r>
    </w:p>
    <w:p w14:paraId="55193DD5">
      <w:pPr>
        <w:spacing w:line="576" w:lineRule="exact"/>
        <w:ind w:right="14" w:firstLine="640" w:firstLineChars="200"/>
        <w:rPr>
          <w:rFonts w:hint="eastAsia" w:ascii="楷体_GB2312" w:eastAsia="楷体_GB2312"/>
          <w:color w:val="000000" w:themeColor="text1"/>
          <w:sz w:val="32"/>
          <w:szCs w:val="32"/>
          <w14:textFill>
            <w14:solidFill>
              <w14:schemeClr w14:val="tx1"/>
            </w14:solidFill>
          </w14:textFill>
        </w:rPr>
      </w:pPr>
      <w:r>
        <w:rPr>
          <w:rFonts w:hint="eastAsia" w:ascii="楷体_GB2312" w:hAnsi="微软雅黑" w:eastAsia="楷体_GB2312" w:cs="微软雅黑"/>
          <w:color w:val="000000" w:themeColor="text1"/>
          <w:sz w:val="32"/>
          <w:szCs w:val="32"/>
          <w14:textFill>
            <w14:solidFill>
              <w14:schemeClr w14:val="tx1"/>
            </w14:solidFill>
          </w14:textFill>
        </w:rPr>
        <w:t>（二）考核程序</w:t>
      </w:r>
    </w:p>
    <w:p w14:paraId="4465EBE5">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b/>
          <w:bCs/>
          <w:color w:val="000000" w:themeColor="text1"/>
          <w:sz w:val="32"/>
          <w:szCs w:val="32"/>
          <w14:textFill>
            <w14:solidFill>
              <w14:schemeClr w14:val="tx1"/>
            </w14:solidFill>
          </w14:textFill>
        </w:rPr>
        <w:t>1.</w:t>
      </w:r>
      <w:r>
        <w:rPr>
          <w:rFonts w:hint="eastAsia" w:ascii="仿宋_GB2312" w:hAnsi="微软雅黑" w:eastAsia="仿宋_GB2312" w:cs="微软雅黑"/>
          <w:b/>
          <w:bCs/>
          <w:color w:val="000000" w:themeColor="text1"/>
          <w:sz w:val="32"/>
          <w:szCs w:val="32"/>
          <w14:textFill>
            <w14:solidFill>
              <w14:schemeClr w14:val="tx1"/>
            </w14:solidFill>
          </w14:textFill>
        </w:rPr>
        <w:t>确定方案。</w:t>
      </w:r>
      <w:r>
        <w:rPr>
          <w:rFonts w:hint="eastAsia" w:ascii="仿宋_GB2312" w:hAnsi="微软雅黑" w:eastAsia="仿宋_GB2312" w:cs="微软雅黑"/>
          <w:color w:val="000000" w:themeColor="text1"/>
          <w:sz w:val="32"/>
          <w:szCs w:val="32"/>
          <w14:textFill>
            <w14:solidFill>
              <w14:schemeClr w14:val="tx1"/>
            </w14:solidFill>
          </w14:textFill>
        </w:rPr>
        <w:t>由学校结合工作实际和有关规定，广泛征求教职工意见，制定具体的考核实施方案。方案应包括考核目标、考核内容、考核程序、考核结果使用等，并定期修订完善。考核方案须经学校全体教职工大会85％及以上审议通过，通过学校公示栏等进行公开并报上级教育主管部门备案后组织实施。</w:t>
      </w:r>
    </w:p>
    <w:p w14:paraId="15179007">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b/>
          <w:bCs/>
          <w:color w:val="000000" w:themeColor="text1"/>
          <w:sz w:val="32"/>
          <w:szCs w:val="32"/>
          <w14:textFill>
            <w14:solidFill>
              <w14:schemeClr w14:val="tx1"/>
            </w14:solidFill>
          </w14:textFill>
        </w:rPr>
        <w:t>2</w:t>
      </w:r>
      <w:r>
        <w:rPr>
          <w:rFonts w:ascii="仿宋_GB2312" w:hAnsi="微软雅黑" w:eastAsia="仿宋_GB2312" w:cs="微软雅黑"/>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成立组织。</w:t>
      </w:r>
      <w:r>
        <w:rPr>
          <w:rFonts w:hint="eastAsia" w:ascii="仿宋_GB2312" w:hAnsi="微软雅黑" w:eastAsia="仿宋_GB2312" w:cs="微软雅黑"/>
          <w:color w:val="000000" w:themeColor="text1"/>
          <w:sz w:val="32"/>
          <w:szCs w:val="32"/>
          <w14:textFill>
            <w14:solidFill>
              <w14:schemeClr w14:val="tx1"/>
            </w14:solidFill>
          </w14:textFill>
        </w:rPr>
        <w:t>学校成立教职工考核工作小组，成员由学校领导、中层干部、班主任、教职工代表等组成，一般由单位主要负责人担任组长，人数不少于7人，具体负责考核工作的组织实施。其中，班王任、教职工代表比例不少于1/2，班主任、教职工代表的产生，要履行相应的民主推选程序。</w:t>
      </w:r>
    </w:p>
    <w:p w14:paraId="43FD1C3B">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b/>
          <w:bCs/>
          <w:color w:val="000000" w:themeColor="text1"/>
          <w:sz w:val="32"/>
          <w:szCs w:val="32"/>
          <w14:textFill>
            <w14:solidFill>
              <w14:schemeClr w14:val="tx1"/>
            </w14:solidFill>
          </w14:textFill>
        </w:rPr>
        <w:t>3</w:t>
      </w:r>
      <w:r>
        <w:rPr>
          <w:rFonts w:ascii="仿宋_GB2312" w:hAnsi="微软雅黑" w:eastAsia="仿宋_GB2312" w:cs="微软雅黑"/>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实施考核。</w:t>
      </w:r>
      <w:r>
        <w:rPr>
          <w:rFonts w:hint="eastAsia" w:ascii="仿宋_GB2312" w:hAnsi="微软雅黑" w:eastAsia="仿宋_GB2312" w:cs="微软雅黑"/>
          <w:color w:val="000000" w:themeColor="text1"/>
          <w:sz w:val="32"/>
          <w:szCs w:val="32"/>
          <w14:textFill>
            <w14:solidFill>
              <w14:schemeClr w14:val="tx1"/>
            </w14:solidFill>
          </w14:textFill>
        </w:rPr>
        <w:t>学校考核工作小组依据方案对教职工进行考核，建立考核台账，对能够量化的项目定期汇总、公示。考核成绩：</w:t>
      </w:r>
    </w:p>
    <w:p w14:paraId="6030EC68">
      <w:pPr>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（1）学期考核成绩：学期末底线指标考核成绩+学期末业绩指标考核成绩+学期末满意度指标考核成绩。</w:t>
      </w:r>
    </w:p>
    <w:p w14:paraId="4FEA3DFA">
      <w:pPr>
        <w:spacing w:line="576" w:lineRule="exact"/>
        <w:ind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（2）年度考核成绩：两学期考核成绩的平均值。</w:t>
      </w:r>
    </w:p>
    <w:p w14:paraId="685884BF">
      <w:pPr>
        <w:spacing w:line="576" w:lineRule="exact"/>
        <w:ind w:left="4" w:right="14" w:firstLine="643"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b/>
          <w:bCs/>
          <w:color w:val="000000" w:themeColor="text1"/>
          <w:sz w:val="32"/>
          <w:szCs w:val="32"/>
          <w14:textFill>
            <w14:solidFill>
              <w14:schemeClr w14:val="tx1"/>
            </w14:solidFill>
          </w14:textFill>
        </w:rPr>
        <w:t>4.</w:t>
      </w:r>
      <w:r>
        <w:rPr>
          <w:rFonts w:hint="eastAsia" w:ascii="仿宋_GB2312" w:hAnsi="微软雅黑" w:eastAsia="仿宋_GB2312" w:cs="微软雅黑"/>
          <w:b/>
          <w:bCs/>
          <w:color w:val="000000" w:themeColor="text1"/>
          <w:sz w:val="32"/>
          <w:szCs w:val="32"/>
          <w14:textFill>
            <w14:solidFill>
              <w14:schemeClr w14:val="tx1"/>
            </w14:solidFill>
          </w14:textFill>
        </w:rPr>
        <w:t>确定档次。</w:t>
      </w:r>
      <w:r>
        <w:rPr>
          <w:rFonts w:hint="eastAsia" w:ascii="仿宋_GB2312" w:hAnsi="微软雅黑" w:eastAsia="仿宋_GB2312" w:cs="微软雅黑"/>
          <w:color w:val="000000" w:themeColor="text1"/>
          <w:sz w:val="32"/>
          <w:szCs w:val="32"/>
          <w14:textFill>
            <w14:solidFill>
              <w14:schemeClr w14:val="tx1"/>
            </w14:solidFill>
          </w14:textFill>
        </w:rPr>
        <w:t>年度考核结果分为优秀、合格、基本合格、不合格四个档次。根据考核成绩，在各考核档次比例范围内确定考核档次。考核结果在学校范围内公示，公示期应不少于5个工作日。</w:t>
      </w:r>
    </w:p>
    <w:p w14:paraId="26E986EE">
      <w:pPr>
        <w:widowControl/>
        <w:spacing w:line="576" w:lineRule="exact"/>
        <w:ind w:right="14"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凡有下列情形之一的，年度考核不能确定为优秀档次：</w:t>
      </w:r>
    </w:p>
    <w:p w14:paraId="67EA0F62">
      <w:pPr>
        <w:spacing w:line="576"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（1）完不成规定课时量和工作量的。</w:t>
      </w:r>
    </w:p>
    <w:p w14:paraId="195D01EA">
      <w:pPr>
        <w:spacing w:line="576" w:lineRule="exact"/>
        <w:ind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2</w:t>
      </w:r>
      <w:r>
        <w:rPr>
          <w:rFonts w:hint="eastAsia" w:ascii="仿宋_GB2312" w:hAnsi="微软雅黑" w:eastAsia="仿宋_GB2312" w:cs="微软雅黑"/>
          <w:color w:val="000000" w:themeColor="text1"/>
          <w:sz w:val="32"/>
          <w:szCs w:val="32"/>
          <w14:textFill>
            <w14:solidFill>
              <w14:schemeClr w14:val="tx1"/>
            </w14:solidFill>
          </w14:textFill>
        </w:rPr>
        <w:t>）继续教育学分达不到规定要求的。</w:t>
      </w:r>
    </w:p>
    <w:p w14:paraId="201F2349">
      <w:pPr>
        <w:spacing w:line="576" w:lineRule="exact"/>
        <w:ind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3</w:t>
      </w:r>
      <w:r>
        <w:rPr>
          <w:rFonts w:hint="eastAsia" w:ascii="仿宋_GB2312" w:hAnsi="微软雅黑" w:eastAsia="仿宋_GB2312" w:cs="微软雅黑"/>
          <w:color w:val="000000" w:themeColor="text1"/>
          <w:sz w:val="32"/>
          <w:szCs w:val="32"/>
          <w14:textFill>
            <w14:solidFill>
              <w14:schemeClr w14:val="tx1"/>
            </w14:solidFill>
          </w14:textFill>
        </w:rPr>
        <w:t>）应参加交流但不服从交流安排的。</w:t>
      </w:r>
    </w:p>
    <w:p w14:paraId="6599609D">
      <w:pPr>
        <w:spacing w:line="576" w:lineRule="exact"/>
        <w:ind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4</w:t>
      </w:r>
      <w:r>
        <w:rPr>
          <w:rFonts w:hint="eastAsia" w:ascii="仿宋_GB2312" w:hAnsi="微软雅黑" w:eastAsia="仿宋_GB2312" w:cs="微软雅黑"/>
          <w:color w:val="000000" w:themeColor="text1"/>
          <w:sz w:val="32"/>
          <w:szCs w:val="32"/>
          <w14:textFill>
            <w14:solidFill>
              <w14:schemeClr w14:val="tx1"/>
            </w14:solidFill>
          </w14:textFill>
        </w:rPr>
        <w:t>）考核中评议成绩低于60分的。</w:t>
      </w:r>
    </w:p>
    <w:p w14:paraId="481C509C">
      <w:pPr>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5</w:t>
      </w:r>
      <w:r>
        <w:rPr>
          <w:rFonts w:hint="eastAsia" w:ascii="仿宋_GB2312" w:hAnsi="微软雅黑" w:eastAsia="仿宋_GB2312" w:cs="微软雅黑"/>
          <w:color w:val="000000" w:themeColor="text1"/>
          <w:sz w:val="32"/>
          <w:szCs w:val="32"/>
          <w14:textFill>
            <w14:solidFill>
              <w14:schemeClr w14:val="tx1"/>
            </w14:solidFill>
          </w14:textFill>
        </w:rPr>
        <w:t>）以非法方式表达诉求，干扰正常教育教学秩序的。</w:t>
      </w:r>
    </w:p>
    <w:p w14:paraId="014D47E4">
      <w:pPr>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（6）经查证属实被投诉两次以上的。</w:t>
      </w:r>
    </w:p>
    <w:p w14:paraId="0CCBB9CB">
      <w:pPr>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（7）班级出现三位以上家长集体反映情况的。</w:t>
      </w:r>
    </w:p>
    <w:p w14:paraId="7EA34A8E">
      <w:pPr>
        <w:spacing w:line="576" w:lineRule="exact"/>
        <w:ind w:right="14" w:firstLine="640" w:firstLineChars="20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（8）未经学校同意，班级 1</w:t>
      </w:r>
      <w:r>
        <w:rPr>
          <w:rFonts w:ascii="仿宋_GB2312" w:hAnsi="微软雅黑" w:eastAsia="仿宋_GB2312" w:cs="微软雅黑"/>
          <w:color w:val="000000" w:themeColor="text1"/>
          <w:sz w:val="32"/>
          <w:szCs w:val="32"/>
          <w:highlight w:val="none"/>
          <w14:textFill>
            <w14:solidFill>
              <w14:schemeClr w14:val="tx1"/>
            </w14:solidFill>
          </w14:textFill>
        </w:rPr>
        <w:t>/3</w:t>
      </w:r>
      <w:r>
        <w:rPr>
          <w:rFonts w:hint="eastAsia" w:ascii="仿宋_GB2312" w:hAnsi="微软雅黑" w:eastAsia="仿宋_GB2312" w:cs="微软雅黑"/>
          <w:color w:val="000000" w:themeColor="text1"/>
          <w:sz w:val="32"/>
          <w:szCs w:val="32"/>
          <w:highlight w:val="none"/>
          <w14:textFill>
            <w14:solidFill>
              <w14:schemeClr w14:val="tx1"/>
            </w14:solidFill>
          </w14:textFill>
        </w:rPr>
        <w:t>以上学生携带相同课外读物（教辅材料）进入校园的。</w:t>
      </w:r>
    </w:p>
    <w:p w14:paraId="59701C90">
      <w:pPr>
        <w:spacing w:line="576" w:lineRule="exact"/>
        <w:ind w:left="-1" w:right="-1" w:firstLine="619"/>
        <w:rPr>
          <w:rFonts w:hint="eastAsia" w:ascii="仿宋_GB2312" w:hAnsi="微软雅黑" w:eastAsia="仿宋_GB2312" w:cs="微软雅黑"/>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凡有下列情形之一的，考核直接确定为不合格档次：</w:t>
      </w:r>
    </w:p>
    <w:p w14:paraId="3D04A2FE">
      <w:pPr>
        <w:spacing w:line="576" w:lineRule="exact"/>
        <w:ind w:left="-1" w:right="-1" w:firstLine="619"/>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 xml:space="preserve">（1）思想政治素质较差，在贯彻落实党中央决策部署以及职业道德、社会公德、家庭美德、个人品德等方面存在严重问题。 </w:t>
      </w:r>
      <w:r>
        <w:rPr>
          <w:rFonts w:ascii="仿宋_GB2312" w:hAnsi="微软雅黑" w:eastAsia="仿宋_GB2312" w:cs="微软雅黑"/>
          <w:color w:val="000000" w:themeColor="text1"/>
          <w:sz w:val="32"/>
          <w:szCs w:val="32"/>
          <w14:textFill>
            <w14:solidFill>
              <w14:schemeClr w14:val="tx1"/>
            </w14:solidFill>
          </w14:textFill>
        </w:rPr>
        <w:t xml:space="preserve">  </w:t>
      </w:r>
    </w:p>
    <w:p w14:paraId="75EDCC94">
      <w:pPr>
        <w:spacing w:line="576" w:lineRule="exact"/>
        <w:ind w:left="-1" w:right="-1" w:firstLine="619"/>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2</w:t>
      </w:r>
      <w:r>
        <w:rPr>
          <w:rFonts w:hint="eastAsia" w:ascii="仿宋_GB2312" w:hAnsi="微软雅黑" w:eastAsia="仿宋_GB2312" w:cs="微软雅黑"/>
          <w:color w:val="000000" w:themeColor="text1"/>
          <w:sz w:val="32"/>
          <w:szCs w:val="32"/>
          <w:highlight w:val="none"/>
          <w14:textFill>
            <w14:solidFill>
              <w14:schemeClr w14:val="tx1"/>
            </w14:solidFill>
          </w14:textFill>
        </w:rPr>
        <w:t>）违反教育《新时代中小学教师职业行为十项准则》《新时代幼儿园教师职业行为十项准则》有关规定的。</w:t>
      </w:r>
    </w:p>
    <w:p w14:paraId="3ECE2F98">
      <w:pPr>
        <w:spacing w:line="576" w:lineRule="exact"/>
        <w:ind w:left="4"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3</w:t>
      </w:r>
      <w:r>
        <w:rPr>
          <w:rFonts w:hint="eastAsia" w:ascii="仿宋_GB2312" w:hAnsi="微软雅黑" w:eastAsia="仿宋_GB2312" w:cs="微软雅黑"/>
          <w:color w:val="000000" w:themeColor="text1"/>
          <w:sz w:val="32"/>
          <w:szCs w:val="32"/>
          <w14:textFill>
            <w14:solidFill>
              <w14:schemeClr w14:val="tx1"/>
            </w14:solidFill>
          </w14:textFill>
        </w:rPr>
        <w:t>）工作中因严重失误、失职造成重大损失或者恶劣影响的。</w:t>
      </w:r>
    </w:p>
    <w:p w14:paraId="0704AE5E">
      <w:pPr>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4</w:t>
      </w:r>
      <w:r>
        <w:rPr>
          <w:rFonts w:hint="eastAsia" w:ascii="仿宋_GB2312" w:hAnsi="微软雅黑" w:eastAsia="仿宋_GB2312" w:cs="微软雅黑"/>
          <w:color w:val="000000" w:themeColor="text1"/>
          <w:sz w:val="32"/>
          <w:szCs w:val="32"/>
          <w14:textFill>
            <w14:solidFill>
              <w14:schemeClr w14:val="tx1"/>
            </w14:solidFill>
          </w14:textFill>
        </w:rPr>
        <w:t>）无正当理由不参加年度考核的事业单位工作人员，经教育后仍拒绝参加的。</w:t>
      </w:r>
    </w:p>
    <w:p w14:paraId="59A1FEF3">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5</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在教育教学活动中遇突发事件时，不履行保护学生人身安全职责的。</w:t>
      </w:r>
    </w:p>
    <w:p w14:paraId="36BE8FF6">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6</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在教育教学活动和学生管理、评价中不公平公正对待学生，产生明显负面影响的。</w:t>
      </w:r>
    </w:p>
    <w:p w14:paraId="47A5A87C">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7</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在招生、考试、考核评价、职务评审、教研科研、继续教育中弄虚作假、营私舞弊的。</w:t>
      </w:r>
    </w:p>
    <w:p w14:paraId="393D67E7">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8</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体罚学生的和以侮辱、歧视等方式变相体罚学生，造成学生身心伤害的。</w:t>
      </w:r>
    </w:p>
    <w:p w14:paraId="03C7CE01">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9</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对学生实施性骚扰的。</w:t>
      </w:r>
    </w:p>
    <w:p w14:paraId="2336C1F9">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10</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索要或者违反规定收受家长、学生礼品、礼金等财物的。</w:t>
      </w:r>
    </w:p>
    <w:p w14:paraId="06BC3D7C">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11</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组织或者参与针对学生的经营性活动，或者强制学生订购教辅资料、报刊等谋取利益的。</w:t>
      </w:r>
    </w:p>
    <w:p w14:paraId="7E8F7138">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12</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组织、要求学生参加校内外有偿补课，或者组织、参与校外培训机构对学生有偿补课的。</w:t>
      </w:r>
    </w:p>
    <w:p w14:paraId="5FF773DE">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13</w:t>
      </w:r>
      <w:r>
        <w:rPr>
          <w:rFonts w:hint="eastAsia" w:ascii="仿宋_GB2312" w:hAnsi="微软雅黑" w:eastAsia="仿宋_GB2312" w:cs="微软雅黑"/>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旷工或无正当理由逾期不归年内累计超过10个工作日的。</w:t>
      </w:r>
    </w:p>
    <w:p w14:paraId="3324F5AC">
      <w:pPr>
        <w:widowControl/>
        <w:adjustRightInd w:val="0"/>
        <w:snapToGrid w:val="0"/>
        <w:spacing w:line="576" w:lineRule="exact"/>
        <w:ind w:firstLine="640" w:firstLineChars="200"/>
        <w:rPr>
          <w:rFonts w:hint="eastAsia" w:ascii="仿宋_GB2312" w:hAnsi="宋体" w:eastAsia="仿宋_GB2312"/>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w:t>
      </w:r>
      <w:r>
        <w:rPr>
          <w:rFonts w:ascii="仿宋_GB2312" w:hAnsi="微软雅黑" w:eastAsia="仿宋_GB2312" w:cs="微软雅黑"/>
          <w:color w:val="000000" w:themeColor="text1"/>
          <w:sz w:val="32"/>
          <w:szCs w:val="32"/>
          <w14:textFill>
            <w14:solidFill>
              <w14:schemeClr w14:val="tx1"/>
            </w14:solidFill>
          </w14:textFill>
        </w:rPr>
        <w:t>14</w:t>
      </w:r>
      <w:r>
        <w:rPr>
          <w:rFonts w:hint="eastAsia"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宋体" w:eastAsia="仿宋_GB2312"/>
          <w:color w:val="000000" w:themeColor="text1"/>
          <w:kern w:val="0"/>
          <w:sz w:val="32"/>
          <w:szCs w:val="32"/>
          <w14:textFill>
            <w14:solidFill>
              <w14:schemeClr w14:val="tx1"/>
            </w14:solidFill>
          </w14:textFill>
        </w:rPr>
        <w:t>上年年度考核为基本合格等次，本年度仍无明显改进的。</w:t>
      </w:r>
    </w:p>
    <w:p w14:paraId="2BF1A226">
      <w:pPr>
        <w:pStyle w:val="4"/>
        <w:autoSpaceDE w:val="0"/>
        <w:adjustRightInd w:val="0"/>
        <w:snapToGrid w:val="0"/>
        <w:spacing w:before="0" w:beforeAutospacing="0" w:after="0" w:afterAutospacing="0" w:line="576" w:lineRule="exact"/>
        <w:ind w:right="31" w:rightChars="15" w:firstLine="640" w:firstLineChars="200"/>
        <w:jc w:val="both"/>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ascii="仿宋_GB2312" w:hAnsi="微软雅黑" w:eastAsia="仿宋_GB2312" w:cs="微软雅黑"/>
          <w:color w:val="000000" w:themeColor="text1"/>
          <w:sz w:val="32"/>
          <w:szCs w:val="32"/>
          <w:highlight w:val="none"/>
          <w14:textFill>
            <w14:solidFill>
              <w14:schemeClr w14:val="tx1"/>
            </w14:solidFill>
          </w14:textFill>
        </w:rPr>
        <w:t>15</w:t>
      </w:r>
      <w:r>
        <w:rPr>
          <w:rFonts w:hint="eastAsia" w:ascii="仿宋_GB2312" w:hAnsi="微软雅黑" w:eastAsia="仿宋_GB2312" w:cs="微软雅黑"/>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其他严重违反职业道德的行为应当给予相应处分的。</w:t>
      </w:r>
    </w:p>
    <w:p w14:paraId="112C5749">
      <w:pPr>
        <w:pStyle w:val="4"/>
        <w:numPr>
          <w:ilvl w:val="0"/>
          <w:numId w:val="0"/>
        </w:numPr>
        <w:tabs>
          <w:tab w:val="left" w:pos="5972"/>
        </w:tabs>
        <w:autoSpaceDE w:val="0"/>
        <w:adjustRightInd w:val="0"/>
        <w:snapToGrid w:val="0"/>
        <w:spacing w:before="0" w:beforeAutospacing="0" w:after="0" w:afterAutospacing="0" w:line="576" w:lineRule="exact"/>
        <w:ind w:right="31" w:rightChars="15" w:firstLine="640" w:firstLineChars="200"/>
        <w:jc w:val="both"/>
        <w:rPr>
          <w:rFonts w:hint="eastAsia" w:ascii="仿宋_GB2312" w:hAnsi="微软雅黑" w:eastAsia="仿宋_GB2312" w:cs="微软雅黑"/>
          <w:color w:val="auto"/>
          <w:sz w:val="32"/>
          <w:szCs w:val="32"/>
          <w:highlight w:val="none"/>
        </w:rPr>
      </w:pPr>
      <w:r>
        <w:rPr>
          <w:rFonts w:hint="eastAsia" w:ascii="仿宋_GB2312" w:hAnsi="微软雅黑" w:eastAsia="仿宋_GB2312" w:cs="微软雅黑"/>
          <w:color w:val="auto"/>
          <w:sz w:val="32"/>
          <w:szCs w:val="32"/>
          <w:highlight w:val="none"/>
        </w:rPr>
        <w:t>凡有下列情形之一的，年度考核确定为优秀档次：</w:t>
      </w:r>
    </w:p>
    <w:p w14:paraId="1883215D">
      <w:pPr>
        <w:pStyle w:val="4"/>
        <w:numPr>
          <w:ilvl w:val="0"/>
          <w:numId w:val="0"/>
        </w:numPr>
        <w:tabs>
          <w:tab w:val="left" w:pos="5972"/>
        </w:tabs>
        <w:autoSpaceDE w:val="0"/>
        <w:adjustRightInd w:val="0"/>
        <w:snapToGrid w:val="0"/>
        <w:spacing w:before="0" w:beforeAutospacing="0" w:after="0" w:afterAutospacing="0" w:line="576" w:lineRule="exact"/>
        <w:ind w:right="31" w:rightChars="15" w:firstLine="640" w:firstLineChars="200"/>
        <w:jc w:val="both"/>
        <w:rPr>
          <w:rFonts w:hint="eastAsia" w:ascii="仿宋_GB2312" w:hAnsi="微软雅黑" w:eastAsia="仿宋_GB2312" w:cs="微软雅黑"/>
          <w:color w:val="auto"/>
          <w:sz w:val="32"/>
          <w:szCs w:val="32"/>
          <w:highlight w:val="none"/>
        </w:rPr>
      </w:pPr>
      <w:r>
        <w:rPr>
          <w:rFonts w:hint="eastAsia" w:ascii="仿宋_GB2312" w:hAnsi="微软雅黑" w:eastAsia="仿宋_GB2312" w:cs="微软雅黑"/>
          <w:color w:val="auto"/>
          <w:sz w:val="32"/>
          <w:szCs w:val="32"/>
          <w:highlight w:val="none"/>
        </w:rPr>
        <w:t>（1）在区级及以上综合性学生竞赛（如区运会）中，带队获得团体总分第一名的主教练。</w:t>
      </w:r>
    </w:p>
    <w:p w14:paraId="2110B183">
      <w:pPr>
        <w:pStyle w:val="4"/>
        <w:numPr>
          <w:ilvl w:val="0"/>
          <w:numId w:val="0"/>
        </w:numPr>
        <w:tabs>
          <w:tab w:val="left" w:pos="5972"/>
        </w:tabs>
        <w:autoSpaceDE w:val="0"/>
        <w:adjustRightInd w:val="0"/>
        <w:snapToGrid w:val="0"/>
        <w:spacing w:before="0" w:beforeAutospacing="0" w:after="0" w:afterAutospacing="0" w:line="576" w:lineRule="exact"/>
        <w:ind w:right="31" w:rightChars="15" w:firstLine="640" w:firstLineChars="200"/>
        <w:jc w:val="both"/>
        <w:rPr>
          <w:rFonts w:hint="eastAsia" w:ascii="仿宋_GB2312" w:hAnsi="微软雅黑" w:eastAsia="仿宋_GB2312" w:cs="微软雅黑"/>
          <w:color w:val="auto"/>
          <w:sz w:val="32"/>
          <w:szCs w:val="32"/>
          <w:highlight w:val="none"/>
          <w:lang w:eastAsia="zh-CN"/>
        </w:rPr>
      </w:pPr>
      <w:r>
        <w:rPr>
          <w:rFonts w:hint="eastAsia" w:ascii="仿宋_GB2312" w:hAnsi="微软雅黑" w:eastAsia="仿宋_GB2312" w:cs="微软雅黑"/>
          <w:color w:val="auto"/>
          <w:sz w:val="32"/>
          <w:szCs w:val="32"/>
          <w:highlight w:val="none"/>
          <w:lang w:eastAsia="zh-CN"/>
        </w:rPr>
        <w:t>（</w:t>
      </w:r>
      <w:r>
        <w:rPr>
          <w:rFonts w:hint="eastAsia" w:ascii="仿宋_GB2312" w:hAnsi="微软雅黑" w:eastAsia="仿宋_GB2312" w:cs="微软雅黑"/>
          <w:color w:val="auto"/>
          <w:sz w:val="32"/>
          <w:szCs w:val="32"/>
          <w:highlight w:val="none"/>
          <w:lang w:val="en-US" w:eastAsia="zh-CN"/>
        </w:rPr>
        <w:t>2</w:t>
      </w:r>
      <w:r>
        <w:rPr>
          <w:rFonts w:hint="eastAsia" w:ascii="仿宋_GB2312" w:hAnsi="微软雅黑" w:eastAsia="仿宋_GB2312" w:cs="微软雅黑"/>
          <w:color w:val="auto"/>
          <w:sz w:val="32"/>
          <w:szCs w:val="32"/>
          <w:highlight w:val="none"/>
          <w:lang w:eastAsia="zh-CN"/>
        </w:rPr>
        <w:t>）</w:t>
      </w:r>
      <w:r>
        <w:rPr>
          <w:rFonts w:hint="eastAsia" w:ascii="仿宋_GB2312" w:hAnsi="微软雅黑" w:eastAsia="仿宋_GB2312" w:cs="微软雅黑"/>
          <w:color w:val="auto"/>
          <w:sz w:val="32"/>
          <w:szCs w:val="32"/>
          <w:highlight w:val="none"/>
        </w:rPr>
        <w:t>取得与教育教学相关的国家发明专利</w:t>
      </w:r>
      <w:r>
        <w:rPr>
          <w:rFonts w:hint="eastAsia" w:ascii="仿宋_GB2312" w:hAnsi="微软雅黑" w:eastAsia="仿宋_GB2312" w:cs="微软雅黑"/>
          <w:color w:val="auto"/>
          <w:sz w:val="32"/>
          <w:szCs w:val="32"/>
          <w:highlight w:val="none"/>
          <w:lang w:eastAsia="zh-CN"/>
        </w:rPr>
        <w:t>。</w:t>
      </w:r>
    </w:p>
    <w:p w14:paraId="738600B1">
      <w:pPr>
        <w:pStyle w:val="4"/>
        <w:numPr>
          <w:ilvl w:val="0"/>
          <w:numId w:val="0"/>
        </w:numPr>
        <w:tabs>
          <w:tab w:val="left" w:pos="5972"/>
        </w:tabs>
        <w:autoSpaceDE w:val="0"/>
        <w:adjustRightInd w:val="0"/>
        <w:snapToGrid w:val="0"/>
        <w:spacing w:before="0" w:beforeAutospacing="0" w:after="0" w:afterAutospacing="0" w:line="576" w:lineRule="exact"/>
        <w:ind w:right="31" w:rightChars="15" w:firstLine="640" w:firstLineChars="200"/>
        <w:jc w:val="both"/>
        <w:rPr>
          <w:rFonts w:hint="eastAsia" w:ascii="仿宋_GB2312" w:hAnsi="微软雅黑" w:eastAsia="仿宋_GB2312" w:cs="微软雅黑"/>
          <w:color w:val="auto"/>
          <w:sz w:val="32"/>
          <w:szCs w:val="32"/>
          <w:highlight w:val="none"/>
          <w:lang w:eastAsia="zh-CN"/>
        </w:rPr>
      </w:pPr>
      <w:r>
        <w:rPr>
          <w:rFonts w:hint="eastAsia" w:ascii="仿宋_GB2312" w:hAnsi="微软雅黑" w:eastAsia="仿宋_GB2312" w:cs="微软雅黑"/>
          <w:color w:val="auto"/>
          <w:sz w:val="32"/>
          <w:szCs w:val="32"/>
          <w:highlight w:val="none"/>
          <w:lang w:eastAsia="zh-CN"/>
        </w:rPr>
        <w:t>（</w:t>
      </w:r>
      <w:r>
        <w:rPr>
          <w:rFonts w:hint="eastAsia" w:ascii="仿宋_GB2312" w:hAnsi="微软雅黑" w:eastAsia="仿宋_GB2312" w:cs="微软雅黑"/>
          <w:color w:val="auto"/>
          <w:sz w:val="32"/>
          <w:szCs w:val="32"/>
          <w:highlight w:val="none"/>
          <w:lang w:val="en-US" w:eastAsia="zh-CN"/>
        </w:rPr>
        <w:t>3</w:t>
      </w:r>
      <w:r>
        <w:rPr>
          <w:rFonts w:hint="eastAsia" w:ascii="仿宋_GB2312" w:hAnsi="微软雅黑" w:eastAsia="仿宋_GB2312" w:cs="微软雅黑"/>
          <w:color w:val="auto"/>
          <w:sz w:val="32"/>
          <w:szCs w:val="32"/>
          <w:highlight w:val="none"/>
          <w:lang w:eastAsia="zh-CN"/>
        </w:rPr>
        <w:t>）</w:t>
      </w:r>
      <w:r>
        <w:rPr>
          <w:rFonts w:hint="eastAsia" w:ascii="仿宋_GB2312" w:hAnsi="微软雅黑" w:eastAsia="仿宋_GB2312" w:cs="微软雅黑"/>
          <w:color w:val="auto"/>
          <w:sz w:val="32"/>
          <w:szCs w:val="32"/>
          <w:highlight w:val="none"/>
        </w:rPr>
        <w:t>在校园安全、突发事件处理中表现突出，避免重大损失者</w:t>
      </w:r>
      <w:r>
        <w:rPr>
          <w:rFonts w:hint="eastAsia" w:ascii="仿宋_GB2312" w:hAnsi="微软雅黑" w:eastAsia="仿宋_GB2312" w:cs="微软雅黑"/>
          <w:color w:val="auto"/>
          <w:sz w:val="32"/>
          <w:szCs w:val="32"/>
          <w:highlight w:val="none"/>
          <w:lang w:eastAsia="zh-CN"/>
        </w:rPr>
        <w:t>。</w:t>
      </w:r>
    </w:p>
    <w:p w14:paraId="6284A53E">
      <w:pPr>
        <w:pStyle w:val="4"/>
        <w:numPr>
          <w:ilvl w:val="0"/>
          <w:numId w:val="0"/>
        </w:numPr>
        <w:tabs>
          <w:tab w:val="left" w:pos="5972"/>
        </w:tabs>
        <w:autoSpaceDE w:val="0"/>
        <w:adjustRightInd w:val="0"/>
        <w:snapToGrid w:val="0"/>
        <w:spacing w:before="0" w:beforeAutospacing="0" w:after="0" w:afterAutospacing="0" w:line="576" w:lineRule="exact"/>
        <w:ind w:right="31" w:rightChars="15" w:firstLine="640" w:firstLineChars="200"/>
        <w:jc w:val="both"/>
        <w:rPr>
          <w:rFonts w:hint="default" w:ascii="仿宋_GB2312" w:hAnsi="微软雅黑" w:eastAsia="仿宋_GB2312" w:cs="微软雅黑"/>
          <w:color w:val="auto"/>
          <w:sz w:val="32"/>
          <w:szCs w:val="32"/>
          <w:highlight w:val="none"/>
          <w:lang w:val="en-US" w:eastAsia="zh-CN"/>
        </w:rPr>
      </w:pPr>
      <w:r>
        <w:rPr>
          <w:rFonts w:hint="eastAsia" w:ascii="仿宋_GB2312" w:hAnsi="微软雅黑" w:eastAsia="仿宋_GB2312" w:cs="微软雅黑"/>
          <w:color w:val="auto"/>
          <w:sz w:val="32"/>
          <w:szCs w:val="32"/>
          <w:highlight w:val="none"/>
        </w:rPr>
        <w:t>（4）对学校发展有重大贡献，经学校党支部或考核领导小组审议认定。</w:t>
      </w:r>
    </w:p>
    <w:p w14:paraId="6FE65D66">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b/>
          <w:bCs/>
          <w:color w:val="000000" w:themeColor="text1"/>
          <w:sz w:val="32"/>
          <w:szCs w:val="32"/>
          <w14:textFill>
            <w14:solidFill>
              <w14:schemeClr w14:val="tx1"/>
            </w14:solidFill>
          </w14:textFill>
        </w:rPr>
        <w:t>5.</w:t>
      </w:r>
      <w:r>
        <w:rPr>
          <w:rFonts w:hint="eastAsia" w:ascii="仿宋_GB2312" w:hAnsi="微软雅黑" w:eastAsia="仿宋_GB2312" w:cs="微软雅黑"/>
          <w:b/>
          <w:bCs/>
          <w:color w:val="000000" w:themeColor="text1"/>
          <w:sz w:val="32"/>
          <w:szCs w:val="32"/>
          <w14:textFill>
            <w14:solidFill>
              <w14:schemeClr w14:val="tx1"/>
            </w14:solidFill>
          </w14:textFill>
        </w:rPr>
        <w:t>结果反馈。</w:t>
      </w:r>
      <w:r>
        <w:rPr>
          <w:rFonts w:hint="eastAsia" w:ascii="仿宋_GB2312" w:hAnsi="微软雅黑" w:eastAsia="仿宋_GB2312" w:cs="微软雅黑"/>
          <w:color w:val="000000" w:themeColor="text1"/>
          <w:sz w:val="32"/>
          <w:szCs w:val="32"/>
          <w14:textFill>
            <w14:solidFill>
              <w14:schemeClr w14:val="tx1"/>
            </w14:solidFill>
          </w14:textFill>
        </w:rPr>
        <w:t>考核结果以书面形式通知被考核人，并由本人签署意见。对考核结果拟确定为基本合格或不合格档次的，进行组织谈话。本人对考核确定为基本合格或不合格档次不服的，按照有关规定在30日内向学校申请复核或向上级主管部门提出申诉。</w:t>
      </w:r>
    </w:p>
    <w:p w14:paraId="739A0AD6">
      <w:pPr>
        <w:widowControl/>
        <w:spacing w:line="576" w:lineRule="exact"/>
        <w:ind w:right="14" w:firstLine="643"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b/>
          <w:bCs/>
          <w:color w:val="000000" w:themeColor="text1"/>
          <w:sz w:val="32"/>
          <w:szCs w:val="32"/>
          <w14:textFill>
            <w14:solidFill>
              <w14:schemeClr w14:val="tx1"/>
            </w14:solidFill>
          </w14:textFill>
        </w:rPr>
        <w:t>6</w:t>
      </w:r>
      <w:r>
        <w:rPr>
          <w:rFonts w:ascii="仿宋_GB2312" w:hAnsi="微软雅黑" w:eastAsia="仿宋_GB2312" w:cs="微软雅黑"/>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总结归档。</w:t>
      </w:r>
      <w:r>
        <w:rPr>
          <w:rFonts w:hint="eastAsia" w:ascii="仿宋_GB2312" w:hAnsi="微软雅黑" w:eastAsia="仿宋_GB2312" w:cs="微软雅黑"/>
          <w:color w:val="000000" w:themeColor="text1"/>
          <w:sz w:val="32"/>
          <w:szCs w:val="32"/>
          <w14:textFill>
            <w14:solidFill>
              <w14:schemeClr w14:val="tx1"/>
            </w14:solidFill>
          </w14:textFill>
        </w:rPr>
        <w:t>考核工作结束后，教职工个人考核结果存入本人档案。学校考核工作总结和教职工考核结果汇总情况报区教体。</w:t>
      </w:r>
    </w:p>
    <w:p w14:paraId="779EAC73">
      <w:pPr>
        <w:spacing w:line="576" w:lineRule="exact"/>
        <w:ind w:right="14" w:firstLine="643" w:firstLineChars="200"/>
        <w:rPr>
          <w:rFonts w:hint="eastAsia" w:ascii="仿宋_GB2312" w:eastAsia="仿宋_GB2312"/>
          <w:b/>
          <w:bCs/>
          <w:color w:val="000000" w:themeColor="text1"/>
          <w:sz w:val="32"/>
          <w:szCs w:val="32"/>
          <w14:textFill>
            <w14:solidFill>
              <w14:schemeClr w14:val="tx1"/>
            </w14:solidFill>
          </w14:textFill>
        </w:rPr>
      </w:pPr>
      <w:r>
        <w:rPr>
          <w:rFonts w:hint="eastAsia" w:ascii="仿宋_GB2312" w:hAnsi="微软雅黑" w:eastAsia="仿宋_GB2312" w:cs="微软雅黑"/>
          <w:b/>
          <w:bCs/>
          <w:color w:val="000000" w:themeColor="text1"/>
          <w:sz w:val="32"/>
          <w:szCs w:val="32"/>
          <w14:textFill>
            <w14:solidFill>
              <w14:schemeClr w14:val="tx1"/>
            </w14:solidFill>
          </w14:textFill>
        </w:rPr>
        <w:t>7</w:t>
      </w:r>
      <w:r>
        <w:rPr>
          <w:rFonts w:ascii="仿宋_GB2312" w:hAnsi="微软雅黑" w:eastAsia="仿宋_GB2312" w:cs="微软雅黑"/>
          <w:b/>
          <w:bCs/>
          <w:color w:val="000000" w:themeColor="text1"/>
          <w:sz w:val="32"/>
          <w:szCs w:val="32"/>
          <w14:textFill>
            <w14:solidFill>
              <w14:schemeClr w14:val="tx1"/>
            </w14:solidFill>
          </w14:textFill>
        </w:rPr>
        <w:t>.</w:t>
      </w:r>
      <w:r>
        <w:rPr>
          <w:rFonts w:hint="eastAsia" w:ascii="仿宋_GB2312" w:hAnsi="微软雅黑" w:eastAsia="仿宋_GB2312" w:cs="微软雅黑"/>
          <w:b/>
          <w:bCs/>
          <w:color w:val="000000" w:themeColor="text1"/>
          <w:sz w:val="32"/>
          <w:szCs w:val="32"/>
          <w14:textFill>
            <w14:solidFill>
              <w14:schemeClr w14:val="tx1"/>
            </w14:solidFill>
          </w14:textFill>
        </w:rPr>
        <w:t>结果使用。</w:t>
      </w:r>
    </w:p>
    <w:p w14:paraId="1D4AA999">
      <w:pPr>
        <w:widowControl/>
        <w:spacing w:line="576"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考核结果作为教师资格定期注册、绩效工资发放、评优树先、职称评聘、岗位竞聘等的重要依据。</w:t>
      </w:r>
    </w:p>
    <w:p w14:paraId="545902C3">
      <w:pPr>
        <w:widowControl/>
        <w:spacing w:line="576"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绩效工资发放时重点参考对课时量和工作实绩的考核结果，用于课时量和教学实绩的奖励性绩效工资占比应不低于奖励性绩效工资总量的70％。</w:t>
      </w:r>
      <w:r>
        <w:rPr>
          <w:rFonts w:hint="eastAsia" w:ascii="仿宋_GB2312" w:hAnsi="微软雅黑" w:eastAsia="仿宋_GB2312" w:cs="微软雅黑"/>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drawing>
          <wp:inline distT="0" distB="0" distL="0" distR="0">
            <wp:extent cx="5715" cy="48260"/>
            <wp:effectExtent l="0" t="0" r="0" b="0"/>
            <wp:docPr id="27810" name="Picture 27810"/>
            <wp:cNvGraphicFramePr/>
            <a:graphic xmlns:a="http://schemas.openxmlformats.org/drawingml/2006/main">
              <a:graphicData uri="http://schemas.openxmlformats.org/drawingml/2006/picture">
                <pic:pic xmlns:pic="http://schemas.openxmlformats.org/drawingml/2006/picture">
                  <pic:nvPicPr>
                    <pic:cNvPr id="27810" name="Picture 27810"/>
                    <pic:cNvPicPr/>
                  </pic:nvPicPr>
                  <pic:blipFill>
                    <a:blip r:embed="rId11"/>
                    <a:stretch>
                      <a:fillRect/>
                    </a:stretch>
                  </pic:blipFill>
                  <pic:spPr>
                    <a:xfrm>
                      <a:off x="0" y="0"/>
                      <a:ext cx="6096" cy="48782"/>
                    </a:xfrm>
                    <a:prstGeom prst="rect">
                      <a:avLst/>
                    </a:prstGeom>
                  </pic:spPr>
                </pic:pic>
              </a:graphicData>
            </a:graphic>
          </wp:inline>
        </w:drawing>
      </w:r>
    </w:p>
    <w:p w14:paraId="75CBC4CF">
      <w:pPr>
        <w:spacing w:line="576" w:lineRule="exact"/>
        <w:ind w:left="-1" w:right="-1" w:firstLine="619"/>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8.</w:t>
      </w:r>
      <w:r>
        <w:rPr>
          <w:rFonts w:hint="eastAsia" w:ascii="仿宋_GB2312" w:hAnsi="微软雅黑" w:eastAsia="仿宋_GB2312" w:cs="微软雅黑"/>
          <w:color w:val="000000" w:themeColor="text1"/>
          <w:sz w:val="32"/>
          <w:szCs w:val="32"/>
          <w14:textFill>
            <w14:solidFill>
              <w14:schemeClr w14:val="tx1"/>
            </w14:solidFill>
          </w14:textFill>
        </w:rPr>
        <w:t>评优树先年度考核结果需为合格及以上档次，上学年考核被确定为不合格档次的，取消评优树先资格。评优树先在参考工作实绩考核结果的基础上，根据荣誉类别选择重点指标考核。</w:t>
      </w:r>
    </w:p>
    <w:p w14:paraId="254A2E77">
      <w:pPr>
        <w:widowControl/>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9</w:t>
      </w:r>
      <w:r>
        <w:rPr>
          <w:rFonts w:ascii="仿宋_GB2312" w:hAnsi="微软雅黑" w:eastAsia="仿宋_GB2312" w:cs="微软雅黑"/>
          <w:color w:val="000000" w:themeColor="text1"/>
          <w:sz w:val="32"/>
          <w:szCs w:val="32"/>
          <w14:textFill>
            <w14:solidFill>
              <w14:schemeClr w14:val="tx1"/>
            </w14:solidFill>
          </w14:textFill>
        </w:rPr>
        <w:t>.</w:t>
      </w:r>
      <w:r>
        <w:rPr>
          <w:rFonts w:hint="eastAsia" w:ascii="仿宋_GB2312" w:hAnsi="微软雅黑" w:eastAsia="仿宋_GB2312" w:cs="微软雅黑"/>
          <w:color w:val="000000" w:themeColor="text1"/>
          <w:sz w:val="32"/>
          <w:szCs w:val="32"/>
          <w14:textFill>
            <w14:solidFill>
              <w14:schemeClr w14:val="tx1"/>
            </w14:solidFill>
          </w14:textFill>
        </w:rPr>
        <w:t>课时量达不到省定最低标准和教学实绩考核结果长期较差的人员，不得申报高一级专业技术职务，不得参与竞聘高一级专业技术岗位。学校职称评聘推荐人员应在具备相关文件规定的任职资格基础上选择重点指标进行考核。</w:t>
      </w:r>
    </w:p>
    <w:p w14:paraId="29E5490C">
      <w:pPr>
        <w:widowControl/>
        <w:spacing w:line="576" w:lineRule="exact"/>
        <w:ind w:right="14"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10.</w:t>
      </w:r>
      <w:r>
        <w:rPr>
          <w:rFonts w:hint="eastAsia" w:ascii="仿宋_GB2312" w:hAnsi="微软雅黑" w:eastAsia="仿宋_GB2312" w:cs="微软雅黑"/>
          <w:color w:val="000000" w:themeColor="text1"/>
          <w:sz w:val="32"/>
          <w:szCs w:val="32"/>
          <w14:textFill>
            <w14:solidFill>
              <w14:schemeClr w14:val="tx1"/>
            </w14:solidFill>
          </w14:textFill>
        </w:rPr>
        <w:t>岗位竞聘按照《关于印发山东省事业单位工作人员竞聘上岗办法的通知》（鲁人社发〔2019〕39号）、《关于在全区教体系统专业技术岗位实施分级竞聘的指导意见》（博教体发〔2022〕100号）文件要求，以年度考核结果为依据进行。</w:t>
      </w:r>
    </w:p>
    <w:p w14:paraId="5C302594">
      <w:pPr>
        <w:widowControl/>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11.</w:t>
      </w:r>
      <w:r>
        <w:rPr>
          <w:rFonts w:hint="eastAsia" w:ascii="仿宋_GB2312" w:hAnsi="微软雅黑" w:eastAsia="仿宋_GB2312" w:cs="微软雅黑"/>
          <w:color w:val="000000" w:themeColor="text1"/>
          <w:sz w:val="32"/>
          <w:szCs w:val="32"/>
          <w14:textFill>
            <w14:solidFill>
              <w14:schemeClr w14:val="tx1"/>
            </w14:solidFill>
          </w14:textFill>
        </w:rPr>
        <w:t>年度考核被确定为基本合格档次的，应责令其作出书面检查，限期改进；连续两年被确定为基本合格档次的，予以组织调整或者组织处理。</w:t>
      </w:r>
    </w:p>
    <w:p w14:paraId="3E1E7EE6">
      <w:pPr>
        <w:widowControl/>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12.</w:t>
      </w:r>
      <w:r>
        <w:rPr>
          <w:rFonts w:hint="eastAsia" w:ascii="仿宋_GB2312" w:hAnsi="微软雅黑" w:eastAsia="仿宋_GB2312" w:cs="微软雅黑"/>
          <w:color w:val="000000" w:themeColor="text1"/>
          <w:sz w:val="32"/>
          <w:szCs w:val="32"/>
          <w14:textFill>
            <w14:solidFill>
              <w14:schemeClr w14:val="tx1"/>
            </w14:solidFill>
          </w14:textFill>
        </w:rPr>
        <w:t>年度考核被确定为不合格档次的，向低一级岗位等级调整；被确定为不合格档次且不同意调整工作岗位，或者连续两年被确定为不合格档次的，可以按规定解除聘用合同。</w:t>
      </w:r>
    </w:p>
    <w:p w14:paraId="32F7191E">
      <w:pPr>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13.</w:t>
      </w:r>
      <w:r>
        <w:rPr>
          <w:rFonts w:hint="eastAsia" w:ascii="仿宋_GB2312" w:hAnsi="微软雅黑" w:eastAsia="仿宋_GB2312" w:cs="微软雅黑"/>
          <w:color w:val="000000" w:themeColor="text1"/>
          <w:sz w:val="32"/>
          <w:szCs w:val="32"/>
          <w14:textFill>
            <w14:solidFill>
              <w14:schemeClr w14:val="tx1"/>
            </w14:solidFill>
          </w14:textFill>
        </w:rPr>
        <w:t>年度考核被确定为基本合格及以下档次的，不得增加薪级工资；相应核减绩效工资；本考核年度不计算为现聘岗位等级的任职年限。</w:t>
      </w:r>
    </w:p>
    <w:p w14:paraId="4C8B6C63">
      <w:pPr>
        <w:spacing w:line="576" w:lineRule="exact"/>
        <w:ind w:left="10" w:right="-15"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ascii="仿宋_GB2312" w:hAnsi="微软雅黑" w:eastAsia="仿宋_GB2312" w:cs="微软雅黑"/>
          <w:color w:val="000000" w:themeColor="text1"/>
          <w:sz w:val="32"/>
          <w:szCs w:val="32"/>
          <w14:textFill>
            <w14:solidFill>
              <w14:schemeClr w14:val="tx1"/>
            </w14:solidFill>
          </w14:textFill>
        </w:rPr>
        <w:t>14.</w:t>
      </w:r>
      <w:r>
        <w:rPr>
          <w:rFonts w:hint="eastAsia" w:ascii="仿宋_GB2312" w:hAnsi="微软雅黑" w:eastAsia="仿宋_GB2312" w:cs="微软雅黑"/>
          <w:color w:val="000000" w:themeColor="text1"/>
          <w:sz w:val="32"/>
          <w:szCs w:val="32"/>
          <w14:textFill>
            <w14:solidFill>
              <w14:schemeClr w14:val="tx1"/>
            </w14:solidFill>
          </w14:textFill>
        </w:rPr>
        <w:t>把年度考核结果作为“区管校聘”的重要依据，对于学校整体超编、年度考核处于末位的教师，纳入“区管校聘”范围，由超编学校向缺编学校、由教学岗位向教辅岗位流动。</w:t>
      </w:r>
    </w:p>
    <w:p w14:paraId="1BC9FFAA">
      <w:pPr>
        <w:spacing w:line="576" w:lineRule="exact"/>
        <w:ind w:left="10" w:right="-15"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1</w:t>
      </w:r>
      <w:r>
        <w:rPr>
          <w:rFonts w:ascii="仿宋_GB2312" w:hAnsi="微软雅黑" w:eastAsia="仿宋_GB2312" w:cs="微软雅黑"/>
          <w:color w:val="000000" w:themeColor="text1"/>
          <w:sz w:val="32"/>
          <w:szCs w:val="32"/>
          <w14:textFill>
            <w14:solidFill>
              <w14:schemeClr w14:val="tx1"/>
            </w14:solidFill>
          </w14:textFill>
        </w:rPr>
        <w:t>5.</w:t>
      </w:r>
      <w:r>
        <w:rPr>
          <w:rFonts w:hint="eastAsia" w:ascii="仿宋_GB2312" w:hAnsi="微软雅黑" w:eastAsia="仿宋_GB2312" w:cs="微软雅黑"/>
          <w:color w:val="000000" w:themeColor="text1"/>
          <w:sz w:val="32"/>
          <w:szCs w:val="32"/>
          <w14:textFill>
            <w14:solidFill>
              <w14:schemeClr w14:val="tx1"/>
            </w14:solidFill>
          </w14:textFill>
        </w:rPr>
        <w:t>原则上考核结果不连续两年优秀。</w:t>
      </w:r>
    </w:p>
    <w:p w14:paraId="19CB34A7">
      <w:pPr>
        <w:spacing w:line="576" w:lineRule="exact"/>
        <w:ind w:left="10" w:right="-15"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1</w:t>
      </w:r>
      <w:r>
        <w:rPr>
          <w:rFonts w:ascii="仿宋_GB2312" w:hAnsi="微软雅黑" w:eastAsia="仿宋_GB2312" w:cs="微软雅黑"/>
          <w:color w:val="000000" w:themeColor="text1"/>
          <w:sz w:val="32"/>
          <w:szCs w:val="32"/>
          <w14:textFill>
            <w14:solidFill>
              <w14:schemeClr w14:val="tx1"/>
            </w14:solidFill>
          </w14:textFill>
        </w:rPr>
        <w:t>6.</w:t>
      </w:r>
      <w:r>
        <w:rPr>
          <w:rFonts w:hint="eastAsia" w:ascii="仿宋_GB2312" w:hAnsi="微软雅黑" w:eastAsia="仿宋_GB2312" w:cs="微软雅黑"/>
          <w:color w:val="000000" w:themeColor="text1"/>
          <w:sz w:val="32"/>
          <w:szCs w:val="32"/>
          <w14:textFill>
            <w14:solidFill>
              <w14:schemeClr w14:val="tx1"/>
            </w14:solidFill>
          </w14:textFill>
        </w:rPr>
        <w:t>不存在成绩监测的任课教师按照</w:t>
      </w:r>
      <w:r>
        <w:rPr>
          <w:rFonts w:ascii="仿宋_GB2312" w:hAnsi="微软雅黑" w:eastAsia="仿宋_GB2312" w:cs="微软雅黑"/>
          <w:color w:val="000000" w:themeColor="text1"/>
          <w:sz w:val="32"/>
          <w:szCs w:val="32"/>
          <w14:textFill>
            <w14:solidFill>
              <w14:schemeClr w14:val="tx1"/>
            </w14:solidFill>
          </w14:textFill>
        </w:rPr>
        <w:t>15%的比例</w:t>
      </w:r>
      <w:r>
        <w:rPr>
          <w:rFonts w:hint="eastAsia" w:ascii="仿宋_GB2312" w:hAnsi="微软雅黑" w:eastAsia="仿宋_GB2312" w:cs="微软雅黑"/>
          <w:color w:val="000000" w:themeColor="text1"/>
          <w:sz w:val="32"/>
          <w:szCs w:val="32"/>
          <w14:textFill>
            <w14:solidFill>
              <w14:schemeClr w14:val="tx1"/>
            </w14:solidFill>
          </w14:textFill>
        </w:rPr>
        <w:t>（名额只舍不入）</w:t>
      </w:r>
      <w:r>
        <w:rPr>
          <w:rFonts w:ascii="仿宋_GB2312" w:hAnsi="微软雅黑" w:eastAsia="仿宋_GB2312" w:cs="微软雅黑"/>
          <w:color w:val="000000" w:themeColor="text1"/>
          <w:sz w:val="32"/>
          <w:szCs w:val="32"/>
          <w14:textFill>
            <w14:solidFill>
              <w14:schemeClr w14:val="tx1"/>
            </w14:solidFill>
          </w14:textFill>
        </w:rPr>
        <w:t>单独参与考核。</w:t>
      </w:r>
    </w:p>
    <w:p w14:paraId="2F61CD3D">
      <w:pPr>
        <w:spacing w:line="576" w:lineRule="exact"/>
        <w:ind w:left="14" w:right="14" w:firstLine="640" w:firstLineChars="20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s="微软雅黑"/>
          <w:color w:val="000000" w:themeColor="text1"/>
          <w:sz w:val="32"/>
          <w:szCs w:val="32"/>
          <w14:textFill>
            <w14:solidFill>
              <w14:schemeClr w14:val="tx1"/>
            </w14:solidFill>
          </w14:textFill>
        </w:rPr>
        <w:t>五、考核组织与实施</w:t>
      </w:r>
    </w:p>
    <w:p w14:paraId="560B64A4">
      <w:pPr>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hAnsi="微软雅黑" w:eastAsia="楷体_GB2312" w:cs="微软雅黑"/>
          <w:color w:val="000000" w:themeColor="text1"/>
          <w:sz w:val="32"/>
          <w:szCs w:val="32"/>
          <w14:textFill>
            <w14:solidFill>
              <w14:schemeClr w14:val="tx1"/>
            </w14:solidFill>
          </w14:textFill>
        </w:rPr>
        <w:t>（一）加强组织领导。</w:t>
      </w:r>
      <w:r>
        <w:rPr>
          <w:rFonts w:hint="eastAsia" w:ascii="仿宋_GB2312" w:hAnsi="微软雅黑" w:eastAsia="仿宋_GB2312" w:cs="微软雅黑"/>
          <w:color w:val="000000" w:themeColor="text1"/>
          <w:sz w:val="32"/>
          <w:szCs w:val="32"/>
          <w14:textFill>
            <w14:solidFill>
              <w14:schemeClr w14:val="tx1"/>
            </w14:solidFill>
          </w14:textFill>
        </w:rPr>
        <w:t>教职工考核工作政策性强，涉及面广，关系到教师队伍建设和广大教师的切身利益，精心部署，认真组织实施。</w:t>
      </w:r>
    </w:p>
    <w:p w14:paraId="0E20CC5C">
      <w:pPr>
        <w:spacing w:line="576" w:lineRule="exact"/>
        <w:ind w:left="4" w:right="14"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drawing>
          <wp:anchor distT="0" distB="0" distL="114300" distR="114300" simplePos="0" relativeHeight="251659264" behindDoc="0" locked="0" layoutInCell="1" allowOverlap="0">
            <wp:simplePos x="0" y="0"/>
            <wp:positionH relativeFrom="page">
              <wp:posOffset>6680835</wp:posOffset>
            </wp:positionH>
            <wp:positionV relativeFrom="page">
              <wp:posOffset>4829175</wp:posOffset>
            </wp:positionV>
            <wp:extent cx="12065" cy="18415"/>
            <wp:effectExtent l="0" t="0" r="0" b="0"/>
            <wp:wrapSquare wrapText="bothSides"/>
            <wp:docPr id="31204" name="Picture 31204"/>
            <wp:cNvGraphicFramePr/>
            <a:graphic xmlns:a="http://schemas.openxmlformats.org/drawingml/2006/main">
              <a:graphicData uri="http://schemas.openxmlformats.org/drawingml/2006/picture">
                <pic:pic xmlns:pic="http://schemas.openxmlformats.org/drawingml/2006/picture">
                  <pic:nvPicPr>
                    <pic:cNvPr id="31204" name="Picture 31204"/>
                    <pic:cNvPicPr/>
                  </pic:nvPicPr>
                  <pic:blipFill>
                    <a:blip r:embed="rId12"/>
                    <a:stretch>
                      <a:fillRect/>
                    </a:stretch>
                  </pic:blipFill>
                  <pic:spPr>
                    <a:xfrm>
                      <a:off x="0" y="0"/>
                      <a:ext cx="12193" cy="18293"/>
                    </a:xfrm>
                    <a:prstGeom prst="rect">
                      <a:avLst/>
                    </a:prstGeom>
                  </pic:spPr>
                </pic:pic>
              </a:graphicData>
            </a:graphic>
          </wp:anchor>
        </w:drawing>
      </w:r>
      <w:r>
        <w:rPr>
          <w:rFonts w:hint="eastAsia" w:ascii="楷体_GB2312" w:hAnsi="微软雅黑" w:eastAsia="楷体_GB2312" w:cs="微软雅黑"/>
          <w:color w:val="000000" w:themeColor="text1"/>
          <w:sz w:val="32"/>
          <w:szCs w:val="32"/>
          <w14:textFill>
            <w14:solidFill>
              <w14:schemeClr w14:val="tx1"/>
            </w14:solidFill>
          </w14:textFill>
        </w:rPr>
        <w:t>（二）规范考核程序。</w:t>
      </w:r>
      <w:r>
        <w:rPr>
          <w:rFonts w:hint="eastAsia" w:ascii="仿宋_GB2312" w:hAnsi="微软雅黑" w:eastAsia="仿宋_GB2312" w:cs="微软雅黑"/>
          <w:color w:val="000000" w:themeColor="text1"/>
          <w:sz w:val="32"/>
          <w:szCs w:val="32"/>
          <w14:textFill>
            <w14:solidFill>
              <w14:schemeClr w14:val="tx1"/>
            </w14:solidFill>
          </w14:textFill>
        </w:rPr>
        <w:t>加强宣传引导，深入细致地做好教师思想工作，引导教师正确对待考核，以科学考核促进教师专业发展和学校健康发展。广泛征求教职工的意见和建议，严格考核程序步骤，严密规范操作，及时公开考核方案、考核成绩和考核结果，充分保障教职工的参与权、知情权和监督权；严格考核结果使用，树立良好考核导向。</w:t>
      </w:r>
    </w:p>
    <w:p w14:paraId="2A0C3616">
      <w:pPr>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r>
        <w:rPr>
          <w:rFonts w:hint="eastAsia" w:ascii="楷体_GB2312" w:hAnsi="微软雅黑" w:eastAsia="楷体_GB2312" w:cs="微软雅黑"/>
          <w:color w:val="000000" w:themeColor="text1"/>
          <w:sz w:val="32"/>
          <w:szCs w:val="32"/>
          <w14:textFill>
            <w14:solidFill>
              <w14:schemeClr w14:val="tx1"/>
            </w14:solidFill>
          </w14:textFill>
        </w:rPr>
        <w:t>（三）严肃考核纪律。</w:t>
      </w:r>
      <w:r>
        <w:rPr>
          <w:rFonts w:hint="eastAsia" w:ascii="仿宋_GB2312" w:hAnsi="微软雅黑" w:eastAsia="仿宋_GB2312" w:cs="微软雅黑"/>
          <w:color w:val="000000" w:themeColor="text1"/>
          <w:sz w:val="32"/>
          <w:szCs w:val="32"/>
          <w14:textFill>
            <w14:solidFill>
              <w14:schemeClr w14:val="tx1"/>
            </w14:solidFill>
          </w14:textFill>
        </w:rPr>
        <w:t>设立争议调解小组，负责调解处理考核过程中出现的各类隐患纠纷。建立风险预警机制，及时化解考核过程中的矛盾与风险，确保考核工作平稳有序开展。</w:t>
      </w:r>
    </w:p>
    <w:p w14:paraId="4F320830">
      <w:pPr>
        <w:spacing w:line="576" w:lineRule="exact"/>
        <w:ind w:right="14" w:firstLine="640" w:firstLineChars="200"/>
        <w:rPr>
          <w:rFonts w:hint="eastAsia" w:ascii="仿宋_GB2312" w:hAnsi="微软雅黑" w:eastAsia="仿宋_GB2312" w:cs="微软雅黑"/>
          <w:color w:val="000000" w:themeColor="text1"/>
          <w:sz w:val="32"/>
          <w:szCs w:val="32"/>
          <w14:textFill>
            <w14:solidFill>
              <w14:schemeClr w14:val="tx1"/>
            </w14:solidFill>
          </w14:textFill>
        </w:rPr>
      </w:pPr>
    </w:p>
    <w:p w14:paraId="377FAFF2">
      <w:pPr>
        <w:keepNext/>
        <w:keepLines/>
        <w:widowControl/>
        <w:ind w:right="2246"/>
        <w:jc w:val="center"/>
        <w:outlineLvl w:val="1"/>
        <w:rPr>
          <w:rFonts w:hint="eastAsia" w:ascii="仿宋_GB2312" w:hAnsi="微软雅黑" w:eastAsia="仿宋_GB2312" w:cs="微软雅黑"/>
          <w:color w:val="000000" w:themeColor="text1"/>
          <w:sz w:val="32"/>
          <w:szCs w:val="32"/>
          <w14:textFill>
            <w14:solidFill>
              <w14:schemeClr w14:val="tx1"/>
            </w14:solidFill>
          </w14:textFill>
        </w:rPr>
      </w:pPr>
      <w:bookmarkStart w:id="0" w:name="_Hlk147644356"/>
      <w:r>
        <w:rPr>
          <w:rFonts w:hint="eastAsia" w:ascii="仿宋_GB2312" w:hAnsi="微软雅黑" w:eastAsia="仿宋_GB2312" w:cs="微软雅黑"/>
          <w:color w:val="000000" w:themeColor="text1"/>
          <w:sz w:val="32"/>
          <w:szCs w:val="32"/>
          <w14:textFill>
            <w14:solidFill>
              <w14:schemeClr w14:val="tx1"/>
            </w14:solidFill>
          </w14:textFill>
        </w:rPr>
        <w:t xml:space="preserve"> </w:t>
      </w:r>
      <w:r>
        <w:rPr>
          <w:rFonts w:ascii="仿宋_GB2312" w:hAnsi="微软雅黑" w:eastAsia="仿宋_GB2312" w:cs="微软雅黑"/>
          <w:color w:val="000000" w:themeColor="text1"/>
          <w:sz w:val="32"/>
          <w:szCs w:val="32"/>
          <w14:textFill>
            <w14:solidFill>
              <w14:schemeClr w14:val="tx1"/>
            </w14:solidFill>
          </w14:textFill>
        </w:rPr>
        <w:t xml:space="preserve">            </w:t>
      </w:r>
      <w:r>
        <w:rPr>
          <w:rFonts w:hint="eastAsia" w:ascii="仿宋_GB2312" w:hAnsi="微软雅黑" w:eastAsia="仿宋_GB2312" w:cs="微软雅黑"/>
          <w:color w:val="000000" w:themeColor="text1"/>
          <w:sz w:val="32"/>
          <w:szCs w:val="32"/>
          <w14:textFill>
            <w14:solidFill>
              <w14:schemeClr w14:val="tx1"/>
            </w14:solidFill>
          </w14:textFill>
        </w:rPr>
        <w:t>学科教师考核评价参考细则</w:t>
      </w:r>
    </w:p>
    <w:bookmarkEnd w:id="0"/>
    <w:tbl>
      <w:tblPr>
        <w:tblStyle w:val="7"/>
        <w:tblW w:w="8899" w:type="dxa"/>
        <w:tblInd w:w="-34" w:type="dxa"/>
        <w:tblLayout w:type="autofit"/>
        <w:tblCellMar>
          <w:top w:w="24" w:type="dxa"/>
          <w:left w:w="115" w:type="dxa"/>
          <w:bottom w:w="0" w:type="dxa"/>
          <w:right w:w="106" w:type="dxa"/>
        </w:tblCellMar>
      </w:tblPr>
      <w:tblGrid>
        <w:gridCol w:w="576"/>
        <w:gridCol w:w="633"/>
        <w:gridCol w:w="643"/>
        <w:gridCol w:w="711"/>
        <w:gridCol w:w="2630"/>
        <w:gridCol w:w="711"/>
        <w:gridCol w:w="2995"/>
      </w:tblGrid>
      <w:tr w14:paraId="0C079F13">
        <w:tblPrEx>
          <w:tblCellMar>
            <w:top w:w="24" w:type="dxa"/>
            <w:left w:w="115" w:type="dxa"/>
            <w:bottom w:w="0" w:type="dxa"/>
            <w:right w:w="106" w:type="dxa"/>
          </w:tblCellMar>
        </w:tblPrEx>
        <w:trPr>
          <w:trHeight w:val="336" w:hRule="atLeast"/>
        </w:trPr>
        <w:tc>
          <w:tcPr>
            <w:tcW w:w="577" w:type="dxa"/>
            <w:vMerge w:val="restart"/>
            <w:tcBorders>
              <w:top w:val="single" w:color="000000" w:sz="2" w:space="0"/>
              <w:left w:val="single" w:color="000000" w:sz="2" w:space="0"/>
              <w:bottom w:val="single" w:color="000000" w:sz="2" w:space="0"/>
              <w:right w:val="single" w:color="000000" w:sz="2" w:space="0"/>
            </w:tcBorders>
          </w:tcPr>
          <w:p w14:paraId="04A3584C">
            <w:pPr>
              <w:ind w:left="6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一级指标</w:t>
            </w:r>
          </w:p>
        </w:tc>
        <w:tc>
          <w:tcPr>
            <w:tcW w:w="632" w:type="dxa"/>
            <w:vMerge w:val="restart"/>
            <w:tcBorders>
              <w:top w:val="single" w:color="000000" w:sz="2" w:space="0"/>
              <w:left w:val="single" w:color="000000" w:sz="2" w:space="0"/>
              <w:bottom w:val="single" w:color="000000" w:sz="2" w:space="0"/>
              <w:right w:val="single" w:color="000000" w:sz="2" w:space="0"/>
            </w:tcBorders>
          </w:tcPr>
          <w:p w14:paraId="097F17EE">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二级指标</w:t>
            </w:r>
          </w:p>
        </w:tc>
        <w:tc>
          <w:tcPr>
            <w:tcW w:w="1354" w:type="dxa"/>
            <w:gridSpan w:val="2"/>
            <w:tcBorders>
              <w:top w:val="single" w:color="000000" w:sz="2" w:space="0"/>
              <w:left w:val="single" w:color="000000" w:sz="2" w:space="0"/>
              <w:bottom w:val="single" w:color="000000" w:sz="2" w:space="0"/>
              <w:right w:val="single" w:color="000000" w:sz="2" w:space="0"/>
            </w:tcBorders>
          </w:tcPr>
          <w:p w14:paraId="6BC5C167">
            <w:pPr>
              <w:ind w:left="86"/>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三级指标</w:t>
            </w:r>
          </w:p>
        </w:tc>
        <w:tc>
          <w:tcPr>
            <w:tcW w:w="3341" w:type="dxa"/>
            <w:gridSpan w:val="2"/>
            <w:tcBorders>
              <w:top w:val="single" w:color="000000" w:sz="2" w:space="0"/>
              <w:left w:val="single" w:color="000000" w:sz="2" w:space="0"/>
              <w:bottom w:val="single" w:color="000000" w:sz="2" w:space="0"/>
              <w:right w:val="single" w:color="000000" w:sz="2" w:space="0"/>
            </w:tcBorders>
          </w:tcPr>
          <w:p w14:paraId="1C99723F">
            <w:pPr>
              <w:ind w:right="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四级指标</w:t>
            </w:r>
          </w:p>
        </w:tc>
        <w:tc>
          <w:tcPr>
            <w:tcW w:w="2995" w:type="dxa"/>
            <w:vMerge w:val="restart"/>
            <w:tcBorders>
              <w:top w:val="single" w:color="000000" w:sz="2" w:space="0"/>
              <w:left w:val="single" w:color="000000" w:sz="2" w:space="0"/>
              <w:bottom w:val="single" w:color="000000" w:sz="2" w:space="0"/>
              <w:right w:val="single" w:color="000000" w:sz="2" w:space="0"/>
            </w:tcBorders>
            <w:vAlign w:val="center"/>
          </w:tcPr>
          <w:p w14:paraId="45C0AF08">
            <w:pPr>
              <w:ind w:left="30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评价标准及计分办法</w:t>
            </w:r>
          </w:p>
        </w:tc>
      </w:tr>
      <w:tr w14:paraId="436326BC">
        <w:tblPrEx>
          <w:tblCellMar>
            <w:top w:w="24" w:type="dxa"/>
            <w:left w:w="115" w:type="dxa"/>
            <w:bottom w:w="0" w:type="dxa"/>
            <w:right w:w="106" w:type="dxa"/>
          </w:tblCellMar>
        </w:tblPrEx>
        <w:trPr>
          <w:trHeight w:val="935" w:hRule="atLeast"/>
        </w:trPr>
        <w:tc>
          <w:tcPr>
            <w:tcW w:w="0" w:type="auto"/>
            <w:vMerge w:val="continue"/>
            <w:tcBorders>
              <w:top w:val="nil"/>
              <w:left w:val="single" w:color="000000" w:sz="2" w:space="0"/>
              <w:bottom w:val="single" w:color="000000" w:sz="2" w:space="0"/>
              <w:right w:val="single" w:color="000000" w:sz="2" w:space="0"/>
            </w:tcBorders>
          </w:tcPr>
          <w:p w14:paraId="1B6E553A">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72C843D2">
            <w:pPr>
              <w:jc w:val="left"/>
              <w:rPr>
                <w:rFonts w:hint="eastAsia" w:ascii="仿宋_GB2312" w:eastAsia="仿宋_GB2312"/>
                <w:color w:val="000000" w:themeColor="text1"/>
                <w:szCs w:val="21"/>
                <w14:textFill>
                  <w14:solidFill>
                    <w14:schemeClr w14:val="tx1"/>
                  </w14:solidFill>
                </w14:textFill>
              </w:rPr>
            </w:pPr>
          </w:p>
        </w:tc>
        <w:tc>
          <w:tcPr>
            <w:tcW w:w="643" w:type="dxa"/>
            <w:tcBorders>
              <w:top w:val="single" w:color="000000" w:sz="2" w:space="0"/>
              <w:left w:val="single" w:color="000000" w:sz="2" w:space="0"/>
              <w:bottom w:val="single" w:color="000000" w:sz="2" w:space="0"/>
              <w:right w:val="single" w:color="000000" w:sz="2" w:space="0"/>
            </w:tcBorders>
            <w:vAlign w:val="center"/>
          </w:tcPr>
          <w:p w14:paraId="07DEC082">
            <w:pPr>
              <w:ind w:left="86"/>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项目</w:t>
            </w:r>
          </w:p>
        </w:tc>
        <w:tc>
          <w:tcPr>
            <w:tcW w:w="710" w:type="dxa"/>
            <w:tcBorders>
              <w:top w:val="single" w:color="000000" w:sz="2" w:space="0"/>
              <w:left w:val="single" w:color="000000" w:sz="2" w:space="0"/>
              <w:bottom w:val="single" w:color="000000" w:sz="2" w:space="0"/>
              <w:right w:val="single" w:color="000000" w:sz="2" w:space="0"/>
            </w:tcBorders>
            <w:vAlign w:val="center"/>
          </w:tcPr>
          <w:p w14:paraId="078C0064">
            <w:pPr>
              <w:ind w:left="10"/>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比重</w:t>
            </w:r>
          </w:p>
        </w:tc>
        <w:tc>
          <w:tcPr>
            <w:tcW w:w="2630" w:type="dxa"/>
            <w:tcBorders>
              <w:top w:val="single" w:color="000000" w:sz="2" w:space="0"/>
              <w:left w:val="single" w:color="000000" w:sz="2" w:space="0"/>
              <w:bottom w:val="single" w:color="000000" w:sz="2" w:space="0"/>
              <w:right w:val="single" w:color="000000" w:sz="2" w:space="0"/>
            </w:tcBorders>
            <w:vAlign w:val="center"/>
          </w:tcPr>
          <w:p w14:paraId="20F7A28B">
            <w:pPr>
              <w:ind w:right="3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项目</w:t>
            </w:r>
          </w:p>
        </w:tc>
        <w:tc>
          <w:tcPr>
            <w:tcW w:w="710" w:type="dxa"/>
            <w:tcBorders>
              <w:top w:val="single" w:color="000000" w:sz="2" w:space="0"/>
              <w:left w:val="single" w:color="000000" w:sz="2" w:space="0"/>
              <w:bottom w:val="single" w:color="000000" w:sz="2" w:space="0"/>
              <w:right w:val="single" w:color="000000" w:sz="2" w:space="0"/>
            </w:tcBorders>
            <w:vAlign w:val="center"/>
          </w:tcPr>
          <w:p w14:paraId="57237A66">
            <w:pPr>
              <w:ind w:left="10"/>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比重</w:t>
            </w:r>
          </w:p>
        </w:tc>
        <w:tc>
          <w:tcPr>
            <w:tcW w:w="0" w:type="auto"/>
            <w:vMerge w:val="continue"/>
            <w:tcBorders>
              <w:top w:val="nil"/>
              <w:left w:val="single" w:color="000000" w:sz="2" w:space="0"/>
              <w:bottom w:val="single" w:color="000000" w:sz="2" w:space="0"/>
              <w:right w:val="single" w:color="000000" w:sz="2" w:space="0"/>
            </w:tcBorders>
          </w:tcPr>
          <w:p w14:paraId="071B74F9">
            <w:pPr>
              <w:jc w:val="left"/>
              <w:rPr>
                <w:rFonts w:hint="eastAsia" w:ascii="仿宋_GB2312" w:eastAsia="仿宋_GB2312"/>
                <w:color w:val="000000" w:themeColor="text1"/>
                <w:szCs w:val="21"/>
                <w14:textFill>
                  <w14:solidFill>
                    <w14:schemeClr w14:val="tx1"/>
                  </w14:solidFill>
                </w14:textFill>
              </w:rPr>
            </w:pPr>
          </w:p>
        </w:tc>
      </w:tr>
      <w:tr w14:paraId="07F025FD">
        <w:tblPrEx>
          <w:tblCellMar>
            <w:top w:w="24" w:type="dxa"/>
            <w:left w:w="115" w:type="dxa"/>
            <w:bottom w:w="0" w:type="dxa"/>
            <w:right w:w="106" w:type="dxa"/>
          </w:tblCellMar>
        </w:tblPrEx>
        <w:trPr>
          <w:trHeight w:val="1546" w:hRule="atLeast"/>
        </w:trPr>
        <w:tc>
          <w:tcPr>
            <w:tcW w:w="1210" w:type="dxa"/>
            <w:gridSpan w:val="2"/>
            <w:tcBorders>
              <w:top w:val="single" w:color="000000" w:sz="2" w:space="0"/>
              <w:left w:val="single" w:color="000000" w:sz="2" w:space="0"/>
              <w:bottom w:val="single" w:color="000000" w:sz="2" w:space="0"/>
              <w:right w:val="single" w:color="000000" w:sz="2" w:space="0"/>
            </w:tcBorders>
            <w:vAlign w:val="center"/>
          </w:tcPr>
          <w:p w14:paraId="4DD1CF91">
            <w:pPr>
              <w:ind w:left="8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底线指标</w:t>
            </w:r>
          </w:p>
        </w:tc>
        <w:tc>
          <w:tcPr>
            <w:tcW w:w="643" w:type="dxa"/>
            <w:tcBorders>
              <w:top w:val="single" w:color="000000" w:sz="2" w:space="0"/>
              <w:left w:val="single" w:color="000000" w:sz="2" w:space="0"/>
              <w:bottom w:val="single" w:color="000000" w:sz="2" w:space="0"/>
              <w:right w:val="single" w:color="000000" w:sz="2" w:space="0"/>
            </w:tcBorders>
            <w:vAlign w:val="center"/>
          </w:tcPr>
          <w:p w14:paraId="0514BC48">
            <w:pPr>
              <w:ind w:left="5"/>
              <w:jc w:val="center"/>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职业道德</w:t>
            </w:r>
          </w:p>
        </w:tc>
        <w:tc>
          <w:tcPr>
            <w:tcW w:w="710" w:type="dxa"/>
            <w:tcBorders>
              <w:top w:val="single" w:color="000000" w:sz="2" w:space="0"/>
              <w:left w:val="single" w:color="000000" w:sz="2" w:space="0"/>
              <w:bottom w:val="single" w:color="000000" w:sz="2" w:space="0"/>
              <w:right w:val="single" w:color="000000" w:sz="2" w:space="0"/>
            </w:tcBorders>
          </w:tcPr>
          <w:p w14:paraId="0787B807">
            <w:pPr>
              <w:jc w:val="left"/>
              <w:rPr>
                <w:rFonts w:hint="eastAsia" w:ascii="仿宋_GB2312" w:eastAsia="仿宋_GB2312"/>
                <w:color w:val="000000" w:themeColor="text1"/>
                <w:szCs w:val="21"/>
                <w14:textFill>
                  <w14:solidFill>
                    <w14:schemeClr w14:val="tx1"/>
                  </w14:solidFill>
                </w14:textFill>
              </w:rPr>
            </w:pPr>
          </w:p>
        </w:tc>
        <w:tc>
          <w:tcPr>
            <w:tcW w:w="2630" w:type="dxa"/>
            <w:tcBorders>
              <w:top w:val="single" w:color="000000" w:sz="2" w:space="0"/>
              <w:left w:val="single" w:color="000000" w:sz="2" w:space="0"/>
              <w:bottom w:val="single" w:color="000000" w:sz="2" w:space="0"/>
              <w:right w:val="single" w:color="000000" w:sz="2" w:space="0"/>
            </w:tcBorders>
            <w:vAlign w:val="center"/>
          </w:tcPr>
          <w:p w14:paraId="7CAB9BE9">
            <w:pPr>
              <w:ind w:right="115"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依法执教、爱岗敬业、关爱学生、为人师表、团结协作、尊重家长、作风优良、廉洁从教。</w:t>
            </w:r>
          </w:p>
        </w:tc>
        <w:tc>
          <w:tcPr>
            <w:tcW w:w="710" w:type="dxa"/>
            <w:tcBorders>
              <w:top w:val="single" w:color="000000" w:sz="2" w:space="0"/>
              <w:left w:val="single" w:color="000000" w:sz="2" w:space="0"/>
              <w:bottom w:val="single" w:color="000000" w:sz="2" w:space="0"/>
              <w:right w:val="single" w:color="000000" w:sz="2" w:space="0"/>
            </w:tcBorders>
          </w:tcPr>
          <w:p w14:paraId="5E8942C3">
            <w:pPr>
              <w:jc w:val="left"/>
              <w:rPr>
                <w:rFonts w:hint="eastAsia" w:ascii="仿宋_GB2312" w:eastAsia="仿宋_GB2312"/>
                <w:color w:val="000000" w:themeColor="text1"/>
                <w:szCs w:val="21"/>
                <w14:textFill>
                  <w14:solidFill>
                    <w14:schemeClr w14:val="tx1"/>
                  </w14:solidFill>
                </w14:textFill>
              </w:rPr>
            </w:pPr>
          </w:p>
        </w:tc>
        <w:tc>
          <w:tcPr>
            <w:tcW w:w="2995" w:type="dxa"/>
            <w:tcBorders>
              <w:top w:val="single" w:color="000000" w:sz="2" w:space="0"/>
              <w:left w:val="single" w:color="000000" w:sz="2" w:space="0"/>
              <w:bottom w:val="single" w:color="000000" w:sz="2" w:space="0"/>
              <w:right w:val="single" w:color="000000" w:sz="2" w:space="0"/>
            </w:tcBorders>
          </w:tcPr>
          <w:p w14:paraId="52D31C43">
            <w:pPr>
              <w:ind w:right="48"/>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根据教育部新时代中小学、幼儿园教师职业行为十项准则及其他法律法规要求确定；部分项目可根据学校实际实行扣分。一次投诉经查实扣2分。学习强国未登录，每次扣</w:t>
            </w:r>
            <w:r>
              <w:rPr>
                <w:rFonts w:ascii="仿宋_GB2312" w:hAnsi="微软雅黑" w:eastAsia="仿宋_GB2312" w:cs="微软雅黑"/>
                <w:color w:val="000000" w:themeColor="text1"/>
                <w:szCs w:val="21"/>
                <w14:textFill>
                  <w14:solidFill>
                    <w14:schemeClr w14:val="tx1"/>
                  </w14:solidFill>
                </w14:textFill>
              </w:rPr>
              <w:t>0.1分。未能及时传达学校通知及未按时完成学校要求的工作每次扣0.5分</w:t>
            </w:r>
            <w:r>
              <w:rPr>
                <w:rFonts w:hint="eastAsia" w:ascii="仿宋_GB2312" w:hAnsi="微软雅黑" w:eastAsia="仿宋_GB2312" w:cs="微软雅黑"/>
                <w:color w:val="000000" w:themeColor="text1"/>
                <w:szCs w:val="21"/>
                <w14:textFill>
                  <w14:solidFill>
                    <w14:schemeClr w14:val="tx1"/>
                  </w14:solidFill>
                </w14:textFill>
              </w:rPr>
              <w:t>，</w:t>
            </w:r>
            <w:r>
              <w:rPr>
                <w:rFonts w:ascii="仿宋_GB2312" w:hAnsi="微软雅黑" w:eastAsia="仿宋_GB2312" w:cs="微软雅黑"/>
                <w:color w:val="000000" w:themeColor="text1"/>
                <w:szCs w:val="21"/>
                <w14:textFill>
                  <w14:solidFill>
                    <w14:schemeClr w14:val="tx1"/>
                  </w14:solidFill>
                </w14:textFill>
              </w:rPr>
              <w:t>变相或扭曲</w:t>
            </w:r>
            <w:r>
              <w:rPr>
                <w:rFonts w:hint="eastAsia" w:ascii="仿宋_GB2312" w:hAnsi="微软雅黑" w:eastAsia="仿宋_GB2312" w:cs="微软雅黑"/>
                <w:color w:val="000000" w:themeColor="text1"/>
                <w:szCs w:val="21"/>
                <w14:textFill>
                  <w14:solidFill>
                    <w14:schemeClr w14:val="tx1"/>
                  </w14:solidFill>
                </w14:textFill>
              </w:rPr>
              <w:t>工作安排</w:t>
            </w:r>
            <w:r>
              <w:rPr>
                <w:rFonts w:ascii="仿宋_GB2312" w:hAnsi="微软雅黑" w:eastAsia="仿宋_GB2312" w:cs="微软雅黑"/>
                <w:color w:val="000000" w:themeColor="text1"/>
                <w:szCs w:val="21"/>
                <w14:textFill>
                  <w14:solidFill>
                    <w14:schemeClr w14:val="tx1"/>
                  </w14:solidFill>
                </w14:textFill>
              </w:rPr>
              <w:t>双倍扣分。</w:t>
            </w:r>
          </w:p>
        </w:tc>
      </w:tr>
      <w:tr w14:paraId="786A2E61">
        <w:tblPrEx>
          <w:tblCellMar>
            <w:top w:w="24" w:type="dxa"/>
            <w:left w:w="115" w:type="dxa"/>
            <w:bottom w:w="0" w:type="dxa"/>
            <w:right w:w="106" w:type="dxa"/>
          </w:tblCellMar>
        </w:tblPrEx>
        <w:trPr>
          <w:trHeight w:val="1869" w:hRule="atLeast"/>
        </w:trPr>
        <w:tc>
          <w:tcPr>
            <w:tcW w:w="577" w:type="dxa"/>
            <w:vMerge w:val="restart"/>
            <w:tcBorders>
              <w:top w:val="single" w:color="000000" w:sz="2" w:space="0"/>
              <w:left w:val="single" w:color="000000" w:sz="2" w:space="0"/>
              <w:bottom w:val="single" w:color="000000" w:sz="2" w:space="0"/>
              <w:right w:val="single" w:color="000000" w:sz="2" w:space="0"/>
            </w:tcBorders>
            <w:vAlign w:val="center"/>
          </w:tcPr>
          <w:p w14:paraId="22EE00C0">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业绩指标</w:t>
            </w:r>
          </w:p>
        </w:tc>
        <w:tc>
          <w:tcPr>
            <w:tcW w:w="632" w:type="dxa"/>
            <w:vMerge w:val="restart"/>
            <w:tcBorders>
              <w:top w:val="single" w:color="000000" w:sz="2" w:space="0"/>
              <w:left w:val="single" w:color="000000" w:sz="2" w:space="0"/>
              <w:bottom w:val="single" w:color="000000" w:sz="2" w:space="0"/>
              <w:right w:val="single" w:color="000000" w:sz="2" w:space="0"/>
            </w:tcBorders>
            <w:vAlign w:val="center"/>
          </w:tcPr>
          <w:p w14:paraId="1F9F952D">
            <w:pPr>
              <w:ind w:left="4" w:right="2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基础性</w:t>
            </w:r>
          </w:p>
          <w:p w14:paraId="482AA781">
            <w:pPr>
              <w:ind w:left="4" w:right="2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指标</w:t>
            </w:r>
          </w:p>
        </w:tc>
        <w:tc>
          <w:tcPr>
            <w:tcW w:w="643" w:type="dxa"/>
            <w:tcBorders>
              <w:top w:val="single" w:color="000000" w:sz="2" w:space="0"/>
              <w:left w:val="single" w:color="000000" w:sz="2" w:space="0"/>
              <w:bottom w:val="single" w:color="000000" w:sz="2" w:space="0"/>
              <w:right w:val="single" w:color="000000" w:sz="2" w:space="0"/>
            </w:tcBorders>
            <w:vAlign w:val="center"/>
          </w:tcPr>
          <w:p w14:paraId="2768D6A2">
            <w:pPr>
              <w:ind w:right="5"/>
              <w:jc w:val="center"/>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课时量</w:t>
            </w:r>
          </w:p>
        </w:tc>
        <w:tc>
          <w:tcPr>
            <w:tcW w:w="710" w:type="dxa"/>
            <w:tcBorders>
              <w:top w:val="single" w:color="000000" w:sz="2" w:space="0"/>
              <w:left w:val="single" w:color="000000" w:sz="2" w:space="0"/>
              <w:bottom w:val="single" w:color="000000" w:sz="2" w:space="0"/>
              <w:right w:val="single" w:color="000000" w:sz="2" w:space="0"/>
            </w:tcBorders>
            <w:vAlign w:val="center"/>
          </w:tcPr>
          <w:p w14:paraId="7BFEC55D">
            <w:pPr>
              <w:ind w:left="26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15</w:t>
            </w:r>
          </w:p>
        </w:tc>
        <w:tc>
          <w:tcPr>
            <w:tcW w:w="2630" w:type="dxa"/>
            <w:tcBorders>
              <w:top w:val="single" w:color="000000" w:sz="2" w:space="0"/>
              <w:left w:val="single" w:color="000000" w:sz="2" w:space="0"/>
              <w:bottom w:val="single" w:color="000000" w:sz="2" w:space="0"/>
              <w:right w:val="single" w:color="000000" w:sz="2" w:space="0"/>
            </w:tcBorders>
            <w:vAlign w:val="center"/>
          </w:tcPr>
          <w:p w14:paraId="77E669AF">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根据课程标准和实际任课情况计分。</w:t>
            </w:r>
          </w:p>
        </w:tc>
        <w:tc>
          <w:tcPr>
            <w:tcW w:w="710" w:type="dxa"/>
            <w:tcBorders>
              <w:top w:val="single" w:color="000000" w:sz="2" w:space="0"/>
              <w:left w:val="single" w:color="000000" w:sz="2" w:space="0"/>
              <w:bottom w:val="single" w:color="000000" w:sz="2" w:space="0"/>
              <w:right w:val="single" w:color="000000" w:sz="2" w:space="0"/>
            </w:tcBorders>
            <w:vAlign w:val="center"/>
          </w:tcPr>
          <w:p w14:paraId="5D7143CD">
            <w:pPr>
              <w:ind w:left="1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15</w:t>
            </w:r>
          </w:p>
        </w:tc>
        <w:tc>
          <w:tcPr>
            <w:tcW w:w="2995" w:type="dxa"/>
            <w:tcBorders>
              <w:top w:val="single" w:color="000000" w:sz="2" w:space="0"/>
              <w:left w:val="single" w:color="000000" w:sz="2" w:space="0"/>
              <w:bottom w:val="single" w:color="000000" w:sz="2" w:space="0"/>
              <w:right w:val="single" w:color="000000" w:sz="2" w:space="0"/>
            </w:tcBorders>
          </w:tcPr>
          <w:p w14:paraId="5D42F898">
            <w:pPr>
              <w:ind w:right="10" w:firstLine="5"/>
              <w:jc w:val="left"/>
              <w:rPr>
                <w:rFonts w:hint="eastAsia" w:ascii="仿宋_GB2312" w:hAnsi="微软雅黑" w:eastAsia="仿宋_GB2312" w:cs="微软雅黑"/>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课时量分值：教师个人实际课时量 /每周12课时量标准× 15。</w:t>
            </w:r>
          </w:p>
          <w:p w14:paraId="14BF3AFF">
            <w:pPr>
              <w:ind w:right="10" w:firstLine="5"/>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中层</w:t>
            </w:r>
            <w:r>
              <w:rPr>
                <w:rFonts w:hint="eastAsia" w:ascii="仿宋_GB2312" w:eastAsia="仿宋_GB2312"/>
                <w:color w:val="000000" w:themeColor="text1"/>
                <w:szCs w:val="21"/>
                <w:lang w:val="en-US" w:eastAsia="zh-CN"/>
                <w14:textFill>
                  <w14:solidFill>
                    <w14:schemeClr w14:val="tx1"/>
                  </w14:solidFill>
                </w14:textFill>
              </w:rPr>
              <w:t>或</w:t>
            </w:r>
            <w:r>
              <w:rPr>
                <w:rFonts w:hint="eastAsia" w:ascii="仿宋_GB2312" w:eastAsia="仿宋_GB2312"/>
                <w:color w:val="000000" w:themeColor="text1"/>
                <w:szCs w:val="21"/>
                <w14:textFill>
                  <w14:solidFill>
                    <w14:schemeClr w14:val="tx1"/>
                  </w14:solidFill>
                </w14:textFill>
              </w:rPr>
              <w:t>班主任实际课时量/每周最低课时量8课时×15分。</w:t>
            </w:r>
          </w:p>
          <w:p w14:paraId="6D47D959">
            <w:pPr>
              <w:ind w:right="10" w:firstLine="5"/>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中层</w:t>
            </w:r>
            <w:r>
              <w:rPr>
                <w:rFonts w:hint="eastAsia" w:ascii="仿宋_GB2312" w:eastAsia="仿宋_GB2312"/>
                <w:color w:val="000000" w:themeColor="text1"/>
                <w:szCs w:val="21"/>
                <w:lang w:val="en-US" w:eastAsia="zh-CN"/>
                <w14:textFill>
                  <w14:solidFill>
                    <w14:schemeClr w14:val="tx1"/>
                  </w14:solidFill>
                </w14:textFill>
              </w:rPr>
              <w:t>和</w:t>
            </w:r>
            <w:r>
              <w:rPr>
                <w:rFonts w:hint="eastAsia" w:ascii="仿宋_GB2312" w:eastAsia="仿宋_GB2312"/>
                <w:color w:val="000000" w:themeColor="text1"/>
                <w:szCs w:val="21"/>
                <w14:textFill>
                  <w14:solidFill>
                    <w14:schemeClr w14:val="tx1"/>
                  </w14:solidFill>
                </w14:textFill>
              </w:rPr>
              <w:t>班主任或校级实际课时量/每周最低课时量6课时× 15分。</w:t>
            </w:r>
          </w:p>
        </w:tc>
      </w:tr>
      <w:tr w14:paraId="5B1E26D9">
        <w:tblPrEx>
          <w:tblCellMar>
            <w:top w:w="24" w:type="dxa"/>
            <w:left w:w="115" w:type="dxa"/>
            <w:bottom w:w="0" w:type="dxa"/>
            <w:right w:w="106" w:type="dxa"/>
          </w:tblCellMar>
        </w:tblPrEx>
        <w:trPr>
          <w:trHeight w:val="951" w:hRule="atLeast"/>
        </w:trPr>
        <w:tc>
          <w:tcPr>
            <w:tcW w:w="0" w:type="auto"/>
            <w:vMerge w:val="continue"/>
            <w:tcBorders>
              <w:top w:val="nil"/>
              <w:left w:val="single" w:color="000000" w:sz="2" w:space="0"/>
              <w:bottom w:val="nil"/>
              <w:right w:val="single" w:color="000000" w:sz="2" w:space="0"/>
            </w:tcBorders>
          </w:tcPr>
          <w:p w14:paraId="1C82339B">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nil"/>
              <w:right w:val="single" w:color="000000" w:sz="2" w:space="0"/>
            </w:tcBorders>
          </w:tcPr>
          <w:p w14:paraId="4A02783B">
            <w:pPr>
              <w:jc w:val="left"/>
              <w:rPr>
                <w:rFonts w:hint="eastAsia" w:ascii="仿宋_GB2312" w:eastAsia="仿宋_GB2312"/>
                <w:color w:val="000000" w:themeColor="text1"/>
                <w:szCs w:val="21"/>
                <w14:textFill>
                  <w14:solidFill>
                    <w14:schemeClr w14:val="tx1"/>
                  </w14:solidFill>
                </w14:textFill>
              </w:rPr>
            </w:pPr>
          </w:p>
        </w:tc>
        <w:tc>
          <w:tcPr>
            <w:tcW w:w="643" w:type="dxa"/>
            <w:tcBorders>
              <w:top w:val="single" w:color="000000" w:sz="2" w:space="0"/>
              <w:left w:val="single" w:color="000000" w:sz="2" w:space="0"/>
              <w:bottom w:val="single" w:color="000000" w:sz="2" w:space="0"/>
              <w:right w:val="single" w:color="000000" w:sz="2" w:space="0"/>
            </w:tcBorders>
          </w:tcPr>
          <w:p w14:paraId="1499FA97">
            <w:pPr>
              <w:ind w:right="5"/>
              <w:jc w:val="center"/>
              <w:rPr>
                <w:rFonts w:hint="eastAsia" w:ascii="仿宋_GB2312" w:hAnsi="微软雅黑" w:eastAsia="仿宋_GB2312" w:cs="微软雅黑"/>
                <w:color w:val="000000" w:themeColor="text1"/>
                <w:szCs w:val="21"/>
                <w14:textFill>
                  <w14:solidFill>
                    <w14:schemeClr w14:val="tx1"/>
                  </w14:solidFill>
                </w14:textFill>
              </w:rPr>
            </w:pPr>
          </w:p>
          <w:p w14:paraId="196AB3B0">
            <w:pPr>
              <w:ind w:right="5"/>
              <w:jc w:val="center"/>
              <w:rPr>
                <w:rFonts w:hint="eastAsia" w:ascii="仿宋_GB2312" w:hAnsi="微软雅黑" w:eastAsia="仿宋_GB2312" w:cs="微软雅黑"/>
                <w:color w:val="000000" w:themeColor="text1"/>
                <w:szCs w:val="21"/>
                <w14:textFill>
                  <w14:solidFill>
                    <w14:schemeClr w14:val="tx1"/>
                  </w14:solidFill>
                </w14:textFill>
              </w:rPr>
            </w:pPr>
          </w:p>
          <w:p w14:paraId="0D532314">
            <w:pPr>
              <w:ind w:right="5"/>
              <w:jc w:val="center"/>
              <w:rPr>
                <w:rFonts w:hint="eastAsia" w:ascii="仿宋_GB2312" w:hAnsi="微软雅黑" w:eastAsia="仿宋_GB2312" w:cs="微软雅黑"/>
                <w:color w:val="000000" w:themeColor="text1"/>
                <w:szCs w:val="21"/>
                <w14:textFill>
                  <w14:solidFill>
                    <w14:schemeClr w14:val="tx1"/>
                  </w14:solidFill>
                </w14:textFill>
              </w:rPr>
            </w:pPr>
          </w:p>
          <w:p w14:paraId="3AC2148A">
            <w:pPr>
              <w:ind w:right="5"/>
              <w:jc w:val="center"/>
              <w:rPr>
                <w:rFonts w:hint="eastAsia" w:ascii="仿宋_GB2312" w:hAnsi="微软雅黑" w:eastAsia="仿宋_GB2312" w:cs="微软雅黑"/>
                <w:color w:val="000000" w:themeColor="text1"/>
                <w:szCs w:val="21"/>
                <w14:textFill>
                  <w14:solidFill>
                    <w14:schemeClr w14:val="tx1"/>
                  </w14:solidFill>
                </w14:textFill>
              </w:rPr>
            </w:pPr>
          </w:p>
          <w:p w14:paraId="5BCB4EBE">
            <w:pPr>
              <w:ind w:right="5"/>
              <w:jc w:val="center"/>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工作量</w:t>
            </w:r>
          </w:p>
        </w:tc>
        <w:tc>
          <w:tcPr>
            <w:tcW w:w="710" w:type="dxa"/>
            <w:tcBorders>
              <w:top w:val="single" w:color="000000" w:sz="2" w:space="0"/>
              <w:left w:val="single" w:color="000000" w:sz="2" w:space="0"/>
              <w:bottom w:val="single" w:color="000000" w:sz="2" w:space="0"/>
              <w:right w:val="single" w:color="000000" w:sz="2" w:space="0"/>
            </w:tcBorders>
            <w:vAlign w:val="center"/>
          </w:tcPr>
          <w:p w14:paraId="2198AAAA">
            <w:pPr>
              <w:ind w:left="26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2630" w:type="dxa"/>
            <w:tcBorders>
              <w:top w:val="single" w:color="000000" w:sz="2" w:space="0"/>
              <w:left w:val="single" w:color="000000" w:sz="2" w:space="0"/>
              <w:bottom w:val="single" w:color="000000" w:sz="2" w:space="0"/>
              <w:right w:val="single" w:color="000000" w:sz="2" w:space="0"/>
            </w:tcBorders>
            <w:vAlign w:val="center"/>
          </w:tcPr>
          <w:p w14:paraId="78D7F4DA">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根据学校规定的标准工作量及兼职情况权衡计分。</w:t>
            </w:r>
          </w:p>
        </w:tc>
        <w:tc>
          <w:tcPr>
            <w:tcW w:w="710" w:type="dxa"/>
            <w:tcBorders>
              <w:top w:val="single" w:color="000000" w:sz="2" w:space="0"/>
              <w:left w:val="single" w:color="000000" w:sz="2" w:space="0"/>
              <w:bottom w:val="single" w:color="000000" w:sz="2" w:space="0"/>
              <w:right w:val="single" w:color="000000" w:sz="2" w:space="0"/>
            </w:tcBorders>
            <w:vAlign w:val="center"/>
          </w:tcPr>
          <w:p w14:paraId="0FD938C6">
            <w:pPr>
              <w:ind w:left="1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2995" w:type="dxa"/>
            <w:tcBorders>
              <w:top w:val="single" w:color="000000" w:sz="2" w:space="0"/>
              <w:left w:val="single" w:color="000000" w:sz="2" w:space="0"/>
              <w:bottom w:val="single" w:color="000000" w:sz="2" w:space="0"/>
              <w:right w:val="single" w:color="000000" w:sz="2" w:space="0"/>
            </w:tcBorders>
          </w:tcPr>
          <w:p w14:paraId="74A9BC9F">
            <w:pPr>
              <w:ind w:right="14" w:firstLine="5"/>
              <w:jc w:val="left"/>
              <w:rPr>
                <w:rFonts w:hint="eastAsia" w:ascii="仿宋_GB2312" w:hAnsi="微软雅黑" w:eastAsia="仿宋_GB2312" w:cs="微软雅黑"/>
                <w:color w:val="auto"/>
                <w:szCs w:val="21"/>
              </w:rPr>
            </w:pPr>
            <w:r>
              <w:rPr>
                <w:rFonts w:hint="eastAsia" w:ascii="仿宋_GB2312" w:hAnsi="微软雅黑" w:eastAsia="仿宋_GB2312" w:cs="微软雅黑"/>
                <w:color w:val="auto"/>
                <w:szCs w:val="21"/>
              </w:rPr>
              <w:t>工作量分值：学校认定的教师个人实际工作量/12标准工作量× 10。</w:t>
            </w:r>
          </w:p>
          <w:p w14:paraId="1B63B4DC">
            <w:pPr>
              <w:ind w:right="14" w:firstLine="5"/>
              <w:jc w:val="left"/>
              <w:rPr>
                <w:rFonts w:hint="eastAsia" w:ascii="仿宋_GB2312" w:eastAsia="仿宋_GB2312"/>
                <w:color w:val="auto"/>
                <w:szCs w:val="21"/>
              </w:rPr>
            </w:pPr>
            <w:r>
              <w:rPr>
                <w:rFonts w:hint="eastAsia" w:ascii="仿宋_GB2312" w:eastAsia="仿宋_GB2312"/>
                <w:color w:val="auto"/>
                <w:szCs w:val="21"/>
              </w:rPr>
              <w:t>班主任：</w:t>
            </w:r>
            <w:r>
              <w:rPr>
                <w:rFonts w:ascii="仿宋_GB2312" w:eastAsia="仿宋_GB2312"/>
                <w:color w:val="auto"/>
                <w:szCs w:val="21"/>
              </w:rPr>
              <w:t>6</w:t>
            </w:r>
            <w:r>
              <w:rPr>
                <w:rFonts w:hint="eastAsia" w:ascii="仿宋_GB2312" w:eastAsia="仿宋_GB2312"/>
                <w:color w:val="auto"/>
                <w:szCs w:val="21"/>
              </w:rPr>
              <w:t>；</w:t>
            </w:r>
            <w:r>
              <w:rPr>
                <w:rFonts w:ascii="仿宋_GB2312" w:eastAsia="仿宋_GB2312"/>
                <w:color w:val="auto"/>
                <w:szCs w:val="21"/>
              </w:rPr>
              <w:t>副班主任：2</w:t>
            </w:r>
            <w:r>
              <w:rPr>
                <w:rFonts w:hint="eastAsia" w:ascii="仿宋_GB2312" w:eastAsia="仿宋_GB2312"/>
                <w:color w:val="auto"/>
                <w:szCs w:val="21"/>
              </w:rPr>
              <w:t>；</w:t>
            </w:r>
            <w:r>
              <w:rPr>
                <w:rFonts w:ascii="仿宋_GB2312" w:eastAsia="仿宋_GB2312"/>
                <w:color w:val="auto"/>
                <w:szCs w:val="21"/>
              </w:rPr>
              <w:t>中层：6</w:t>
            </w:r>
            <w:r>
              <w:rPr>
                <w:rFonts w:hint="eastAsia" w:ascii="仿宋_GB2312" w:eastAsia="仿宋_GB2312"/>
                <w:color w:val="auto"/>
                <w:szCs w:val="21"/>
              </w:rPr>
              <w:t>；</w:t>
            </w:r>
            <w:r>
              <w:rPr>
                <w:rFonts w:ascii="仿宋_GB2312" w:eastAsia="仿宋_GB2312"/>
                <w:color w:val="auto"/>
                <w:szCs w:val="21"/>
              </w:rPr>
              <w:t>校级：8</w:t>
            </w:r>
            <w:r>
              <w:rPr>
                <w:rFonts w:hint="eastAsia" w:ascii="仿宋_GB2312" w:eastAsia="仿宋_GB2312"/>
                <w:color w:val="auto"/>
                <w:szCs w:val="21"/>
              </w:rPr>
              <w:t>；</w:t>
            </w:r>
            <w:r>
              <w:rPr>
                <w:rFonts w:ascii="仿宋_GB2312" w:eastAsia="仿宋_GB2312"/>
                <w:color w:val="auto"/>
                <w:szCs w:val="21"/>
              </w:rPr>
              <w:t>职员：2</w:t>
            </w:r>
            <w:r>
              <w:rPr>
                <w:rFonts w:hint="eastAsia" w:ascii="仿宋_GB2312" w:eastAsia="仿宋_GB2312"/>
                <w:color w:val="auto"/>
                <w:szCs w:val="21"/>
              </w:rPr>
              <w:t>；</w:t>
            </w:r>
            <w:r>
              <w:rPr>
                <w:rFonts w:ascii="仿宋_GB2312" w:eastAsia="仿宋_GB2312"/>
                <w:color w:val="auto"/>
                <w:szCs w:val="21"/>
              </w:rPr>
              <w:t>年级组长：</w:t>
            </w:r>
            <w:r>
              <w:rPr>
                <w:rFonts w:hint="eastAsia" w:ascii="仿宋_GB2312" w:eastAsia="仿宋_GB2312"/>
                <w:color w:val="auto"/>
                <w:szCs w:val="21"/>
                <w:highlight w:val="none"/>
                <w:lang w:val="en-US" w:eastAsia="zh-CN"/>
              </w:rPr>
              <w:t>2</w:t>
            </w:r>
            <w:r>
              <w:rPr>
                <w:rFonts w:hint="eastAsia" w:ascii="仿宋_GB2312" w:eastAsia="仿宋_GB2312"/>
                <w:color w:val="auto"/>
                <w:szCs w:val="21"/>
              </w:rPr>
              <w:t>；</w:t>
            </w:r>
            <w:r>
              <w:rPr>
                <w:rFonts w:ascii="仿宋_GB2312" w:eastAsia="仿宋_GB2312"/>
                <w:color w:val="auto"/>
                <w:szCs w:val="21"/>
              </w:rPr>
              <w:t>备课组长及党小组长：0.5</w:t>
            </w:r>
            <w:r>
              <w:rPr>
                <w:rFonts w:hint="eastAsia" w:ascii="仿宋_GB2312" w:eastAsia="仿宋_GB2312"/>
                <w:color w:val="auto"/>
                <w:szCs w:val="21"/>
              </w:rPr>
              <w:t>；</w:t>
            </w:r>
            <w:r>
              <w:rPr>
                <w:rFonts w:ascii="仿宋_GB2312" w:eastAsia="仿宋_GB2312"/>
                <w:color w:val="auto"/>
                <w:szCs w:val="21"/>
              </w:rPr>
              <w:t>早中晚值班：</w:t>
            </w:r>
            <w:r>
              <w:rPr>
                <w:rFonts w:hint="eastAsia" w:ascii="仿宋_GB2312" w:eastAsia="仿宋_GB2312"/>
                <w:color w:val="auto"/>
                <w:szCs w:val="21"/>
                <w:lang w:val="en-US" w:eastAsia="zh-CN"/>
              </w:rPr>
              <w:t>1</w:t>
            </w:r>
            <w:r>
              <w:rPr>
                <w:rFonts w:hint="eastAsia" w:ascii="仿宋_GB2312" w:eastAsia="仿宋_GB2312"/>
                <w:color w:val="auto"/>
                <w:szCs w:val="21"/>
              </w:rPr>
              <w:t>；</w:t>
            </w:r>
            <w:r>
              <w:rPr>
                <w:rFonts w:hint="eastAsia" w:ascii="仿宋_GB2312" w:eastAsia="仿宋_GB2312"/>
                <w:color w:val="auto"/>
                <w:szCs w:val="21"/>
                <w:lang w:val="en-US" w:eastAsia="zh-CN"/>
              </w:rPr>
              <w:t>志愿护学岗：0.5；</w:t>
            </w:r>
            <w:r>
              <w:rPr>
                <w:rFonts w:ascii="仿宋_GB2312" w:eastAsia="仿宋_GB2312"/>
                <w:color w:val="auto"/>
                <w:szCs w:val="21"/>
              </w:rPr>
              <w:t>早午候课：</w:t>
            </w:r>
            <w:r>
              <w:rPr>
                <w:rFonts w:hint="eastAsia" w:ascii="仿宋_GB2312" w:eastAsia="仿宋_GB2312"/>
                <w:color w:val="auto"/>
                <w:szCs w:val="21"/>
                <w:lang w:val="en-US" w:eastAsia="zh-CN"/>
              </w:rPr>
              <w:t>1</w:t>
            </w:r>
            <w:r>
              <w:rPr>
                <w:rFonts w:hint="eastAsia" w:ascii="仿宋_GB2312" w:eastAsia="仿宋_GB2312"/>
                <w:color w:val="auto"/>
                <w:szCs w:val="21"/>
              </w:rPr>
              <w:t>；</w:t>
            </w:r>
            <w:r>
              <w:rPr>
                <w:rFonts w:ascii="仿宋_GB2312" w:eastAsia="仿宋_GB2312"/>
                <w:color w:val="auto"/>
                <w:szCs w:val="21"/>
              </w:rPr>
              <w:t>体育教师</w:t>
            </w:r>
            <w:r>
              <w:rPr>
                <w:rFonts w:hint="eastAsia" w:ascii="仿宋_GB2312" w:eastAsia="仿宋_GB2312"/>
                <w:color w:val="auto"/>
                <w:szCs w:val="21"/>
                <w:lang w:val="en-US" w:eastAsia="zh-CN"/>
              </w:rPr>
              <w:t>组织</w:t>
            </w:r>
            <w:r>
              <w:rPr>
                <w:rFonts w:ascii="仿宋_GB2312" w:eastAsia="仿宋_GB2312"/>
                <w:color w:val="auto"/>
                <w:szCs w:val="21"/>
              </w:rPr>
              <w:t>课间操：0.2</w:t>
            </w:r>
            <w:r>
              <w:rPr>
                <w:rFonts w:hint="eastAsia" w:ascii="仿宋_GB2312" w:eastAsia="仿宋_GB2312"/>
                <w:color w:val="auto"/>
                <w:szCs w:val="21"/>
              </w:rPr>
              <w:t>；</w:t>
            </w:r>
            <w:r>
              <w:rPr>
                <w:rFonts w:ascii="仿宋_GB2312" w:eastAsia="仿宋_GB2312"/>
                <w:color w:val="auto"/>
                <w:szCs w:val="21"/>
              </w:rPr>
              <w:t>自习：1</w:t>
            </w:r>
            <w:r>
              <w:rPr>
                <w:rFonts w:hint="eastAsia" w:ascii="仿宋_GB2312" w:eastAsia="仿宋_GB2312"/>
                <w:color w:val="auto"/>
                <w:szCs w:val="21"/>
                <w:lang w:eastAsia="zh-CN"/>
              </w:rPr>
              <w:t>；教师</w:t>
            </w:r>
            <w:r>
              <w:rPr>
                <w:rFonts w:hint="eastAsia" w:ascii="仿宋_GB2312" w:eastAsia="仿宋_GB2312"/>
                <w:color w:val="auto"/>
                <w:szCs w:val="21"/>
                <w:lang w:val="en-US" w:eastAsia="zh-CN"/>
              </w:rPr>
              <w:t>参与活动、编写案例等</w:t>
            </w:r>
            <w:r>
              <w:rPr>
                <w:rFonts w:hint="eastAsia" w:ascii="仿宋_GB2312" w:eastAsia="仿宋_GB2312"/>
                <w:color w:val="auto"/>
                <w:szCs w:val="21"/>
                <w:lang w:eastAsia="zh-CN"/>
              </w:rPr>
              <w:t>（区级及以上）0.1/次，0.5封顶；辅导学生（区级及以上）个人0.02/次，集体（10人以上）0.05/次；</w:t>
            </w:r>
            <w:r>
              <w:rPr>
                <w:rFonts w:hint="eastAsia" w:ascii="仿宋_GB2312" w:eastAsia="仿宋_GB2312"/>
                <w:color w:val="auto"/>
                <w:szCs w:val="21"/>
                <w:lang w:val="en-US" w:eastAsia="zh-CN"/>
              </w:rPr>
              <w:t>参与教研2，不参与者每次扣0.1。</w:t>
            </w:r>
          </w:p>
        </w:tc>
      </w:tr>
      <w:tr w14:paraId="16FB7A4C">
        <w:tblPrEx>
          <w:tblCellMar>
            <w:top w:w="24" w:type="dxa"/>
            <w:left w:w="115" w:type="dxa"/>
            <w:bottom w:w="0" w:type="dxa"/>
            <w:right w:w="106" w:type="dxa"/>
          </w:tblCellMar>
        </w:tblPrEx>
        <w:trPr>
          <w:trHeight w:val="952" w:hRule="atLeast"/>
        </w:trPr>
        <w:tc>
          <w:tcPr>
            <w:tcW w:w="0" w:type="auto"/>
            <w:vMerge w:val="continue"/>
            <w:tcBorders>
              <w:top w:val="nil"/>
              <w:left w:val="single" w:color="000000" w:sz="2" w:space="0"/>
              <w:bottom w:val="nil"/>
              <w:right w:val="single" w:color="000000" w:sz="2" w:space="0"/>
            </w:tcBorders>
          </w:tcPr>
          <w:p w14:paraId="2EC54540">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nil"/>
              <w:right w:val="single" w:color="000000" w:sz="2" w:space="0"/>
            </w:tcBorders>
          </w:tcPr>
          <w:p w14:paraId="60FE69BC">
            <w:pPr>
              <w:jc w:val="left"/>
              <w:rPr>
                <w:rFonts w:hint="eastAsia" w:ascii="仿宋_GB2312" w:eastAsia="仿宋_GB2312"/>
                <w:color w:val="000000" w:themeColor="text1"/>
                <w:szCs w:val="21"/>
                <w14:textFill>
                  <w14:solidFill>
                    <w14:schemeClr w14:val="tx1"/>
                  </w14:solidFill>
                </w14:textFill>
              </w:rPr>
            </w:pPr>
          </w:p>
        </w:tc>
        <w:tc>
          <w:tcPr>
            <w:tcW w:w="643" w:type="dxa"/>
            <w:tcBorders>
              <w:top w:val="single" w:color="000000" w:sz="2" w:space="0"/>
              <w:left w:val="single" w:color="000000" w:sz="2" w:space="0"/>
              <w:bottom w:val="single" w:color="000000" w:sz="2" w:space="0"/>
              <w:right w:val="single" w:color="000000" w:sz="2" w:space="0"/>
            </w:tcBorders>
            <w:vAlign w:val="center"/>
          </w:tcPr>
          <w:p w14:paraId="1B2B4810">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考勤</w:t>
            </w:r>
          </w:p>
        </w:tc>
        <w:tc>
          <w:tcPr>
            <w:tcW w:w="710" w:type="dxa"/>
            <w:tcBorders>
              <w:top w:val="single" w:color="000000" w:sz="2" w:space="0"/>
              <w:left w:val="single" w:color="000000" w:sz="2" w:space="0"/>
              <w:bottom w:val="single" w:color="000000" w:sz="2" w:space="0"/>
              <w:right w:val="single" w:color="000000" w:sz="2" w:space="0"/>
            </w:tcBorders>
            <w:vAlign w:val="center"/>
          </w:tcPr>
          <w:p w14:paraId="66783D77">
            <w:pPr>
              <w:ind w:left="62" w:firstLine="210" w:firstLineChars="10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5</w:t>
            </w:r>
          </w:p>
        </w:tc>
        <w:tc>
          <w:tcPr>
            <w:tcW w:w="2630" w:type="dxa"/>
            <w:tcBorders>
              <w:top w:val="single" w:color="000000" w:sz="2" w:space="0"/>
              <w:left w:val="single" w:color="000000" w:sz="2" w:space="0"/>
              <w:bottom w:val="single" w:color="000000" w:sz="2" w:space="0"/>
              <w:right w:val="single" w:color="000000" w:sz="2" w:space="0"/>
            </w:tcBorders>
          </w:tcPr>
          <w:p w14:paraId="2DDAEC27">
            <w:pPr>
              <w:ind w:right="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遵守学校考勤制度，严格请销假制度，无迟到、早退、旷课、旷工等现象。</w:t>
            </w:r>
          </w:p>
        </w:tc>
        <w:tc>
          <w:tcPr>
            <w:tcW w:w="710" w:type="dxa"/>
            <w:tcBorders>
              <w:top w:val="single" w:color="000000" w:sz="2" w:space="0"/>
              <w:left w:val="single" w:color="000000" w:sz="2" w:space="0"/>
              <w:bottom w:val="single" w:color="000000" w:sz="2" w:space="0"/>
              <w:right w:val="single" w:color="000000" w:sz="2" w:space="0"/>
            </w:tcBorders>
            <w:vAlign w:val="center"/>
          </w:tcPr>
          <w:p w14:paraId="42A2598D">
            <w:pPr>
              <w:ind w:left="6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5</w:t>
            </w:r>
          </w:p>
        </w:tc>
        <w:tc>
          <w:tcPr>
            <w:tcW w:w="2995" w:type="dxa"/>
            <w:tcBorders>
              <w:top w:val="single" w:color="000000" w:sz="2" w:space="0"/>
              <w:left w:val="single" w:color="000000" w:sz="2" w:space="0"/>
              <w:bottom w:val="single" w:color="000000" w:sz="2" w:space="0"/>
              <w:right w:val="single" w:color="000000" w:sz="2" w:space="0"/>
            </w:tcBorders>
            <w:vAlign w:val="center"/>
          </w:tcPr>
          <w:p w14:paraId="695257B4">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参照附件1学校考勤制度确定。</w:t>
            </w:r>
          </w:p>
        </w:tc>
      </w:tr>
      <w:tr w14:paraId="527AD6F5">
        <w:tblPrEx>
          <w:tblCellMar>
            <w:top w:w="24" w:type="dxa"/>
            <w:left w:w="115" w:type="dxa"/>
            <w:bottom w:w="0" w:type="dxa"/>
            <w:right w:w="106" w:type="dxa"/>
          </w:tblCellMar>
        </w:tblPrEx>
        <w:trPr>
          <w:trHeight w:val="2188" w:hRule="atLeast"/>
        </w:trPr>
        <w:tc>
          <w:tcPr>
            <w:tcW w:w="0" w:type="auto"/>
            <w:vMerge w:val="continue"/>
            <w:tcBorders>
              <w:top w:val="nil"/>
              <w:left w:val="single" w:color="000000" w:sz="2" w:space="0"/>
              <w:bottom w:val="nil"/>
              <w:right w:val="single" w:color="000000" w:sz="2" w:space="0"/>
            </w:tcBorders>
          </w:tcPr>
          <w:p w14:paraId="488F6A49">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40ED4098">
            <w:pPr>
              <w:jc w:val="left"/>
              <w:rPr>
                <w:rFonts w:hint="eastAsia" w:ascii="仿宋_GB2312" w:eastAsia="仿宋_GB2312"/>
                <w:color w:val="000000" w:themeColor="text1"/>
                <w:szCs w:val="21"/>
                <w14:textFill>
                  <w14:solidFill>
                    <w14:schemeClr w14:val="tx1"/>
                  </w14:solidFill>
                </w14:textFill>
              </w:rPr>
            </w:pPr>
          </w:p>
        </w:tc>
        <w:tc>
          <w:tcPr>
            <w:tcW w:w="643" w:type="dxa"/>
            <w:tcBorders>
              <w:top w:val="single" w:color="000000" w:sz="2" w:space="0"/>
              <w:left w:val="single" w:color="000000" w:sz="2" w:space="0"/>
              <w:bottom w:val="single" w:color="000000" w:sz="2" w:space="0"/>
              <w:right w:val="single" w:color="000000" w:sz="2" w:space="0"/>
            </w:tcBorders>
          </w:tcPr>
          <w:p w14:paraId="68D3EB65">
            <w:pPr>
              <w:ind w:left="5"/>
              <w:jc w:val="center"/>
              <w:rPr>
                <w:rFonts w:hint="eastAsia" w:ascii="仿宋_GB2312" w:hAnsi="微软雅黑" w:eastAsia="仿宋_GB2312" w:cs="微软雅黑"/>
                <w:color w:val="000000" w:themeColor="text1"/>
                <w:szCs w:val="21"/>
                <w14:textFill>
                  <w14:solidFill>
                    <w14:schemeClr w14:val="tx1"/>
                  </w14:solidFill>
                </w14:textFill>
              </w:rPr>
            </w:pPr>
          </w:p>
          <w:p w14:paraId="24FA7C47">
            <w:pPr>
              <w:ind w:left="5"/>
              <w:jc w:val="center"/>
              <w:rPr>
                <w:rFonts w:hint="eastAsia" w:ascii="仿宋_GB2312" w:hAnsi="微软雅黑" w:eastAsia="仿宋_GB2312" w:cs="微软雅黑"/>
                <w:color w:val="000000" w:themeColor="text1"/>
                <w:szCs w:val="21"/>
                <w14:textFill>
                  <w14:solidFill>
                    <w14:schemeClr w14:val="tx1"/>
                  </w14:solidFill>
                </w14:textFill>
              </w:rPr>
            </w:pPr>
          </w:p>
          <w:p w14:paraId="387E6990">
            <w:pPr>
              <w:ind w:left="5"/>
              <w:jc w:val="center"/>
              <w:rPr>
                <w:rFonts w:hint="eastAsia" w:ascii="仿宋_GB2312" w:hAnsi="微软雅黑" w:eastAsia="仿宋_GB2312" w:cs="微软雅黑"/>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课堂</w:t>
            </w:r>
          </w:p>
          <w:p w14:paraId="64A494DF">
            <w:pPr>
              <w:ind w:left="5"/>
              <w:jc w:val="center"/>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教学</w:t>
            </w:r>
          </w:p>
        </w:tc>
        <w:tc>
          <w:tcPr>
            <w:tcW w:w="710" w:type="dxa"/>
            <w:tcBorders>
              <w:top w:val="single" w:color="000000" w:sz="2" w:space="0"/>
              <w:left w:val="single" w:color="000000" w:sz="2" w:space="0"/>
              <w:bottom w:val="single" w:color="000000" w:sz="2" w:space="0"/>
              <w:right w:val="single" w:color="000000" w:sz="2" w:space="0"/>
            </w:tcBorders>
            <w:vAlign w:val="center"/>
          </w:tcPr>
          <w:p w14:paraId="18F02DDE">
            <w:pPr>
              <w:ind w:left="62" w:firstLine="210" w:firstLineChars="10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6</w:t>
            </w:r>
          </w:p>
        </w:tc>
        <w:tc>
          <w:tcPr>
            <w:tcW w:w="2630" w:type="dxa"/>
            <w:tcBorders>
              <w:top w:val="single" w:color="000000" w:sz="2" w:space="0"/>
              <w:left w:val="single" w:color="000000" w:sz="2" w:space="0"/>
              <w:bottom w:val="single" w:color="000000" w:sz="2" w:space="0"/>
              <w:right w:val="single" w:color="000000" w:sz="2" w:space="0"/>
            </w:tcBorders>
          </w:tcPr>
          <w:p w14:paraId="511C64FB">
            <w:pPr>
              <w:ind w:right="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根据“双减"、五项管理及教师个人备课、集体备课、上课、作业布置与批改、听评课、辅导学生、思想政治教育工作、教学行为规范等教学常规落实情况量化计分。</w:t>
            </w:r>
          </w:p>
        </w:tc>
        <w:tc>
          <w:tcPr>
            <w:tcW w:w="710" w:type="dxa"/>
            <w:tcBorders>
              <w:top w:val="single" w:color="000000" w:sz="2" w:space="0"/>
              <w:left w:val="single" w:color="000000" w:sz="2" w:space="0"/>
              <w:bottom w:val="single" w:color="000000" w:sz="2" w:space="0"/>
              <w:right w:val="single" w:color="000000" w:sz="2" w:space="0"/>
            </w:tcBorders>
            <w:vAlign w:val="center"/>
          </w:tcPr>
          <w:p w14:paraId="495AC806">
            <w:pPr>
              <w:ind w:left="6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6</w:t>
            </w:r>
          </w:p>
        </w:tc>
        <w:tc>
          <w:tcPr>
            <w:tcW w:w="2995" w:type="dxa"/>
            <w:tcBorders>
              <w:top w:val="single" w:color="000000" w:sz="2" w:space="0"/>
              <w:left w:val="single" w:color="000000" w:sz="2" w:space="0"/>
              <w:bottom w:val="single" w:color="000000" w:sz="2" w:space="0"/>
              <w:right w:val="single" w:color="000000" w:sz="2" w:space="0"/>
            </w:tcBorders>
            <w:vAlign w:val="center"/>
          </w:tcPr>
          <w:p w14:paraId="3AB87C06">
            <w:pPr>
              <w:ind w:left="10" w:firstLine="1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参照附件2课堂教学确定</w:t>
            </w:r>
          </w:p>
        </w:tc>
      </w:tr>
      <w:tr w14:paraId="646308CA">
        <w:tblPrEx>
          <w:tblCellMar>
            <w:top w:w="24" w:type="dxa"/>
            <w:left w:w="115" w:type="dxa"/>
            <w:bottom w:w="0" w:type="dxa"/>
            <w:right w:w="106" w:type="dxa"/>
          </w:tblCellMar>
        </w:tblPrEx>
        <w:trPr>
          <w:trHeight w:val="1844" w:hRule="atLeast"/>
        </w:trPr>
        <w:tc>
          <w:tcPr>
            <w:tcW w:w="0" w:type="auto"/>
            <w:vMerge w:val="continue"/>
            <w:tcBorders>
              <w:top w:val="nil"/>
              <w:left w:val="single" w:color="000000" w:sz="2" w:space="0"/>
              <w:bottom w:val="single" w:color="000000" w:sz="2" w:space="0"/>
              <w:right w:val="single" w:color="000000" w:sz="2" w:space="0"/>
            </w:tcBorders>
          </w:tcPr>
          <w:p w14:paraId="4D955A9B">
            <w:pPr>
              <w:jc w:val="left"/>
              <w:rPr>
                <w:rFonts w:hint="eastAsia" w:ascii="仿宋_GB2312" w:eastAsia="仿宋_GB2312"/>
                <w:color w:val="000000" w:themeColor="text1"/>
                <w:szCs w:val="21"/>
                <w14:textFill>
                  <w14:solidFill>
                    <w14:schemeClr w14:val="tx1"/>
                  </w14:solidFill>
                </w14:textFill>
              </w:rPr>
            </w:pPr>
          </w:p>
        </w:tc>
        <w:tc>
          <w:tcPr>
            <w:tcW w:w="632" w:type="dxa"/>
            <w:tcBorders>
              <w:top w:val="single" w:color="000000" w:sz="2" w:space="0"/>
              <w:left w:val="single" w:color="000000" w:sz="2" w:space="0"/>
              <w:bottom w:val="single" w:color="000000" w:sz="2" w:space="0"/>
              <w:right w:val="single" w:color="000000" w:sz="2" w:space="0"/>
            </w:tcBorders>
            <w:vAlign w:val="center"/>
          </w:tcPr>
          <w:p w14:paraId="75C1D1D5">
            <w:pPr>
              <w:ind w:left="4" w:right="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发展性指标</w:t>
            </w:r>
          </w:p>
        </w:tc>
        <w:tc>
          <w:tcPr>
            <w:tcW w:w="643" w:type="dxa"/>
            <w:tcBorders>
              <w:top w:val="single" w:color="000000" w:sz="2" w:space="0"/>
              <w:left w:val="single" w:color="000000" w:sz="2" w:space="0"/>
              <w:bottom w:val="single" w:color="000000" w:sz="2" w:space="0"/>
              <w:right w:val="single" w:color="000000" w:sz="2" w:space="0"/>
            </w:tcBorders>
            <w:vAlign w:val="center"/>
          </w:tcPr>
          <w:p w14:paraId="279BDD4E">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公开课、讲座</w:t>
            </w:r>
          </w:p>
        </w:tc>
        <w:tc>
          <w:tcPr>
            <w:tcW w:w="710" w:type="dxa"/>
            <w:tcBorders>
              <w:top w:val="single" w:color="000000" w:sz="2" w:space="0"/>
              <w:left w:val="single" w:color="000000" w:sz="2" w:space="0"/>
              <w:bottom w:val="single" w:color="000000" w:sz="2" w:space="0"/>
              <w:right w:val="single" w:color="000000" w:sz="2" w:space="0"/>
            </w:tcBorders>
            <w:vAlign w:val="center"/>
          </w:tcPr>
          <w:p w14:paraId="2185B5CE">
            <w:pPr>
              <w:ind w:left="221"/>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2</w:t>
            </w:r>
          </w:p>
        </w:tc>
        <w:tc>
          <w:tcPr>
            <w:tcW w:w="2630" w:type="dxa"/>
            <w:tcBorders>
              <w:top w:val="single" w:color="000000" w:sz="2" w:space="0"/>
              <w:left w:val="single" w:color="000000" w:sz="2" w:space="0"/>
              <w:bottom w:val="single" w:color="000000" w:sz="2" w:space="0"/>
              <w:right w:val="single" w:color="000000" w:sz="2" w:space="0"/>
            </w:tcBorders>
            <w:vAlign w:val="center"/>
          </w:tcPr>
          <w:p w14:paraId="219C69B8">
            <w:pPr>
              <w:ind w:left="10" w:hanging="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根据教帅讲授公开课、组织讲座等清况计分。</w:t>
            </w:r>
          </w:p>
        </w:tc>
        <w:tc>
          <w:tcPr>
            <w:tcW w:w="710" w:type="dxa"/>
            <w:tcBorders>
              <w:top w:val="single" w:color="000000" w:sz="2" w:space="0"/>
              <w:left w:val="single" w:color="000000" w:sz="2" w:space="0"/>
              <w:bottom w:val="single" w:color="000000" w:sz="2" w:space="0"/>
              <w:right w:val="single" w:color="000000" w:sz="2" w:space="0"/>
            </w:tcBorders>
            <w:vAlign w:val="center"/>
          </w:tcPr>
          <w:p w14:paraId="08906F12">
            <w:pPr>
              <w:ind w:left="6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2</w:t>
            </w:r>
          </w:p>
        </w:tc>
        <w:tc>
          <w:tcPr>
            <w:tcW w:w="2995" w:type="dxa"/>
            <w:tcBorders>
              <w:top w:val="single" w:color="000000" w:sz="2" w:space="0"/>
              <w:left w:val="single" w:color="000000" w:sz="2" w:space="0"/>
              <w:bottom w:val="single" w:color="000000" w:sz="2" w:space="0"/>
              <w:right w:val="single" w:color="000000" w:sz="2" w:space="0"/>
            </w:tcBorders>
          </w:tcPr>
          <w:p w14:paraId="2801B3FF">
            <w:pPr>
              <w:ind w:left="5"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每学期讲授校级及以上公开课公开课0.7，经验交流0.3。超过规定次数的根据公开课、讲座质量分档计分加分，区级0</w:t>
            </w:r>
            <w:r>
              <w:rPr>
                <w:rFonts w:ascii="仿宋_GB2312" w:hAnsi="微软雅黑" w:eastAsia="仿宋_GB2312" w:cs="微软雅黑"/>
                <w:color w:val="000000" w:themeColor="text1"/>
                <w:szCs w:val="21"/>
                <w14:textFill>
                  <w14:solidFill>
                    <w14:schemeClr w14:val="tx1"/>
                  </w14:solidFill>
                </w14:textFill>
              </w:rPr>
              <w:t>.5</w:t>
            </w:r>
            <w:r>
              <w:rPr>
                <w:rFonts w:hint="eastAsia" w:ascii="仿宋_GB2312" w:hAnsi="微软雅黑" w:eastAsia="仿宋_GB2312" w:cs="微软雅黑"/>
                <w:color w:val="000000" w:themeColor="text1"/>
                <w:szCs w:val="21"/>
                <w14:textFill>
                  <w14:solidFill>
                    <w14:schemeClr w14:val="tx1"/>
                  </w14:solidFill>
                </w14:textFill>
              </w:rPr>
              <w:t>；市级</w:t>
            </w:r>
            <w:r>
              <w:rPr>
                <w:rFonts w:ascii="仿宋_GB2312" w:hAnsi="微软雅黑" w:eastAsia="仿宋_GB2312" w:cs="微软雅黑"/>
                <w:color w:val="000000" w:themeColor="text1"/>
                <w:szCs w:val="21"/>
                <w14:textFill>
                  <w14:solidFill>
                    <w14:schemeClr w14:val="tx1"/>
                  </w14:solidFill>
                </w14:textFill>
              </w:rPr>
              <w:t>1</w:t>
            </w:r>
            <w:r>
              <w:rPr>
                <w:rFonts w:hint="eastAsia" w:ascii="仿宋_GB2312" w:hAnsi="微软雅黑" w:eastAsia="仿宋_GB2312" w:cs="微软雅黑"/>
                <w:color w:val="000000" w:themeColor="text1"/>
                <w:szCs w:val="21"/>
                <w14:textFill>
                  <w14:solidFill>
                    <w14:schemeClr w14:val="tx1"/>
                  </w14:solidFill>
                </w14:textFill>
              </w:rPr>
              <w:t>分；2分封顶。省级及以上另行加分。</w:t>
            </w:r>
          </w:p>
        </w:tc>
      </w:tr>
    </w:tbl>
    <w:p w14:paraId="46550E57">
      <w:pPr>
        <w:ind w:left="-1646" w:right="10435"/>
        <w:jc w:val="left"/>
        <w:rPr>
          <w:rFonts w:hint="eastAsia" w:ascii="仿宋_GB2312" w:eastAsia="仿宋_GB2312"/>
          <w:color w:val="000000" w:themeColor="text1"/>
          <w:szCs w:val="21"/>
          <w14:textFill>
            <w14:solidFill>
              <w14:schemeClr w14:val="tx1"/>
            </w14:solidFill>
          </w14:textFill>
        </w:rPr>
      </w:pPr>
    </w:p>
    <w:tbl>
      <w:tblPr>
        <w:tblStyle w:val="7"/>
        <w:tblW w:w="8965" w:type="dxa"/>
        <w:tblInd w:w="-37" w:type="dxa"/>
        <w:tblLayout w:type="autofit"/>
        <w:tblCellMar>
          <w:top w:w="55" w:type="dxa"/>
          <w:left w:w="109" w:type="dxa"/>
          <w:bottom w:w="0" w:type="dxa"/>
          <w:right w:w="115" w:type="dxa"/>
        </w:tblCellMar>
      </w:tblPr>
      <w:tblGrid>
        <w:gridCol w:w="570"/>
        <w:gridCol w:w="640"/>
        <w:gridCol w:w="634"/>
        <w:gridCol w:w="720"/>
        <w:gridCol w:w="2624"/>
        <w:gridCol w:w="716"/>
        <w:gridCol w:w="3061"/>
      </w:tblGrid>
      <w:tr w14:paraId="48F52348">
        <w:tblPrEx>
          <w:tblCellMar>
            <w:top w:w="55" w:type="dxa"/>
            <w:left w:w="109" w:type="dxa"/>
            <w:bottom w:w="0" w:type="dxa"/>
            <w:right w:w="115" w:type="dxa"/>
          </w:tblCellMar>
        </w:tblPrEx>
        <w:trPr>
          <w:trHeight w:val="1588" w:hRule="atLeast"/>
        </w:trPr>
        <w:tc>
          <w:tcPr>
            <w:tcW w:w="570" w:type="dxa"/>
            <w:vMerge w:val="restart"/>
            <w:tcBorders>
              <w:top w:val="single" w:color="000000" w:sz="2" w:space="0"/>
              <w:left w:val="single" w:color="000000" w:sz="2" w:space="0"/>
              <w:bottom w:val="single" w:color="000000" w:sz="2" w:space="0"/>
              <w:right w:val="single" w:color="000000" w:sz="2" w:space="0"/>
            </w:tcBorders>
          </w:tcPr>
          <w:p w14:paraId="4813FB18">
            <w:pPr>
              <w:jc w:val="left"/>
              <w:rPr>
                <w:rFonts w:hint="eastAsia" w:ascii="仿宋_GB2312" w:eastAsia="仿宋_GB2312"/>
                <w:color w:val="000000" w:themeColor="text1"/>
                <w:szCs w:val="21"/>
                <w14:textFill>
                  <w14:solidFill>
                    <w14:schemeClr w14:val="tx1"/>
                  </w14:solidFill>
                </w14:textFill>
              </w:rPr>
            </w:pPr>
          </w:p>
        </w:tc>
        <w:tc>
          <w:tcPr>
            <w:tcW w:w="640" w:type="dxa"/>
            <w:vMerge w:val="restart"/>
            <w:tcBorders>
              <w:top w:val="single" w:color="000000" w:sz="2" w:space="0"/>
              <w:left w:val="single" w:color="000000" w:sz="2" w:space="0"/>
              <w:bottom w:val="single" w:color="000000" w:sz="2" w:space="0"/>
              <w:right w:val="single" w:color="000000" w:sz="2" w:space="0"/>
            </w:tcBorders>
          </w:tcPr>
          <w:p w14:paraId="4194993E">
            <w:pPr>
              <w:jc w:val="left"/>
              <w:rPr>
                <w:rFonts w:hint="eastAsia" w:ascii="仿宋_GB2312" w:eastAsia="仿宋_GB2312"/>
                <w:color w:val="000000" w:themeColor="text1"/>
                <w:szCs w:val="21"/>
                <w14:textFill>
                  <w14:solidFill>
                    <w14:schemeClr w14:val="tx1"/>
                  </w14:solidFill>
                </w14:textFill>
              </w:rPr>
            </w:pPr>
          </w:p>
        </w:tc>
        <w:tc>
          <w:tcPr>
            <w:tcW w:w="634" w:type="dxa"/>
            <w:tcBorders>
              <w:top w:val="single" w:color="000000" w:sz="2" w:space="0"/>
              <w:left w:val="single" w:color="000000" w:sz="2" w:space="0"/>
              <w:bottom w:val="single" w:color="000000" w:sz="2" w:space="0"/>
              <w:right w:val="single" w:color="000000" w:sz="2" w:space="0"/>
            </w:tcBorders>
          </w:tcPr>
          <w:p w14:paraId="7CC7AAF9">
            <w:pPr>
              <w:ind w:left="5"/>
              <w:jc w:val="center"/>
              <w:rPr>
                <w:rFonts w:hint="eastAsia" w:ascii="仿宋_GB2312" w:hAnsi="微软雅黑" w:eastAsia="仿宋_GB2312" w:cs="微软雅黑"/>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业务</w:t>
            </w:r>
          </w:p>
          <w:p w14:paraId="12F70F4A">
            <w:pPr>
              <w:ind w:left="5"/>
              <w:jc w:val="center"/>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素养</w:t>
            </w:r>
          </w:p>
        </w:tc>
        <w:tc>
          <w:tcPr>
            <w:tcW w:w="720" w:type="dxa"/>
            <w:tcBorders>
              <w:top w:val="single" w:color="000000" w:sz="2" w:space="0"/>
              <w:left w:val="single" w:color="000000" w:sz="2" w:space="0"/>
              <w:bottom w:val="single" w:color="000000" w:sz="2" w:space="0"/>
              <w:right w:val="single" w:color="000000" w:sz="2" w:space="0"/>
            </w:tcBorders>
            <w:vAlign w:val="center"/>
          </w:tcPr>
          <w:p w14:paraId="2B12550A">
            <w:pPr>
              <w:ind w:left="77"/>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6</w:t>
            </w:r>
          </w:p>
        </w:tc>
        <w:tc>
          <w:tcPr>
            <w:tcW w:w="2624" w:type="dxa"/>
            <w:tcBorders>
              <w:top w:val="single" w:color="000000" w:sz="2" w:space="0"/>
              <w:left w:val="single" w:color="000000" w:sz="2" w:space="0"/>
              <w:bottom w:val="single" w:color="000000" w:sz="2" w:space="0"/>
              <w:right w:val="single" w:color="000000" w:sz="2" w:space="0"/>
            </w:tcBorders>
          </w:tcPr>
          <w:p w14:paraId="79551B39">
            <w:pPr>
              <w:ind w:left="5" w:right="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根据教师获得校级及以上教学能手、骨干教师等称号（差额）奖励情况计分。</w:t>
            </w:r>
          </w:p>
        </w:tc>
        <w:tc>
          <w:tcPr>
            <w:tcW w:w="716" w:type="dxa"/>
            <w:tcBorders>
              <w:top w:val="single" w:color="000000" w:sz="2" w:space="0"/>
              <w:left w:val="single" w:color="000000" w:sz="2" w:space="0"/>
              <w:bottom w:val="single" w:color="000000" w:sz="2" w:space="0"/>
              <w:right w:val="single" w:color="000000" w:sz="2" w:space="0"/>
            </w:tcBorders>
            <w:vAlign w:val="center"/>
          </w:tcPr>
          <w:p w14:paraId="51025B8F">
            <w:pPr>
              <w:ind w:left="6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6</w:t>
            </w:r>
          </w:p>
        </w:tc>
        <w:tc>
          <w:tcPr>
            <w:tcW w:w="3061" w:type="dxa"/>
            <w:tcBorders>
              <w:top w:val="single" w:color="000000" w:sz="2" w:space="0"/>
              <w:left w:val="single" w:color="000000" w:sz="2" w:space="0"/>
              <w:bottom w:val="single" w:color="000000" w:sz="2" w:space="0"/>
              <w:right w:val="single" w:color="000000" w:sz="2" w:space="0"/>
            </w:tcBorders>
            <w:vAlign w:val="center"/>
          </w:tcPr>
          <w:p w14:paraId="627F4E8B">
            <w:pPr>
              <w:ind w:left="5" w:right="6"/>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参照附件3表彰奖励分值</w:t>
            </w:r>
          </w:p>
        </w:tc>
      </w:tr>
      <w:tr w14:paraId="565C4ED3">
        <w:tblPrEx>
          <w:tblCellMar>
            <w:top w:w="55" w:type="dxa"/>
            <w:left w:w="109" w:type="dxa"/>
            <w:bottom w:w="0" w:type="dxa"/>
            <w:right w:w="115" w:type="dxa"/>
          </w:tblCellMar>
        </w:tblPrEx>
        <w:trPr>
          <w:trHeight w:val="1873" w:hRule="atLeast"/>
        </w:trPr>
        <w:tc>
          <w:tcPr>
            <w:tcW w:w="0" w:type="auto"/>
            <w:vMerge w:val="continue"/>
            <w:tcBorders>
              <w:top w:val="nil"/>
              <w:left w:val="single" w:color="000000" w:sz="2" w:space="0"/>
              <w:bottom w:val="nil"/>
              <w:right w:val="single" w:color="000000" w:sz="2" w:space="0"/>
            </w:tcBorders>
          </w:tcPr>
          <w:p w14:paraId="7F575380">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542B473E">
            <w:pPr>
              <w:jc w:val="left"/>
              <w:rPr>
                <w:rFonts w:hint="eastAsia" w:ascii="仿宋_GB2312" w:eastAsia="仿宋_GB2312"/>
                <w:color w:val="000000" w:themeColor="text1"/>
                <w:szCs w:val="21"/>
                <w14:textFill>
                  <w14:solidFill>
                    <w14:schemeClr w14:val="tx1"/>
                  </w14:solidFill>
                </w14:textFill>
              </w:rPr>
            </w:pPr>
          </w:p>
        </w:tc>
        <w:tc>
          <w:tcPr>
            <w:tcW w:w="634" w:type="dxa"/>
            <w:tcBorders>
              <w:top w:val="single" w:color="000000" w:sz="2" w:space="0"/>
              <w:left w:val="single" w:color="000000" w:sz="2" w:space="0"/>
              <w:bottom w:val="single" w:color="000000" w:sz="2" w:space="0"/>
              <w:right w:val="single" w:color="000000" w:sz="2" w:space="0"/>
            </w:tcBorders>
            <w:vAlign w:val="center"/>
          </w:tcPr>
          <w:p w14:paraId="1B58E52D">
            <w:pPr>
              <w:ind w:left="5" w:hanging="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专业发展</w:t>
            </w:r>
          </w:p>
        </w:tc>
        <w:tc>
          <w:tcPr>
            <w:tcW w:w="720" w:type="dxa"/>
            <w:tcBorders>
              <w:top w:val="single" w:color="000000" w:sz="2" w:space="0"/>
              <w:left w:val="single" w:color="000000" w:sz="2" w:space="0"/>
              <w:bottom w:val="single" w:color="000000" w:sz="2" w:space="0"/>
              <w:right w:val="single" w:color="000000" w:sz="2" w:space="0"/>
            </w:tcBorders>
            <w:vAlign w:val="center"/>
          </w:tcPr>
          <w:p w14:paraId="3C5CA60C">
            <w:pPr>
              <w:ind w:left="77"/>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6</w:t>
            </w:r>
          </w:p>
        </w:tc>
        <w:tc>
          <w:tcPr>
            <w:tcW w:w="2624" w:type="dxa"/>
            <w:tcBorders>
              <w:top w:val="single" w:color="000000" w:sz="2" w:space="0"/>
              <w:left w:val="single" w:color="000000" w:sz="2" w:space="0"/>
              <w:bottom w:val="single" w:color="000000" w:sz="2" w:space="0"/>
              <w:right w:val="single" w:color="000000" w:sz="2" w:space="0"/>
            </w:tcBorders>
          </w:tcPr>
          <w:p w14:paraId="495AE4C3">
            <w:pPr>
              <w:ind w:left="5" w:right="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积极参加各类培训、测试、比武、进修、教科研、课程开发、教育改革活动、优质课、教学成果奖、课题结题等（差额），撰写教科研论文，开展师徒结对，完成年内继续教育任务。</w:t>
            </w:r>
          </w:p>
        </w:tc>
        <w:tc>
          <w:tcPr>
            <w:tcW w:w="716" w:type="dxa"/>
            <w:tcBorders>
              <w:top w:val="single" w:color="000000" w:sz="2" w:space="0"/>
              <w:left w:val="single" w:color="000000" w:sz="2" w:space="0"/>
              <w:bottom w:val="single" w:color="000000" w:sz="2" w:space="0"/>
              <w:right w:val="single" w:color="000000" w:sz="2" w:space="0"/>
            </w:tcBorders>
            <w:vAlign w:val="center"/>
          </w:tcPr>
          <w:p w14:paraId="3F06F4D7">
            <w:pPr>
              <w:ind w:left="73"/>
              <w:jc w:val="left"/>
              <w:rPr>
                <w:rFonts w:hint="eastAsia" w:ascii="仿宋_GB2312" w:eastAsia="仿宋_GB2312"/>
                <w:color w:val="000000" w:themeColor="text1"/>
                <w:szCs w:val="21"/>
                <w14:textFill>
                  <w14:solidFill>
                    <w14:schemeClr w14:val="tx1"/>
                  </w14:solidFill>
                </w14:textFill>
              </w:rPr>
            </w:pPr>
            <w:r>
              <w:rPr>
                <w:rFonts w:ascii="仿宋_GB2312" w:hAnsi="微软雅黑" w:eastAsia="仿宋_GB2312" w:cs="微软雅黑"/>
                <w:color w:val="000000" w:themeColor="text1"/>
                <w:szCs w:val="21"/>
                <w14:textFill>
                  <w14:solidFill>
                    <w14:schemeClr w14:val="tx1"/>
                  </w14:solidFill>
                </w14:textFill>
              </w:rPr>
              <w:t>6</w:t>
            </w:r>
          </w:p>
        </w:tc>
        <w:tc>
          <w:tcPr>
            <w:tcW w:w="3061" w:type="dxa"/>
            <w:tcBorders>
              <w:top w:val="single" w:color="000000" w:sz="2" w:space="0"/>
              <w:left w:val="single" w:color="000000" w:sz="2" w:space="0"/>
              <w:bottom w:val="single" w:color="000000" w:sz="2" w:space="0"/>
              <w:right w:val="single" w:color="000000" w:sz="2" w:space="0"/>
            </w:tcBorders>
            <w:vAlign w:val="center"/>
          </w:tcPr>
          <w:p w14:paraId="08EBBA72">
            <w:pPr>
              <w:ind w:left="5" w:firstLine="2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参照附件4专业发展确定</w:t>
            </w:r>
          </w:p>
        </w:tc>
      </w:tr>
      <w:tr w14:paraId="0DA7C85E">
        <w:tblPrEx>
          <w:tblCellMar>
            <w:top w:w="55" w:type="dxa"/>
            <w:left w:w="109" w:type="dxa"/>
            <w:bottom w:w="0" w:type="dxa"/>
            <w:right w:w="115" w:type="dxa"/>
          </w:tblCellMar>
        </w:tblPrEx>
        <w:trPr>
          <w:trHeight w:val="1556" w:hRule="atLeast"/>
        </w:trPr>
        <w:tc>
          <w:tcPr>
            <w:tcW w:w="0" w:type="auto"/>
            <w:vMerge w:val="continue"/>
            <w:tcBorders>
              <w:top w:val="nil"/>
              <w:left w:val="single" w:color="000000" w:sz="2" w:space="0"/>
              <w:bottom w:val="nil"/>
              <w:right w:val="single" w:color="000000" w:sz="2" w:space="0"/>
            </w:tcBorders>
          </w:tcPr>
          <w:p w14:paraId="2E48E353">
            <w:pPr>
              <w:jc w:val="left"/>
              <w:rPr>
                <w:rFonts w:hint="eastAsia" w:ascii="仿宋_GB2312" w:eastAsia="仿宋_GB2312"/>
                <w:color w:val="000000" w:themeColor="text1"/>
                <w:szCs w:val="21"/>
                <w14:textFill>
                  <w14:solidFill>
                    <w14:schemeClr w14:val="tx1"/>
                  </w14:solidFill>
                </w14:textFill>
              </w:rPr>
            </w:pPr>
          </w:p>
        </w:tc>
        <w:tc>
          <w:tcPr>
            <w:tcW w:w="640" w:type="dxa"/>
            <w:vMerge w:val="restart"/>
            <w:tcBorders>
              <w:top w:val="single" w:color="000000" w:sz="2" w:space="0"/>
              <w:left w:val="single" w:color="000000" w:sz="2" w:space="0"/>
              <w:bottom w:val="single" w:color="000000" w:sz="2" w:space="0"/>
              <w:right w:val="single" w:color="000000" w:sz="2" w:space="0"/>
            </w:tcBorders>
            <w:vAlign w:val="center"/>
          </w:tcPr>
          <w:p w14:paraId="3D45A57E">
            <w:pPr>
              <w:ind w:right="11"/>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增值性指标</w:t>
            </w:r>
          </w:p>
        </w:tc>
        <w:tc>
          <w:tcPr>
            <w:tcW w:w="634" w:type="dxa"/>
            <w:tcBorders>
              <w:top w:val="single" w:color="000000" w:sz="2" w:space="0"/>
              <w:left w:val="single" w:color="000000" w:sz="2" w:space="0"/>
              <w:bottom w:val="single" w:color="000000" w:sz="2" w:space="0"/>
              <w:right w:val="single" w:color="000000" w:sz="2" w:space="0"/>
            </w:tcBorders>
            <w:vAlign w:val="center"/>
          </w:tcPr>
          <w:p w14:paraId="33EAB169">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学生素养</w:t>
            </w:r>
          </w:p>
        </w:tc>
        <w:tc>
          <w:tcPr>
            <w:tcW w:w="720" w:type="dxa"/>
            <w:tcBorders>
              <w:top w:val="single" w:color="000000" w:sz="2" w:space="0"/>
              <w:left w:val="single" w:color="000000" w:sz="2" w:space="0"/>
              <w:bottom w:val="single" w:color="000000" w:sz="2" w:space="0"/>
              <w:right w:val="single" w:color="000000" w:sz="2" w:space="0"/>
            </w:tcBorders>
            <w:vAlign w:val="center"/>
          </w:tcPr>
          <w:p w14:paraId="4DA4CC6E">
            <w:pPr>
              <w:ind w:left="2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30</w:t>
            </w:r>
          </w:p>
        </w:tc>
        <w:tc>
          <w:tcPr>
            <w:tcW w:w="2624" w:type="dxa"/>
            <w:tcBorders>
              <w:top w:val="single" w:color="000000" w:sz="2" w:space="0"/>
              <w:left w:val="single" w:color="000000" w:sz="2" w:space="0"/>
              <w:bottom w:val="single" w:color="000000" w:sz="2" w:space="0"/>
              <w:right w:val="single" w:color="000000" w:sz="2" w:space="0"/>
            </w:tcBorders>
          </w:tcPr>
          <w:p w14:paraId="46437625">
            <w:pPr>
              <w:ind w:left="5" w:firstLine="2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山学校依据教学目标达成度、教学质量检测、</w:t>
            </w:r>
            <w:r>
              <w:rPr>
                <w:rFonts w:hint="eastAsia" w:ascii="仿宋_GB2312" w:hAnsi="微软雅黑" w:eastAsia="仿宋_GB2312" w:cs="微软雅黑"/>
                <w:color w:val="000000" w:themeColor="text1"/>
                <w:szCs w:val="21"/>
                <w:highlight w:val="none"/>
                <w14:textFill>
                  <w14:solidFill>
                    <w14:schemeClr w14:val="tx1"/>
                  </w14:solidFill>
                </w14:textFill>
              </w:rPr>
              <w:t>学科教学效果、学生技能测试、学生体质健康、艺术素养等情况量化汁分。</w:t>
            </w:r>
          </w:p>
        </w:tc>
        <w:tc>
          <w:tcPr>
            <w:tcW w:w="716" w:type="dxa"/>
            <w:tcBorders>
              <w:top w:val="single" w:color="000000" w:sz="2" w:space="0"/>
              <w:left w:val="single" w:color="000000" w:sz="2" w:space="0"/>
              <w:bottom w:val="single" w:color="000000" w:sz="2" w:space="0"/>
              <w:right w:val="single" w:color="000000" w:sz="2" w:space="0"/>
            </w:tcBorders>
            <w:vAlign w:val="center"/>
          </w:tcPr>
          <w:p w14:paraId="25184FA5">
            <w:pPr>
              <w:ind w:left="2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30</w:t>
            </w:r>
          </w:p>
        </w:tc>
        <w:tc>
          <w:tcPr>
            <w:tcW w:w="3061" w:type="dxa"/>
            <w:tcBorders>
              <w:top w:val="single" w:color="000000" w:sz="2" w:space="0"/>
              <w:left w:val="single" w:color="000000" w:sz="2" w:space="0"/>
              <w:bottom w:val="single" w:color="000000" w:sz="2" w:space="0"/>
              <w:right w:val="single" w:color="000000" w:sz="2" w:space="0"/>
            </w:tcBorders>
            <w:vAlign w:val="center"/>
          </w:tcPr>
          <w:p w14:paraId="30B43D7E">
            <w:pPr>
              <w:ind w:left="10" w:hanging="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参照附件5学生素养确定</w:t>
            </w:r>
          </w:p>
        </w:tc>
      </w:tr>
      <w:tr w14:paraId="4A4C9961">
        <w:tblPrEx>
          <w:tblCellMar>
            <w:top w:w="55" w:type="dxa"/>
            <w:left w:w="109" w:type="dxa"/>
            <w:bottom w:w="0" w:type="dxa"/>
            <w:right w:w="115" w:type="dxa"/>
          </w:tblCellMar>
        </w:tblPrEx>
        <w:trPr>
          <w:trHeight w:val="1584" w:hRule="atLeast"/>
        </w:trPr>
        <w:tc>
          <w:tcPr>
            <w:tcW w:w="0" w:type="auto"/>
            <w:vMerge w:val="continue"/>
            <w:tcBorders>
              <w:top w:val="nil"/>
              <w:left w:val="single" w:color="000000" w:sz="2" w:space="0"/>
              <w:bottom w:val="single" w:color="000000" w:sz="2" w:space="0"/>
              <w:right w:val="single" w:color="000000" w:sz="2" w:space="0"/>
            </w:tcBorders>
          </w:tcPr>
          <w:p w14:paraId="78BE7D76">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3EE0045D">
            <w:pPr>
              <w:jc w:val="left"/>
              <w:rPr>
                <w:rFonts w:hint="eastAsia" w:ascii="仿宋_GB2312" w:eastAsia="仿宋_GB2312"/>
                <w:color w:val="000000" w:themeColor="text1"/>
                <w:szCs w:val="21"/>
                <w14:textFill>
                  <w14:solidFill>
                    <w14:schemeClr w14:val="tx1"/>
                  </w14:solidFill>
                </w14:textFill>
              </w:rPr>
            </w:pPr>
          </w:p>
        </w:tc>
        <w:tc>
          <w:tcPr>
            <w:tcW w:w="634" w:type="dxa"/>
            <w:tcBorders>
              <w:top w:val="single" w:color="000000" w:sz="2" w:space="0"/>
              <w:left w:val="single" w:color="000000" w:sz="2" w:space="0"/>
              <w:bottom w:val="single" w:color="000000" w:sz="2" w:space="0"/>
              <w:right w:val="single" w:color="000000" w:sz="2" w:space="0"/>
            </w:tcBorders>
            <w:vAlign w:val="center"/>
          </w:tcPr>
          <w:p w14:paraId="33143E3A">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育人效果</w:t>
            </w:r>
          </w:p>
        </w:tc>
        <w:tc>
          <w:tcPr>
            <w:tcW w:w="720" w:type="dxa"/>
            <w:tcBorders>
              <w:top w:val="single" w:color="000000" w:sz="2" w:space="0"/>
              <w:left w:val="single" w:color="000000" w:sz="2" w:space="0"/>
              <w:bottom w:val="single" w:color="000000" w:sz="2" w:space="0"/>
              <w:right w:val="single" w:color="000000" w:sz="2" w:space="0"/>
            </w:tcBorders>
            <w:vAlign w:val="center"/>
          </w:tcPr>
          <w:p w14:paraId="2AA3F3C4">
            <w:pPr>
              <w:ind w:left="3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2624" w:type="dxa"/>
            <w:tcBorders>
              <w:top w:val="single" w:color="000000" w:sz="2" w:space="0"/>
              <w:left w:val="single" w:color="000000" w:sz="2" w:space="0"/>
              <w:bottom w:val="single" w:color="000000" w:sz="2" w:space="0"/>
              <w:right w:val="single" w:color="000000" w:sz="2" w:space="0"/>
            </w:tcBorders>
          </w:tcPr>
          <w:p w14:paraId="6ECB5E9F">
            <w:pPr>
              <w:ind w:left="5"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主要包括家校沟通、师生沟通、学生学习、行为养成，心理健康、创新实践，班风、学风，学业述评、控辍保学等情况。</w:t>
            </w:r>
          </w:p>
        </w:tc>
        <w:tc>
          <w:tcPr>
            <w:tcW w:w="716" w:type="dxa"/>
            <w:tcBorders>
              <w:top w:val="single" w:color="000000" w:sz="2" w:space="0"/>
              <w:left w:val="single" w:color="000000" w:sz="2" w:space="0"/>
              <w:bottom w:val="single" w:color="000000" w:sz="2" w:space="0"/>
              <w:right w:val="single" w:color="000000" w:sz="2" w:space="0"/>
            </w:tcBorders>
            <w:vAlign w:val="center"/>
          </w:tcPr>
          <w:p w14:paraId="0AF9F15A">
            <w:pPr>
              <w:ind w:left="3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3061" w:type="dxa"/>
            <w:tcBorders>
              <w:top w:val="single" w:color="000000" w:sz="2" w:space="0"/>
              <w:left w:val="single" w:color="000000" w:sz="2" w:space="0"/>
              <w:bottom w:val="single" w:color="000000" w:sz="2" w:space="0"/>
              <w:right w:val="single" w:color="000000" w:sz="2" w:space="0"/>
            </w:tcBorders>
          </w:tcPr>
          <w:p w14:paraId="31ACB947">
            <w:pPr>
              <w:ind w:left="15" w:hanging="5"/>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按全员育人工作分工计算，多个班级按照平均分计算，满</w:t>
            </w:r>
            <w:r>
              <w:rPr>
                <w:rFonts w:ascii="仿宋_GB2312" w:hAnsi="微软雅黑" w:eastAsia="仿宋_GB2312" w:cs="微软雅黑"/>
                <w:color w:val="000000" w:themeColor="text1"/>
                <w:szCs w:val="21"/>
                <w14:textFill>
                  <w14:solidFill>
                    <w14:schemeClr w14:val="tx1"/>
                  </w14:solidFill>
                </w14:textFill>
              </w:rPr>
              <w:t>8分为止。</w:t>
            </w:r>
            <w:r>
              <w:rPr>
                <w:rFonts w:hint="eastAsia" w:ascii="仿宋_GB2312" w:hAnsi="微软雅黑" w:eastAsia="仿宋_GB2312" w:cs="微软雅黑"/>
                <w:color w:val="000000" w:themeColor="text1"/>
                <w:szCs w:val="21"/>
                <w14:textFill>
                  <w14:solidFill>
                    <w14:schemeClr w14:val="tx1"/>
                  </w14:solidFill>
                </w14:textFill>
              </w:rPr>
              <w:t>为学校取得市级及以上集体荣誉的班级及科室适当加分，满10为止。</w:t>
            </w:r>
          </w:p>
        </w:tc>
      </w:tr>
      <w:tr w14:paraId="05074A71">
        <w:tblPrEx>
          <w:tblCellMar>
            <w:top w:w="55" w:type="dxa"/>
            <w:left w:w="109" w:type="dxa"/>
            <w:bottom w:w="0" w:type="dxa"/>
            <w:right w:w="115" w:type="dxa"/>
          </w:tblCellMar>
        </w:tblPrEx>
        <w:trPr>
          <w:trHeight w:val="2820" w:hRule="atLeast"/>
        </w:trPr>
        <w:tc>
          <w:tcPr>
            <w:tcW w:w="1210" w:type="dxa"/>
            <w:gridSpan w:val="2"/>
            <w:tcBorders>
              <w:top w:val="single" w:color="000000" w:sz="2" w:space="0"/>
              <w:left w:val="single" w:color="000000" w:sz="2" w:space="0"/>
              <w:bottom w:val="single" w:color="000000" w:sz="2" w:space="0"/>
              <w:right w:val="single" w:color="000000" w:sz="2" w:space="0"/>
            </w:tcBorders>
            <w:vAlign w:val="center"/>
          </w:tcPr>
          <w:p w14:paraId="77A50E1A">
            <w:pPr>
              <w:ind w:left="303" w:right="6" w:hanging="106"/>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满意度指标</w:t>
            </w:r>
          </w:p>
        </w:tc>
        <w:tc>
          <w:tcPr>
            <w:tcW w:w="634" w:type="dxa"/>
            <w:tcBorders>
              <w:top w:val="single" w:color="000000" w:sz="2" w:space="0"/>
              <w:left w:val="single" w:color="000000" w:sz="2" w:space="0"/>
              <w:bottom w:val="single" w:color="000000" w:sz="2" w:space="0"/>
              <w:right w:val="single" w:color="000000" w:sz="2" w:space="0"/>
            </w:tcBorders>
            <w:vAlign w:val="center"/>
          </w:tcPr>
          <w:p w14:paraId="121B02EB">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评议考核</w:t>
            </w:r>
          </w:p>
        </w:tc>
        <w:tc>
          <w:tcPr>
            <w:tcW w:w="720" w:type="dxa"/>
            <w:tcBorders>
              <w:top w:val="single" w:color="000000" w:sz="2" w:space="0"/>
              <w:left w:val="single" w:color="000000" w:sz="2" w:space="0"/>
              <w:bottom w:val="single" w:color="000000" w:sz="2" w:space="0"/>
              <w:right w:val="single" w:color="000000" w:sz="2" w:space="0"/>
            </w:tcBorders>
            <w:vAlign w:val="center"/>
          </w:tcPr>
          <w:p w14:paraId="314BB46F">
            <w:pPr>
              <w:ind w:left="43"/>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2624" w:type="dxa"/>
            <w:tcBorders>
              <w:top w:val="single" w:color="000000" w:sz="2" w:space="0"/>
              <w:left w:val="single" w:color="000000" w:sz="2" w:space="0"/>
              <w:bottom w:val="single" w:color="000000" w:sz="2" w:space="0"/>
              <w:right w:val="single" w:color="000000" w:sz="2" w:space="0"/>
            </w:tcBorders>
          </w:tcPr>
          <w:p w14:paraId="4055CF9B">
            <w:pPr>
              <w:ind w:left="10" w:right="1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主要从依法执教、关爱学生、为人师表、家校联系、廉洁从教等方面进行评</w:t>
            </w:r>
          </w:p>
        </w:tc>
        <w:tc>
          <w:tcPr>
            <w:tcW w:w="716" w:type="dxa"/>
            <w:tcBorders>
              <w:top w:val="single" w:color="000000" w:sz="2" w:space="0"/>
              <w:left w:val="single" w:color="000000" w:sz="2" w:space="0"/>
              <w:bottom w:val="single" w:color="000000" w:sz="2" w:space="0"/>
              <w:right w:val="single" w:color="000000" w:sz="2" w:space="0"/>
            </w:tcBorders>
            <w:vAlign w:val="center"/>
          </w:tcPr>
          <w:p w14:paraId="370A3983">
            <w:pPr>
              <w:ind w:left="3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3061" w:type="dxa"/>
            <w:tcBorders>
              <w:top w:val="single" w:color="000000" w:sz="2" w:space="0"/>
              <w:left w:val="single" w:color="000000" w:sz="2" w:space="0"/>
              <w:bottom w:val="single" w:color="000000" w:sz="2" w:space="0"/>
              <w:right w:val="single" w:color="000000" w:sz="2" w:space="0"/>
            </w:tcBorders>
          </w:tcPr>
          <w:p w14:paraId="1E4D2604">
            <w:pPr>
              <w:ind w:left="10" w:right="1" w:firstLine="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l .教职工和家长评议按满意、基本满意、不满意分别对应100分、60分、0分计算分值；评议结果按照5：5的比例计算原始成绩。</w:t>
            </w:r>
          </w:p>
          <w:p w14:paraId="10B82F9D">
            <w:pPr>
              <w:ind w:left="28" w:hanging="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2 评议考核成绩：原始成绩× 10％。</w:t>
            </w:r>
          </w:p>
        </w:tc>
      </w:tr>
    </w:tbl>
    <w:p w14:paraId="03BF9191">
      <w:pPr>
        <w:ind w:left="14" w:right="14"/>
        <w:jc w:val="left"/>
        <w:rPr>
          <w:rFonts w:hint="eastAsia" w:ascii="仿宋_GB2312" w:hAnsi="微软雅黑" w:eastAsia="仿宋_GB2312" w:cs="微软雅黑"/>
          <w:color w:val="000000" w:themeColor="text1"/>
          <w:szCs w:val="21"/>
          <w14:textFill>
            <w14:solidFill>
              <w14:schemeClr w14:val="tx1"/>
            </w14:solidFill>
          </w14:textFill>
        </w:rPr>
      </w:pPr>
    </w:p>
    <w:p w14:paraId="67402A36">
      <w:pPr>
        <w:ind w:left="14" w:right="14"/>
        <w:jc w:val="left"/>
        <w:rPr>
          <w:rFonts w:hint="eastAsia" w:ascii="仿宋_GB2312" w:hAnsi="微软雅黑" w:eastAsia="仿宋_GB2312" w:cs="微软雅黑"/>
          <w:color w:val="000000" w:themeColor="text1"/>
          <w:szCs w:val="21"/>
          <w14:textFill>
            <w14:solidFill>
              <w14:schemeClr w14:val="tx1"/>
            </w14:solidFill>
          </w14:textFill>
        </w:rPr>
      </w:pPr>
    </w:p>
    <w:p w14:paraId="23A03ED9">
      <w:pPr>
        <w:ind w:left="14" w:right="14"/>
        <w:jc w:val="left"/>
        <w:rPr>
          <w:rFonts w:hint="eastAsia" w:ascii="仿宋_GB2312" w:hAnsi="微软雅黑" w:eastAsia="仿宋_GB2312" w:cs="微软雅黑"/>
          <w:color w:val="000000" w:themeColor="text1"/>
          <w:szCs w:val="21"/>
          <w14:textFill>
            <w14:solidFill>
              <w14:schemeClr w14:val="tx1"/>
            </w14:solidFill>
          </w14:textFill>
        </w:rPr>
      </w:pPr>
    </w:p>
    <w:p w14:paraId="6B410003">
      <w:pPr>
        <w:ind w:left="14" w:right="14"/>
        <w:jc w:val="center"/>
        <w:rPr>
          <w:rFonts w:hint="eastAsia" w:ascii="仿宋_GB2312" w:eastAsia="仿宋_GB2312"/>
          <w:color w:val="000000" w:themeColor="text1"/>
          <w:sz w:val="32"/>
          <w:szCs w:val="32"/>
          <w14:textFill>
            <w14:solidFill>
              <w14:schemeClr w14:val="tx1"/>
            </w14:solidFill>
          </w14:textFill>
        </w:rPr>
      </w:pPr>
      <w:bookmarkStart w:id="1" w:name="_Hlk147644378"/>
      <w:r>
        <w:rPr>
          <w:rFonts w:hint="eastAsia" w:ascii="仿宋_GB2312" w:hAnsi="微软雅黑" w:eastAsia="仿宋_GB2312" w:cs="微软雅黑"/>
          <w:color w:val="000000" w:themeColor="text1"/>
          <w:sz w:val="32"/>
          <w:szCs w:val="32"/>
          <w14:textFill>
            <w14:solidFill>
              <w14:schemeClr w14:val="tx1"/>
            </w14:solidFill>
          </w14:textFill>
        </w:rPr>
        <w:t>行政管理人员考核评价参考细则</w:t>
      </w:r>
    </w:p>
    <w:bookmarkEnd w:id="1"/>
    <w:tbl>
      <w:tblPr>
        <w:tblStyle w:val="7"/>
        <w:tblW w:w="8829" w:type="dxa"/>
        <w:tblInd w:w="-43" w:type="dxa"/>
        <w:tblLayout w:type="autofit"/>
        <w:tblCellMar>
          <w:top w:w="51" w:type="dxa"/>
          <w:left w:w="0" w:type="dxa"/>
          <w:bottom w:w="5" w:type="dxa"/>
          <w:right w:w="110" w:type="dxa"/>
        </w:tblCellMar>
      </w:tblPr>
      <w:tblGrid>
        <w:gridCol w:w="509"/>
        <w:gridCol w:w="728"/>
        <w:gridCol w:w="1046"/>
        <w:gridCol w:w="525"/>
        <w:gridCol w:w="634"/>
        <w:gridCol w:w="2307"/>
        <w:gridCol w:w="683"/>
        <w:gridCol w:w="2397"/>
      </w:tblGrid>
      <w:tr w14:paraId="28E9A78B">
        <w:tblPrEx>
          <w:tblCellMar>
            <w:top w:w="51" w:type="dxa"/>
            <w:left w:w="0" w:type="dxa"/>
            <w:bottom w:w="5" w:type="dxa"/>
            <w:right w:w="110" w:type="dxa"/>
          </w:tblCellMar>
        </w:tblPrEx>
        <w:trPr>
          <w:trHeight w:val="647" w:hRule="atLeast"/>
        </w:trPr>
        <w:tc>
          <w:tcPr>
            <w:tcW w:w="509" w:type="dxa"/>
            <w:vMerge w:val="restart"/>
            <w:tcBorders>
              <w:top w:val="single" w:color="000000" w:sz="2" w:space="0"/>
              <w:left w:val="single" w:color="000000" w:sz="2" w:space="0"/>
              <w:bottom w:val="single" w:color="000000" w:sz="2" w:space="0"/>
              <w:right w:val="single" w:color="000000" w:sz="2" w:space="0"/>
            </w:tcBorders>
          </w:tcPr>
          <w:p w14:paraId="01254DC3">
            <w:pPr>
              <w:ind w:left="13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一级指标</w:t>
            </w:r>
          </w:p>
        </w:tc>
        <w:tc>
          <w:tcPr>
            <w:tcW w:w="728" w:type="dxa"/>
            <w:vMerge w:val="restart"/>
            <w:tcBorders>
              <w:top w:val="single" w:color="000000" w:sz="2" w:space="0"/>
              <w:left w:val="single" w:color="000000" w:sz="2" w:space="0"/>
              <w:bottom w:val="single" w:color="000000" w:sz="2" w:space="0"/>
              <w:right w:val="single" w:color="000000" w:sz="2" w:space="0"/>
            </w:tcBorders>
          </w:tcPr>
          <w:p w14:paraId="0F24EA7D">
            <w:pPr>
              <w:ind w:left="181"/>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二级指示</w:t>
            </w:r>
          </w:p>
        </w:tc>
        <w:tc>
          <w:tcPr>
            <w:tcW w:w="1046" w:type="dxa"/>
            <w:tcBorders>
              <w:top w:val="single" w:color="000000" w:sz="2" w:space="0"/>
              <w:left w:val="single" w:color="000000" w:sz="2" w:space="0"/>
              <w:bottom w:val="single" w:color="000000" w:sz="2" w:space="0"/>
              <w:right w:val="single" w:color="000000" w:sz="2" w:space="0"/>
            </w:tcBorders>
          </w:tcPr>
          <w:p w14:paraId="16447D2E">
            <w:pPr>
              <w:ind w:left="148" w:firstLine="374"/>
              <w:jc w:val="left"/>
              <w:rPr>
                <w:rFonts w:hint="eastAsia" w:ascii="仿宋_GB2312" w:hAnsi="微软雅黑" w:eastAsia="仿宋_GB2312" w:cs="微软雅黑"/>
                <w:color w:val="000000" w:themeColor="text1"/>
                <w:szCs w:val="21"/>
                <w14:textFill>
                  <w14:solidFill>
                    <w14:schemeClr w14:val="tx1"/>
                  </w14:solidFill>
                </w14:textFill>
              </w:rPr>
            </w:pPr>
          </w:p>
        </w:tc>
        <w:tc>
          <w:tcPr>
            <w:tcW w:w="1159" w:type="dxa"/>
            <w:gridSpan w:val="2"/>
            <w:tcBorders>
              <w:top w:val="single" w:color="000000" w:sz="2" w:space="0"/>
              <w:left w:val="single" w:color="000000" w:sz="2" w:space="0"/>
              <w:bottom w:val="single" w:color="000000" w:sz="2" w:space="0"/>
              <w:right w:val="single" w:color="000000" w:sz="2" w:space="0"/>
            </w:tcBorders>
          </w:tcPr>
          <w:p w14:paraId="5C82FC6D">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三级指标</w:t>
            </w:r>
          </w:p>
        </w:tc>
        <w:tc>
          <w:tcPr>
            <w:tcW w:w="5387" w:type="dxa"/>
            <w:gridSpan w:val="3"/>
            <w:tcBorders>
              <w:top w:val="single" w:color="000000" w:sz="2" w:space="0"/>
              <w:left w:val="single" w:color="000000" w:sz="2" w:space="0"/>
              <w:bottom w:val="single" w:color="000000" w:sz="2" w:space="0"/>
              <w:right w:val="single" w:color="000000" w:sz="2" w:space="0"/>
            </w:tcBorders>
            <w:vAlign w:val="center"/>
          </w:tcPr>
          <w:p w14:paraId="281AD853">
            <w:pPr>
              <w:ind w:left="9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四级指标</w:t>
            </w:r>
          </w:p>
        </w:tc>
      </w:tr>
      <w:tr w14:paraId="46908205">
        <w:tblPrEx>
          <w:tblCellMar>
            <w:top w:w="51" w:type="dxa"/>
            <w:left w:w="0" w:type="dxa"/>
            <w:bottom w:w="5" w:type="dxa"/>
            <w:right w:w="110" w:type="dxa"/>
          </w:tblCellMar>
        </w:tblPrEx>
        <w:trPr>
          <w:trHeight w:val="634" w:hRule="atLeast"/>
        </w:trPr>
        <w:tc>
          <w:tcPr>
            <w:tcW w:w="509" w:type="dxa"/>
            <w:vMerge w:val="continue"/>
            <w:tcBorders>
              <w:top w:val="nil"/>
              <w:left w:val="single" w:color="000000" w:sz="2" w:space="0"/>
              <w:bottom w:val="single" w:color="000000" w:sz="2" w:space="0"/>
              <w:right w:val="single" w:color="000000" w:sz="2" w:space="0"/>
            </w:tcBorders>
          </w:tcPr>
          <w:p w14:paraId="26CD4C99">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2D005FE7">
            <w:pPr>
              <w:jc w:val="left"/>
              <w:rPr>
                <w:rFonts w:hint="eastAsia" w:ascii="仿宋_GB2312" w:eastAsia="仿宋_GB2312"/>
                <w:color w:val="000000" w:themeColor="text1"/>
                <w:szCs w:val="21"/>
                <w14:textFill>
                  <w14:solidFill>
                    <w14:schemeClr w14:val="tx1"/>
                  </w14:solidFill>
                </w14:textFill>
              </w:rPr>
            </w:pPr>
          </w:p>
        </w:tc>
        <w:tc>
          <w:tcPr>
            <w:tcW w:w="1046" w:type="dxa"/>
            <w:tcBorders>
              <w:top w:val="single" w:color="000000" w:sz="2" w:space="0"/>
              <w:left w:val="single" w:color="000000" w:sz="2" w:space="0"/>
              <w:bottom w:val="single" w:color="000000" w:sz="2" w:space="0"/>
              <w:right w:val="single" w:color="000000" w:sz="2" w:space="0"/>
            </w:tcBorders>
          </w:tcPr>
          <w:p w14:paraId="026BDDFD">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nil"/>
            </w:tcBorders>
          </w:tcPr>
          <w:p w14:paraId="7F2FE7CE">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项目</w:t>
            </w:r>
          </w:p>
        </w:tc>
        <w:tc>
          <w:tcPr>
            <w:tcW w:w="634" w:type="dxa"/>
            <w:tcBorders>
              <w:top w:val="single" w:color="000000" w:sz="2" w:space="0"/>
              <w:left w:val="nil"/>
              <w:bottom w:val="single" w:color="000000" w:sz="2" w:space="0"/>
              <w:right w:val="single" w:color="000000" w:sz="2" w:space="0"/>
            </w:tcBorders>
          </w:tcPr>
          <w:p w14:paraId="6BDCD32E">
            <w:pPr>
              <w:ind w:left="14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分值</w:t>
            </w:r>
          </w:p>
        </w:tc>
        <w:tc>
          <w:tcPr>
            <w:tcW w:w="2307" w:type="dxa"/>
            <w:tcBorders>
              <w:top w:val="single" w:color="000000" w:sz="2" w:space="0"/>
              <w:left w:val="single" w:color="000000" w:sz="2" w:space="0"/>
              <w:bottom w:val="single" w:color="000000" w:sz="2" w:space="0"/>
              <w:right w:val="single" w:color="000000" w:sz="2" w:space="0"/>
            </w:tcBorders>
            <w:vAlign w:val="center"/>
          </w:tcPr>
          <w:p w14:paraId="119E7A88">
            <w:pPr>
              <w:ind w:left="77"/>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项目</w:t>
            </w:r>
          </w:p>
        </w:tc>
        <w:tc>
          <w:tcPr>
            <w:tcW w:w="683" w:type="dxa"/>
            <w:tcBorders>
              <w:top w:val="single" w:color="000000" w:sz="2" w:space="0"/>
              <w:left w:val="single" w:color="000000" w:sz="2" w:space="0"/>
              <w:bottom w:val="single" w:color="000000" w:sz="2" w:space="0"/>
              <w:right w:val="single" w:color="000000" w:sz="2" w:space="0"/>
            </w:tcBorders>
          </w:tcPr>
          <w:p w14:paraId="07CF7FC3">
            <w:pPr>
              <w:ind w:left="226"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分值</w:t>
            </w:r>
          </w:p>
        </w:tc>
        <w:tc>
          <w:tcPr>
            <w:tcW w:w="2397" w:type="dxa"/>
            <w:tcBorders>
              <w:top w:val="single" w:color="000000" w:sz="2" w:space="0"/>
              <w:left w:val="single" w:color="000000" w:sz="2" w:space="0"/>
              <w:bottom w:val="single" w:color="000000" w:sz="2" w:space="0"/>
              <w:right w:val="single" w:color="000000" w:sz="2" w:space="0"/>
            </w:tcBorders>
            <w:vAlign w:val="center"/>
          </w:tcPr>
          <w:p w14:paraId="3E6512D6">
            <w:pPr>
              <w:ind w:left="9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评价标准及计分办法</w:t>
            </w:r>
          </w:p>
        </w:tc>
      </w:tr>
      <w:tr w14:paraId="016C373E">
        <w:tblPrEx>
          <w:tblCellMar>
            <w:top w:w="51" w:type="dxa"/>
            <w:left w:w="0" w:type="dxa"/>
            <w:bottom w:w="5" w:type="dxa"/>
            <w:right w:w="110" w:type="dxa"/>
          </w:tblCellMar>
        </w:tblPrEx>
        <w:trPr>
          <w:trHeight w:val="1239" w:hRule="atLeast"/>
        </w:trPr>
        <w:tc>
          <w:tcPr>
            <w:tcW w:w="509" w:type="dxa"/>
            <w:tcBorders>
              <w:top w:val="single" w:color="000000" w:sz="2" w:space="0"/>
              <w:left w:val="single" w:color="000000" w:sz="2" w:space="0"/>
              <w:bottom w:val="single" w:color="000000" w:sz="2" w:space="0"/>
              <w:right w:val="nil"/>
            </w:tcBorders>
            <w:vAlign w:val="center"/>
          </w:tcPr>
          <w:p w14:paraId="30D8D155">
            <w:pPr>
              <w:jc w:val="left"/>
              <w:rPr>
                <w:rFonts w:hint="eastAsia" w:ascii="仿宋_GB2312" w:eastAsia="仿宋_GB2312"/>
                <w:color w:val="000000" w:themeColor="text1"/>
                <w:szCs w:val="21"/>
                <w14:textFill>
                  <w14:solidFill>
                    <w14:schemeClr w14:val="tx1"/>
                  </w14:solidFill>
                </w14:textFill>
              </w:rPr>
            </w:pPr>
          </w:p>
        </w:tc>
        <w:tc>
          <w:tcPr>
            <w:tcW w:w="728" w:type="dxa"/>
            <w:tcBorders>
              <w:top w:val="single" w:color="000000" w:sz="2" w:space="0"/>
              <w:left w:val="nil"/>
              <w:bottom w:val="single" w:color="000000" w:sz="2" w:space="0"/>
              <w:right w:val="single" w:color="000000" w:sz="2" w:space="0"/>
            </w:tcBorders>
            <w:vAlign w:val="center"/>
          </w:tcPr>
          <w:p w14:paraId="08E389B7">
            <w:pPr>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底线指标</w:t>
            </w:r>
          </w:p>
        </w:tc>
        <w:tc>
          <w:tcPr>
            <w:tcW w:w="1046" w:type="dxa"/>
            <w:tcBorders>
              <w:top w:val="single" w:color="000000" w:sz="2" w:space="0"/>
              <w:left w:val="single" w:color="000000" w:sz="2" w:space="0"/>
              <w:bottom w:val="single" w:color="000000" w:sz="2" w:space="0"/>
              <w:right w:val="single" w:color="000000" w:sz="2" w:space="0"/>
            </w:tcBorders>
          </w:tcPr>
          <w:p w14:paraId="1C26F12C">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tcPr>
          <w:p w14:paraId="1CFEE799">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职业道德</w:t>
            </w:r>
          </w:p>
        </w:tc>
        <w:tc>
          <w:tcPr>
            <w:tcW w:w="634" w:type="dxa"/>
            <w:tcBorders>
              <w:top w:val="single" w:color="000000" w:sz="2" w:space="0"/>
              <w:left w:val="single" w:color="000000" w:sz="2" w:space="0"/>
              <w:bottom w:val="single" w:color="000000" w:sz="2" w:space="0"/>
              <w:right w:val="single" w:color="000000" w:sz="2" w:space="0"/>
            </w:tcBorders>
          </w:tcPr>
          <w:p w14:paraId="7A079E69">
            <w:pPr>
              <w:jc w:val="left"/>
              <w:rPr>
                <w:rFonts w:hint="eastAsia" w:ascii="仿宋_GB2312" w:eastAsia="仿宋_GB2312"/>
                <w:color w:val="000000" w:themeColor="text1"/>
                <w:szCs w:val="21"/>
                <w14:textFill>
                  <w14:solidFill>
                    <w14:schemeClr w14:val="tx1"/>
                  </w14:solidFill>
                </w14:textFill>
              </w:rPr>
            </w:pPr>
          </w:p>
        </w:tc>
        <w:tc>
          <w:tcPr>
            <w:tcW w:w="2307" w:type="dxa"/>
            <w:tcBorders>
              <w:top w:val="single" w:color="000000" w:sz="2" w:space="0"/>
              <w:left w:val="single" w:color="000000" w:sz="2" w:space="0"/>
              <w:bottom w:val="single" w:color="000000" w:sz="2" w:space="0"/>
              <w:right w:val="single" w:color="000000" w:sz="2" w:space="0"/>
            </w:tcBorders>
          </w:tcPr>
          <w:p w14:paraId="11552D70">
            <w:pPr>
              <w:ind w:left="115" w:right="5" w:hanging="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遵纪守法、爱岗敬业、服务育人、为人师表、团结协作、尊重家长、作风优良、廉洁从教。</w:t>
            </w:r>
          </w:p>
        </w:tc>
        <w:tc>
          <w:tcPr>
            <w:tcW w:w="683" w:type="dxa"/>
            <w:tcBorders>
              <w:top w:val="single" w:color="000000" w:sz="2" w:space="0"/>
              <w:left w:val="single" w:color="000000" w:sz="2" w:space="0"/>
              <w:bottom w:val="single" w:color="000000" w:sz="2" w:space="0"/>
              <w:right w:val="single" w:color="000000" w:sz="2" w:space="0"/>
            </w:tcBorders>
          </w:tcPr>
          <w:p w14:paraId="0BBCEEF1">
            <w:pPr>
              <w:jc w:val="left"/>
              <w:rPr>
                <w:rFonts w:hint="eastAsia" w:ascii="仿宋_GB2312" w:eastAsia="仿宋_GB2312"/>
                <w:color w:val="000000" w:themeColor="text1"/>
                <w:szCs w:val="21"/>
                <w14:textFill>
                  <w14:solidFill>
                    <w14:schemeClr w14:val="tx1"/>
                  </w14:solidFill>
                </w14:textFill>
              </w:rPr>
            </w:pPr>
          </w:p>
        </w:tc>
        <w:tc>
          <w:tcPr>
            <w:tcW w:w="2397" w:type="dxa"/>
            <w:tcBorders>
              <w:top w:val="single" w:color="000000" w:sz="2" w:space="0"/>
              <w:left w:val="single" w:color="000000" w:sz="2" w:space="0"/>
              <w:bottom w:val="single" w:color="000000" w:sz="2" w:space="0"/>
              <w:right w:val="single" w:color="000000" w:sz="2" w:space="0"/>
            </w:tcBorders>
          </w:tcPr>
          <w:p w14:paraId="6A275170">
            <w:pPr>
              <w:ind w:left="115" w:right="45" w:hanging="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根据教育部新时代中小学、幼儿园教师职业行为十项准则及其他法律法觌要求确定：部分项目可根据学校实际实行扣分制。一次投诉经查实扣</w:t>
            </w:r>
            <w:r>
              <w:rPr>
                <w:rFonts w:ascii="仿宋_GB2312" w:hAnsi="微软雅黑" w:eastAsia="仿宋_GB2312" w:cs="微软雅黑"/>
                <w:color w:val="000000" w:themeColor="text1"/>
                <w:szCs w:val="21"/>
                <w14:textFill>
                  <w14:solidFill>
                    <w14:schemeClr w14:val="tx1"/>
                  </w14:solidFill>
                </w14:textFill>
              </w:rPr>
              <w:t>2分。学习强国未登录，每次扣0.1分。未能及时传达学校通知及未按时完成学校要求的工作每次扣0.5分，变相或扭曲工作安排双倍扣分。</w:t>
            </w:r>
          </w:p>
        </w:tc>
      </w:tr>
      <w:tr w14:paraId="4DF27BD1">
        <w:tblPrEx>
          <w:tblCellMar>
            <w:top w:w="51" w:type="dxa"/>
            <w:left w:w="0" w:type="dxa"/>
            <w:bottom w:w="5" w:type="dxa"/>
            <w:right w:w="110" w:type="dxa"/>
          </w:tblCellMar>
        </w:tblPrEx>
        <w:trPr>
          <w:trHeight w:val="1258" w:hRule="atLeast"/>
        </w:trPr>
        <w:tc>
          <w:tcPr>
            <w:tcW w:w="509" w:type="dxa"/>
            <w:vMerge w:val="restart"/>
            <w:tcBorders>
              <w:top w:val="single" w:color="000000" w:sz="2" w:space="0"/>
              <w:left w:val="single" w:color="000000" w:sz="2" w:space="0"/>
              <w:bottom w:val="single" w:color="000000" w:sz="2" w:space="0"/>
              <w:right w:val="single" w:color="000000" w:sz="2" w:space="0"/>
            </w:tcBorders>
            <w:vAlign w:val="bottom"/>
          </w:tcPr>
          <w:p w14:paraId="2F8FFB2C">
            <w:pPr>
              <w:ind w:left="6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业绩指标</w:t>
            </w:r>
          </w:p>
        </w:tc>
        <w:tc>
          <w:tcPr>
            <w:tcW w:w="728" w:type="dxa"/>
            <w:vMerge w:val="restart"/>
            <w:tcBorders>
              <w:top w:val="single" w:color="000000" w:sz="2" w:space="0"/>
              <w:left w:val="single" w:color="000000" w:sz="2" w:space="0"/>
              <w:bottom w:val="single" w:color="000000" w:sz="2" w:space="0"/>
              <w:right w:val="single" w:color="000000" w:sz="2" w:space="0"/>
            </w:tcBorders>
            <w:vAlign w:val="center"/>
          </w:tcPr>
          <w:p w14:paraId="41A3A2EC">
            <w:pPr>
              <w:ind w:left="196"/>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基础性指标</w:t>
            </w:r>
          </w:p>
        </w:tc>
        <w:tc>
          <w:tcPr>
            <w:tcW w:w="1046" w:type="dxa"/>
            <w:tcBorders>
              <w:top w:val="single" w:color="000000" w:sz="2" w:space="0"/>
              <w:left w:val="single" w:color="000000" w:sz="2" w:space="0"/>
              <w:bottom w:val="single" w:color="000000" w:sz="2" w:space="0"/>
              <w:right w:val="single" w:color="000000" w:sz="2" w:space="0"/>
            </w:tcBorders>
          </w:tcPr>
          <w:p w14:paraId="3DAE1834">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vAlign w:val="center"/>
          </w:tcPr>
          <w:p w14:paraId="5AE36A97">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课时量</w:t>
            </w:r>
          </w:p>
        </w:tc>
        <w:tc>
          <w:tcPr>
            <w:tcW w:w="634" w:type="dxa"/>
            <w:tcBorders>
              <w:top w:val="single" w:color="000000" w:sz="2" w:space="0"/>
              <w:left w:val="single" w:color="000000" w:sz="2" w:space="0"/>
              <w:bottom w:val="single" w:color="000000" w:sz="2" w:space="0"/>
              <w:right w:val="single" w:color="000000" w:sz="2" w:space="0"/>
            </w:tcBorders>
            <w:vAlign w:val="center"/>
          </w:tcPr>
          <w:p w14:paraId="617D0BAE">
            <w:pPr>
              <w:ind w:left="7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 xml:space="preserve">15 </w:t>
            </w:r>
          </w:p>
        </w:tc>
        <w:tc>
          <w:tcPr>
            <w:tcW w:w="2307" w:type="dxa"/>
            <w:tcBorders>
              <w:top w:val="single" w:color="000000" w:sz="2" w:space="0"/>
              <w:left w:val="single" w:color="000000" w:sz="2" w:space="0"/>
              <w:bottom w:val="single" w:color="000000" w:sz="2" w:space="0"/>
              <w:right w:val="single" w:color="000000" w:sz="2" w:space="0"/>
            </w:tcBorders>
            <w:vAlign w:val="center"/>
          </w:tcPr>
          <w:p w14:paraId="1535F079">
            <w:pPr>
              <w:ind w:left="1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根据课程标准和实际兼课情况计分。</w:t>
            </w:r>
          </w:p>
        </w:tc>
        <w:tc>
          <w:tcPr>
            <w:tcW w:w="683" w:type="dxa"/>
            <w:tcBorders>
              <w:top w:val="single" w:color="000000" w:sz="2" w:space="0"/>
              <w:left w:val="single" w:color="000000" w:sz="2" w:space="0"/>
              <w:bottom w:val="single" w:color="000000" w:sz="2" w:space="0"/>
              <w:right w:val="single" w:color="000000" w:sz="2" w:space="0"/>
            </w:tcBorders>
            <w:vAlign w:val="center"/>
          </w:tcPr>
          <w:p w14:paraId="515718C3">
            <w:pPr>
              <w:ind w:left="12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15</w:t>
            </w:r>
          </w:p>
        </w:tc>
        <w:tc>
          <w:tcPr>
            <w:tcW w:w="2397" w:type="dxa"/>
            <w:tcBorders>
              <w:top w:val="single" w:color="000000" w:sz="2" w:space="0"/>
              <w:left w:val="single" w:color="000000" w:sz="2" w:space="0"/>
              <w:bottom w:val="single" w:color="000000" w:sz="2" w:space="0"/>
              <w:right w:val="single" w:color="000000" w:sz="2" w:space="0"/>
            </w:tcBorders>
          </w:tcPr>
          <w:p w14:paraId="155DE3A2">
            <w:pPr>
              <w:ind w:left="115" w:right="7" w:hanging="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课时量分值：教师个人实际课时量/每周最低课时量8或6课时× 15分。</w:t>
            </w:r>
          </w:p>
        </w:tc>
      </w:tr>
      <w:tr w14:paraId="3C9B2F26">
        <w:tblPrEx>
          <w:tblCellMar>
            <w:top w:w="51" w:type="dxa"/>
            <w:left w:w="0" w:type="dxa"/>
            <w:bottom w:w="5" w:type="dxa"/>
            <w:right w:w="110" w:type="dxa"/>
          </w:tblCellMar>
        </w:tblPrEx>
        <w:trPr>
          <w:trHeight w:val="1258" w:hRule="atLeast"/>
        </w:trPr>
        <w:tc>
          <w:tcPr>
            <w:tcW w:w="509" w:type="dxa"/>
            <w:vMerge w:val="continue"/>
            <w:tcBorders>
              <w:top w:val="nil"/>
              <w:left w:val="single" w:color="000000" w:sz="2" w:space="0"/>
              <w:bottom w:val="nil"/>
              <w:right w:val="single" w:color="000000" w:sz="2" w:space="0"/>
            </w:tcBorders>
          </w:tcPr>
          <w:p w14:paraId="6A84E314">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nil"/>
              <w:right w:val="single" w:color="000000" w:sz="2" w:space="0"/>
            </w:tcBorders>
          </w:tcPr>
          <w:p w14:paraId="07087486">
            <w:pPr>
              <w:jc w:val="left"/>
              <w:rPr>
                <w:rFonts w:hint="eastAsia" w:ascii="仿宋_GB2312" w:eastAsia="仿宋_GB2312"/>
                <w:color w:val="000000" w:themeColor="text1"/>
                <w:szCs w:val="21"/>
                <w14:textFill>
                  <w14:solidFill>
                    <w14:schemeClr w14:val="tx1"/>
                  </w14:solidFill>
                </w14:textFill>
              </w:rPr>
            </w:pPr>
          </w:p>
        </w:tc>
        <w:tc>
          <w:tcPr>
            <w:tcW w:w="1046" w:type="dxa"/>
            <w:tcBorders>
              <w:top w:val="single" w:color="000000" w:sz="2" w:space="0"/>
              <w:left w:val="single" w:color="000000" w:sz="2" w:space="0"/>
              <w:bottom w:val="single" w:color="000000" w:sz="2" w:space="0"/>
              <w:right w:val="single" w:color="000000" w:sz="2" w:space="0"/>
            </w:tcBorders>
          </w:tcPr>
          <w:p w14:paraId="6A6AEEA0">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vAlign w:val="center"/>
          </w:tcPr>
          <w:p w14:paraId="235167F0">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工作量</w:t>
            </w:r>
          </w:p>
        </w:tc>
        <w:tc>
          <w:tcPr>
            <w:tcW w:w="634" w:type="dxa"/>
            <w:tcBorders>
              <w:top w:val="single" w:color="000000" w:sz="2" w:space="0"/>
              <w:left w:val="single" w:color="000000" w:sz="2" w:space="0"/>
              <w:bottom w:val="single" w:color="000000" w:sz="2" w:space="0"/>
              <w:right w:val="single" w:color="000000" w:sz="2" w:space="0"/>
            </w:tcBorders>
            <w:vAlign w:val="center"/>
          </w:tcPr>
          <w:p w14:paraId="050D26AD">
            <w:pPr>
              <w:ind w:left="81"/>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w:t>
            </w:r>
            <w:r>
              <w:rPr>
                <w:rFonts w:ascii="仿宋_GB2312" w:hAnsi="微软雅黑" w:eastAsia="仿宋_GB2312" w:cs="微软雅黑"/>
                <w:color w:val="000000" w:themeColor="text1"/>
                <w:szCs w:val="21"/>
                <w14:textFill>
                  <w14:solidFill>
                    <w14:schemeClr w14:val="tx1"/>
                  </w14:solidFill>
                </w14:textFill>
              </w:rPr>
              <w:t>0</w:t>
            </w:r>
            <w:r>
              <w:rPr>
                <w:rFonts w:hint="eastAsia" w:ascii="仿宋_GB2312" w:hAnsi="微软雅黑" w:eastAsia="仿宋_GB2312" w:cs="微软雅黑"/>
                <w:color w:val="000000" w:themeColor="text1"/>
                <w:szCs w:val="21"/>
                <w14:textFill>
                  <w14:solidFill>
                    <w14:schemeClr w14:val="tx1"/>
                  </w14:solidFill>
                </w14:textFill>
              </w:rPr>
              <w:t xml:space="preserve"> </w:t>
            </w:r>
          </w:p>
        </w:tc>
        <w:tc>
          <w:tcPr>
            <w:tcW w:w="2307" w:type="dxa"/>
            <w:tcBorders>
              <w:top w:val="single" w:color="000000" w:sz="2" w:space="0"/>
              <w:left w:val="single" w:color="000000" w:sz="2" w:space="0"/>
              <w:bottom w:val="single" w:color="000000" w:sz="2" w:space="0"/>
              <w:right w:val="single" w:color="000000" w:sz="2" w:space="0"/>
            </w:tcBorders>
          </w:tcPr>
          <w:p w14:paraId="64916F12">
            <w:pPr>
              <w:ind w:left="110" w:right="163"/>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根据学校规定的标准工作量及行政管理人员担任管理工作情况权衡计分。</w:t>
            </w:r>
          </w:p>
        </w:tc>
        <w:tc>
          <w:tcPr>
            <w:tcW w:w="683" w:type="dxa"/>
            <w:tcBorders>
              <w:top w:val="single" w:color="000000" w:sz="2" w:space="0"/>
              <w:left w:val="single" w:color="000000" w:sz="2" w:space="0"/>
              <w:bottom w:val="single" w:color="000000" w:sz="2" w:space="0"/>
              <w:right w:val="single" w:color="000000" w:sz="2" w:space="0"/>
            </w:tcBorders>
            <w:vAlign w:val="center"/>
          </w:tcPr>
          <w:p w14:paraId="3A5EF688">
            <w:pPr>
              <w:ind w:left="12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w:t>
            </w:r>
            <w:r>
              <w:rPr>
                <w:rFonts w:ascii="仿宋_GB2312" w:hAnsi="微软雅黑" w:eastAsia="仿宋_GB2312" w:cs="微软雅黑"/>
                <w:color w:val="000000" w:themeColor="text1"/>
                <w:szCs w:val="21"/>
                <w14:textFill>
                  <w14:solidFill>
                    <w14:schemeClr w14:val="tx1"/>
                  </w14:solidFill>
                </w14:textFill>
              </w:rPr>
              <w:t>0</w:t>
            </w:r>
          </w:p>
        </w:tc>
        <w:tc>
          <w:tcPr>
            <w:tcW w:w="2397" w:type="dxa"/>
            <w:tcBorders>
              <w:top w:val="single" w:color="000000" w:sz="2" w:space="0"/>
              <w:left w:val="single" w:color="000000" w:sz="2" w:space="0"/>
              <w:bottom w:val="single" w:color="000000" w:sz="2" w:space="0"/>
              <w:right w:val="single" w:color="000000" w:sz="2" w:space="0"/>
            </w:tcBorders>
            <w:vAlign w:val="center"/>
          </w:tcPr>
          <w:p w14:paraId="682495F2">
            <w:pPr>
              <w:ind w:left="124" w:hanging="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工作量分值：学校认定的教师个人实际工作量/1</w:t>
            </w:r>
            <w:r>
              <w:rPr>
                <w:rFonts w:ascii="仿宋_GB2312" w:hAnsi="微软雅黑" w:eastAsia="仿宋_GB2312" w:cs="微软雅黑"/>
                <w:color w:val="000000" w:themeColor="text1"/>
                <w:szCs w:val="21"/>
                <w14:textFill>
                  <w14:solidFill>
                    <w14:schemeClr w14:val="tx1"/>
                  </w14:solidFill>
                </w14:textFill>
              </w:rPr>
              <w:t>2</w:t>
            </w:r>
            <w:r>
              <w:rPr>
                <w:rFonts w:hint="eastAsia" w:ascii="仿宋_GB2312" w:hAnsi="微软雅黑" w:eastAsia="仿宋_GB2312" w:cs="微软雅黑"/>
                <w:color w:val="000000" w:themeColor="text1"/>
                <w:szCs w:val="21"/>
                <w14:textFill>
                  <w14:solidFill>
                    <w14:schemeClr w14:val="tx1"/>
                  </w14:solidFill>
                </w14:textFill>
              </w:rPr>
              <w:t>的标准工作量×</w:t>
            </w:r>
          </w:p>
          <w:p w14:paraId="5E995D3F">
            <w:pPr>
              <w:ind w:left="12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w:t>
            </w:r>
            <w:r>
              <w:rPr>
                <w:rFonts w:ascii="仿宋_GB2312" w:hAnsi="微软雅黑" w:eastAsia="仿宋_GB2312" w:cs="微软雅黑"/>
                <w:color w:val="000000" w:themeColor="text1"/>
                <w:szCs w:val="21"/>
                <w14:textFill>
                  <w14:solidFill>
                    <w14:schemeClr w14:val="tx1"/>
                  </w14:solidFill>
                </w14:textFill>
              </w:rPr>
              <w:t>0</w:t>
            </w:r>
            <w:r>
              <w:rPr>
                <w:rFonts w:hint="eastAsia" w:ascii="仿宋_GB2312" w:hAnsi="微软雅黑" w:eastAsia="仿宋_GB2312" w:cs="微软雅黑"/>
                <w:color w:val="000000" w:themeColor="text1"/>
                <w:szCs w:val="21"/>
                <w14:textFill>
                  <w14:solidFill>
                    <w14:schemeClr w14:val="tx1"/>
                  </w14:solidFill>
                </w14:textFill>
              </w:rPr>
              <w:t>分。</w:t>
            </w:r>
          </w:p>
        </w:tc>
      </w:tr>
      <w:tr w14:paraId="1999FC1B">
        <w:tblPrEx>
          <w:tblCellMar>
            <w:top w:w="51" w:type="dxa"/>
            <w:left w:w="0" w:type="dxa"/>
            <w:bottom w:w="5" w:type="dxa"/>
            <w:right w:w="110" w:type="dxa"/>
          </w:tblCellMar>
        </w:tblPrEx>
        <w:trPr>
          <w:trHeight w:val="951" w:hRule="atLeast"/>
        </w:trPr>
        <w:tc>
          <w:tcPr>
            <w:tcW w:w="509" w:type="dxa"/>
            <w:vMerge w:val="continue"/>
            <w:tcBorders>
              <w:top w:val="nil"/>
              <w:left w:val="single" w:color="000000" w:sz="2" w:space="0"/>
              <w:bottom w:val="nil"/>
              <w:right w:val="single" w:color="000000" w:sz="2" w:space="0"/>
            </w:tcBorders>
          </w:tcPr>
          <w:p w14:paraId="286CA8E9">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nil"/>
              <w:right w:val="single" w:color="000000" w:sz="2" w:space="0"/>
            </w:tcBorders>
          </w:tcPr>
          <w:p w14:paraId="6B98BFE5">
            <w:pPr>
              <w:jc w:val="left"/>
              <w:rPr>
                <w:rFonts w:hint="eastAsia" w:ascii="仿宋_GB2312" w:eastAsia="仿宋_GB2312"/>
                <w:color w:val="000000" w:themeColor="text1"/>
                <w:szCs w:val="21"/>
                <w14:textFill>
                  <w14:solidFill>
                    <w14:schemeClr w14:val="tx1"/>
                  </w14:solidFill>
                </w14:textFill>
              </w:rPr>
            </w:pPr>
          </w:p>
        </w:tc>
        <w:tc>
          <w:tcPr>
            <w:tcW w:w="1046" w:type="dxa"/>
            <w:tcBorders>
              <w:top w:val="single" w:color="000000" w:sz="2" w:space="0"/>
              <w:left w:val="single" w:color="000000" w:sz="2" w:space="0"/>
              <w:bottom w:val="single" w:color="000000" w:sz="2" w:space="0"/>
              <w:right w:val="single" w:color="000000" w:sz="2" w:space="0"/>
            </w:tcBorders>
          </w:tcPr>
          <w:p w14:paraId="5E069872">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vAlign w:val="center"/>
          </w:tcPr>
          <w:p w14:paraId="3E1328C1">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出勤</w:t>
            </w:r>
          </w:p>
        </w:tc>
        <w:tc>
          <w:tcPr>
            <w:tcW w:w="634" w:type="dxa"/>
            <w:tcBorders>
              <w:top w:val="single" w:color="000000" w:sz="2" w:space="0"/>
              <w:left w:val="single" w:color="000000" w:sz="2" w:space="0"/>
              <w:bottom w:val="single" w:color="000000" w:sz="2" w:space="0"/>
              <w:right w:val="single" w:color="000000" w:sz="2" w:space="0"/>
            </w:tcBorders>
          </w:tcPr>
          <w:p w14:paraId="000F37B4">
            <w:pPr>
              <w:jc w:val="left"/>
              <w:rPr>
                <w:rFonts w:hint="eastAsia" w:ascii="仿宋_GB2312" w:eastAsia="仿宋_GB2312"/>
                <w:color w:val="000000" w:themeColor="text1"/>
                <w:szCs w:val="21"/>
                <w14:textFill>
                  <w14:solidFill>
                    <w14:schemeClr w14:val="tx1"/>
                  </w14:solidFill>
                </w14:textFill>
              </w:rPr>
            </w:pPr>
          </w:p>
          <w:p w14:paraId="62D8A1B8">
            <w:pPr>
              <w:ind w:firstLine="210" w:firstLineChars="100"/>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5</w:t>
            </w:r>
          </w:p>
          <w:p w14:paraId="2BC10BEE">
            <w:pPr>
              <w:jc w:val="left"/>
              <w:rPr>
                <w:rFonts w:hint="eastAsia" w:ascii="仿宋_GB2312" w:eastAsia="仿宋_GB2312"/>
                <w:color w:val="000000" w:themeColor="text1"/>
                <w:szCs w:val="21"/>
                <w14:textFill>
                  <w14:solidFill>
                    <w14:schemeClr w14:val="tx1"/>
                  </w14:solidFill>
                </w14:textFill>
              </w:rPr>
            </w:pPr>
          </w:p>
        </w:tc>
        <w:tc>
          <w:tcPr>
            <w:tcW w:w="2307" w:type="dxa"/>
            <w:tcBorders>
              <w:top w:val="single" w:color="000000" w:sz="2" w:space="0"/>
              <w:left w:val="single" w:color="000000" w:sz="2" w:space="0"/>
              <w:bottom w:val="single" w:color="000000" w:sz="2" w:space="0"/>
              <w:right w:val="single" w:color="000000" w:sz="2" w:space="0"/>
            </w:tcBorders>
          </w:tcPr>
          <w:p w14:paraId="27F362C8">
            <w:pPr>
              <w:ind w:left="110" w:right="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遵守学校考勤制度，严格请销假制度，无迟到、早退、旷课、旷工现象。</w:t>
            </w:r>
          </w:p>
        </w:tc>
        <w:tc>
          <w:tcPr>
            <w:tcW w:w="683" w:type="dxa"/>
            <w:tcBorders>
              <w:top w:val="single" w:color="000000" w:sz="2" w:space="0"/>
              <w:left w:val="single" w:color="000000" w:sz="2" w:space="0"/>
              <w:bottom w:val="single" w:color="000000" w:sz="2" w:space="0"/>
              <w:right w:val="single" w:color="000000" w:sz="2" w:space="0"/>
            </w:tcBorders>
            <w:vAlign w:val="center"/>
          </w:tcPr>
          <w:p w14:paraId="3F216AC6">
            <w:pPr>
              <w:ind w:left="16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5</w:t>
            </w:r>
          </w:p>
        </w:tc>
        <w:tc>
          <w:tcPr>
            <w:tcW w:w="2397" w:type="dxa"/>
            <w:tcBorders>
              <w:top w:val="single" w:color="000000" w:sz="2" w:space="0"/>
              <w:left w:val="single" w:color="000000" w:sz="2" w:space="0"/>
              <w:bottom w:val="single" w:color="000000" w:sz="2" w:space="0"/>
              <w:right w:val="single" w:color="000000" w:sz="2" w:space="0"/>
            </w:tcBorders>
            <w:vAlign w:val="center"/>
          </w:tcPr>
          <w:p w14:paraId="0009F8CA">
            <w:pPr>
              <w:ind w:left="11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参照附件1学校考勤制度确定。</w:t>
            </w:r>
          </w:p>
        </w:tc>
      </w:tr>
      <w:tr w14:paraId="56C0AC64">
        <w:tblPrEx>
          <w:tblCellMar>
            <w:top w:w="51" w:type="dxa"/>
            <w:left w:w="0" w:type="dxa"/>
            <w:bottom w:w="5" w:type="dxa"/>
            <w:right w:w="110" w:type="dxa"/>
          </w:tblCellMar>
        </w:tblPrEx>
        <w:trPr>
          <w:trHeight w:val="1575" w:hRule="atLeast"/>
        </w:trPr>
        <w:tc>
          <w:tcPr>
            <w:tcW w:w="509" w:type="dxa"/>
            <w:vMerge w:val="continue"/>
            <w:tcBorders>
              <w:top w:val="nil"/>
              <w:left w:val="single" w:color="000000" w:sz="2" w:space="0"/>
              <w:bottom w:val="nil"/>
              <w:right w:val="single" w:color="000000" w:sz="2" w:space="0"/>
            </w:tcBorders>
          </w:tcPr>
          <w:p w14:paraId="43695D6B">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3C31AF8D">
            <w:pPr>
              <w:jc w:val="left"/>
              <w:rPr>
                <w:rFonts w:hint="eastAsia" w:ascii="仿宋_GB2312" w:eastAsia="仿宋_GB2312"/>
                <w:color w:val="000000" w:themeColor="text1"/>
                <w:szCs w:val="21"/>
                <w14:textFill>
                  <w14:solidFill>
                    <w14:schemeClr w14:val="tx1"/>
                  </w14:solidFill>
                </w14:textFill>
              </w:rPr>
            </w:pPr>
          </w:p>
        </w:tc>
        <w:tc>
          <w:tcPr>
            <w:tcW w:w="1046" w:type="dxa"/>
            <w:tcBorders>
              <w:top w:val="single" w:color="000000" w:sz="2" w:space="0"/>
              <w:left w:val="single" w:color="000000" w:sz="2" w:space="0"/>
              <w:bottom w:val="single" w:color="000000" w:sz="2" w:space="0"/>
              <w:right w:val="single" w:color="000000" w:sz="2" w:space="0"/>
            </w:tcBorders>
          </w:tcPr>
          <w:p w14:paraId="59288824">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vAlign w:val="center"/>
          </w:tcPr>
          <w:p w14:paraId="02FBB7B5">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教学常规</w:t>
            </w:r>
          </w:p>
        </w:tc>
        <w:tc>
          <w:tcPr>
            <w:tcW w:w="634" w:type="dxa"/>
            <w:tcBorders>
              <w:top w:val="single" w:color="000000" w:sz="2" w:space="0"/>
              <w:left w:val="single" w:color="000000" w:sz="2" w:space="0"/>
              <w:bottom w:val="single" w:color="000000" w:sz="2" w:space="0"/>
              <w:right w:val="single" w:color="000000" w:sz="2" w:space="0"/>
            </w:tcBorders>
          </w:tcPr>
          <w:p w14:paraId="0DC33A14">
            <w:pPr>
              <w:jc w:val="left"/>
              <w:rPr>
                <w:rFonts w:hint="eastAsia" w:ascii="仿宋_GB2312" w:eastAsia="仿宋_GB2312"/>
                <w:color w:val="000000" w:themeColor="text1"/>
                <w:szCs w:val="21"/>
                <w14:textFill>
                  <w14:solidFill>
                    <w14:schemeClr w14:val="tx1"/>
                  </w14:solidFill>
                </w14:textFill>
              </w:rPr>
            </w:pPr>
          </w:p>
          <w:p w14:paraId="1597C1E6">
            <w:pPr>
              <w:jc w:val="left"/>
              <w:rPr>
                <w:rFonts w:hint="eastAsia" w:ascii="仿宋_GB2312" w:eastAsia="仿宋_GB2312"/>
                <w:color w:val="000000" w:themeColor="text1"/>
                <w:szCs w:val="21"/>
                <w14:textFill>
                  <w14:solidFill>
                    <w14:schemeClr w14:val="tx1"/>
                  </w14:solidFill>
                </w14:textFill>
              </w:rPr>
            </w:pPr>
          </w:p>
          <w:p w14:paraId="79F65A9C">
            <w:pPr>
              <w:ind w:firstLine="210" w:firstLineChars="100"/>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w:t>
            </w:r>
          </w:p>
        </w:tc>
        <w:tc>
          <w:tcPr>
            <w:tcW w:w="2307" w:type="dxa"/>
            <w:tcBorders>
              <w:top w:val="single" w:color="000000" w:sz="2" w:space="0"/>
              <w:left w:val="single" w:color="000000" w:sz="2" w:space="0"/>
              <w:bottom w:val="single" w:color="000000" w:sz="2" w:space="0"/>
              <w:right w:val="single" w:color="000000" w:sz="2" w:space="0"/>
            </w:tcBorders>
          </w:tcPr>
          <w:p w14:paraId="7AFF0C81">
            <w:pPr>
              <w:ind w:left="110" w:right="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根据备课、上课、作业布置与批改、听评课、辅导学生、思想政治教育工作、教学行为规范等教学常规落实情况量化计分。</w:t>
            </w:r>
          </w:p>
        </w:tc>
        <w:tc>
          <w:tcPr>
            <w:tcW w:w="683" w:type="dxa"/>
            <w:tcBorders>
              <w:top w:val="single" w:color="000000" w:sz="2" w:space="0"/>
              <w:left w:val="single" w:color="000000" w:sz="2" w:space="0"/>
              <w:bottom w:val="single" w:color="000000" w:sz="2" w:space="0"/>
              <w:right w:val="single" w:color="000000" w:sz="2" w:space="0"/>
            </w:tcBorders>
            <w:vAlign w:val="center"/>
          </w:tcPr>
          <w:p w14:paraId="258F9831">
            <w:pPr>
              <w:ind w:left="16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3</w:t>
            </w:r>
          </w:p>
        </w:tc>
        <w:tc>
          <w:tcPr>
            <w:tcW w:w="2397" w:type="dxa"/>
            <w:tcBorders>
              <w:top w:val="single" w:color="000000" w:sz="2" w:space="0"/>
              <w:left w:val="single" w:color="000000" w:sz="2" w:space="0"/>
              <w:bottom w:val="single" w:color="000000" w:sz="2" w:space="0"/>
              <w:right w:val="single" w:color="000000" w:sz="2" w:space="0"/>
            </w:tcBorders>
            <w:vAlign w:val="center"/>
          </w:tcPr>
          <w:p w14:paraId="10CE55DD">
            <w:pPr>
              <w:ind w:left="119" w:firstLine="19"/>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参照附件2课堂教学确定</w:t>
            </w:r>
          </w:p>
        </w:tc>
      </w:tr>
      <w:tr w14:paraId="70E3AE1B">
        <w:tblPrEx>
          <w:tblCellMar>
            <w:top w:w="51" w:type="dxa"/>
            <w:left w:w="0" w:type="dxa"/>
            <w:bottom w:w="5" w:type="dxa"/>
            <w:right w:w="110" w:type="dxa"/>
          </w:tblCellMar>
        </w:tblPrEx>
        <w:trPr>
          <w:trHeight w:val="1235" w:hRule="atLeast"/>
        </w:trPr>
        <w:tc>
          <w:tcPr>
            <w:tcW w:w="509" w:type="dxa"/>
            <w:vMerge w:val="continue"/>
            <w:tcBorders>
              <w:top w:val="nil"/>
              <w:left w:val="single" w:color="000000" w:sz="2" w:space="0"/>
              <w:bottom w:val="nil"/>
              <w:right w:val="single" w:color="000000" w:sz="2" w:space="0"/>
            </w:tcBorders>
          </w:tcPr>
          <w:p w14:paraId="38A25F81">
            <w:pPr>
              <w:jc w:val="left"/>
              <w:rPr>
                <w:rFonts w:hint="eastAsia" w:ascii="仿宋_GB2312" w:eastAsia="仿宋_GB2312"/>
                <w:color w:val="000000" w:themeColor="text1"/>
                <w:szCs w:val="21"/>
                <w14:textFill>
                  <w14:solidFill>
                    <w14:schemeClr w14:val="tx1"/>
                  </w14:solidFill>
                </w14:textFill>
              </w:rPr>
            </w:pPr>
          </w:p>
        </w:tc>
        <w:tc>
          <w:tcPr>
            <w:tcW w:w="728" w:type="dxa"/>
            <w:vMerge w:val="restart"/>
            <w:tcBorders>
              <w:top w:val="single" w:color="000000" w:sz="2" w:space="0"/>
              <w:left w:val="single" w:color="000000" w:sz="2" w:space="0"/>
              <w:bottom w:val="single" w:color="000000" w:sz="2" w:space="0"/>
              <w:right w:val="single" w:color="000000" w:sz="2" w:space="0"/>
            </w:tcBorders>
            <w:vAlign w:val="center"/>
          </w:tcPr>
          <w:p w14:paraId="4836B646">
            <w:pPr>
              <w:ind w:left="10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发展性目标</w:t>
            </w:r>
          </w:p>
        </w:tc>
        <w:tc>
          <w:tcPr>
            <w:tcW w:w="1046" w:type="dxa"/>
            <w:tcBorders>
              <w:top w:val="single" w:color="000000" w:sz="2" w:space="0"/>
              <w:left w:val="single" w:color="000000" w:sz="2" w:space="0"/>
              <w:bottom w:val="single" w:color="000000" w:sz="2" w:space="0"/>
              <w:right w:val="single" w:color="000000" w:sz="2" w:space="0"/>
            </w:tcBorders>
          </w:tcPr>
          <w:p w14:paraId="75FB702C">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tcPr>
          <w:p w14:paraId="4A0B3288">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业务素养</w:t>
            </w:r>
          </w:p>
        </w:tc>
        <w:tc>
          <w:tcPr>
            <w:tcW w:w="634" w:type="dxa"/>
            <w:tcBorders>
              <w:top w:val="single" w:color="000000" w:sz="2" w:space="0"/>
              <w:left w:val="single" w:color="000000" w:sz="2" w:space="0"/>
              <w:bottom w:val="single" w:color="000000" w:sz="2" w:space="0"/>
              <w:right w:val="single" w:color="000000" w:sz="2" w:space="0"/>
            </w:tcBorders>
          </w:tcPr>
          <w:p w14:paraId="2A9E70A3">
            <w:pPr>
              <w:jc w:val="left"/>
              <w:rPr>
                <w:rFonts w:hint="eastAsia" w:ascii="仿宋_GB2312" w:eastAsia="仿宋_GB2312"/>
                <w:color w:val="000000" w:themeColor="text1"/>
                <w:szCs w:val="21"/>
                <w14:textFill>
                  <w14:solidFill>
                    <w14:schemeClr w14:val="tx1"/>
                  </w14:solidFill>
                </w14:textFill>
              </w:rPr>
            </w:pPr>
          </w:p>
          <w:p w14:paraId="7B0DA61C">
            <w:pPr>
              <w:ind w:firstLine="210" w:firstLineChars="100"/>
              <w:jc w:val="left"/>
              <w:rPr>
                <w:rFonts w:hint="eastAsia" w:ascii="仿宋_GB2312" w:eastAsia="仿宋_GB2312"/>
                <w:color w:val="000000" w:themeColor="text1"/>
                <w:szCs w:val="21"/>
                <w14:textFill>
                  <w14:solidFill>
                    <w14:schemeClr w14:val="tx1"/>
                  </w14:solidFill>
                </w14:textFill>
              </w:rPr>
            </w:pPr>
          </w:p>
          <w:p w14:paraId="1B53DFE7">
            <w:pPr>
              <w:ind w:firstLine="210" w:firstLineChars="100"/>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7</w:t>
            </w:r>
          </w:p>
        </w:tc>
        <w:tc>
          <w:tcPr>
            <w:tcW w:w="2307" w:type="dxa"/>
            <w:tcBorders>
              <w:top w:val="single" w:color="000000" w:sz="2" w:space="0"/>
              <w:left w:val="single" w:color="000000" w:sz="2" w:space="0"/>
              <w:bottom w:val="single" w:color="000000" w:sz="2" w:space="0"/>
              <w:right w:val="single" w:color="000000" w:sz="2" w:space="0"/>
            </w:tcBorders>
            <w:vAlign w:val="center"/>
          </w:tcPr>
          <w:p w14:paraId="7BC16DB7">
            <w:pPr>
              <w:ind w:left="11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根据行政管理人员获得校级及以上奖励情况计分。</w:t>
            </w:r>
          </w:p>
        </w:tc>
        <w:tc>
          <w:tcPr>
            <w:tcW w:w="683" w:type="dxa"/>
            <w:tcBorders>
              <w:top w:val="single" w:color="000000" w:sz="2" w:space="0"/>
              <w:left w:val="single" w:color="000000" w:sz="2" w:space="0"/>
              <w:bottom w:val="single" w:color="000000" w:sz="2" w:space="0"/>
              <w:right w:val="single" w:color="000000" w:sz="2" w:space="0"/>
            </w:tcBorders>
            <w:vAlign w:val="center"/>
          </w:tcPr>
          <w:p w14:paraId="469B0CA7">
            <w:pPr>
              <w:ind w:left="163"/>
              <w:jc w:val="left"/>
              <w:rPr>
                <w:rFonts w:hint="eastAsia" w:ascii="仿宋_GB2312" w:eastAsia="仿宋_GB2312"/>
                <w:color w:val="000000" w:themeColor="text1"/>
                <w:szCs w:val="21"/>
                <w14:textFill>
                  <w14:solidFill>
                    <w14:schemeClr w14:val="tx1"/>
                  </w14:solidFill>
                </w14:textFill>
              </w:rPr>
            </w:pPr>
            <w:r>
              <w:rPr>
                <w:rFonts w:ascii="仿宋_GB2312" w:hAnsi="微软雅黑" w:eastAsia="仿宋_GB2312" w:cs="微软雅黑"/>
                <w:color w:val="000000" w:themeColor="text1"/>
                <w:szCs w:val="21"/>
                <w14:textFill>
                  <w14:solidFill>
                    <w14:schemeClr w14:val="tx1"/>
                  </w14:solidFill>
                </w14:textFill>
              </w:rPr>
              <w:t>7</w:t>
            </w:r>
          </w:p>
        </w:tc>
        <w:tc>
          <w:tcPr>
            <w:tcW w:w="2397" w:type="dxa"/>
            <w:tcBorders>
              <w:top w:val="single" w:color="000000" w:sz="2" w:space="0"/>
              <w:left w:val="single" w:color="000000" w:sz="2" w:space="0"/>
              <w:bottom w:val="single" w:color="000000" w:sz="2" w:space="0"/>
              <w:right w:val="single" w:color="000000" w:sz="2" w:space="0"/>
            </w:tcBorders>
            <w:vAlign w:val="center"/>
          </w:tcPr>
          <w:p w14:paraId="45413038">
            <w:pPr>
              <w:ind w:left="11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根据获得称号、奖励类型、级别等分别确定计分标准，分类计分。</w:t>
            </w:r>
          </w:p>
        </w:tc>
      </w:tr>
      <w:tr w14:paraId="10F27519">
        <w:tblPrEx>
          <w:tblCellMar>
            <w:top w:w="51" w:type="dxa"/>
            <w:left w:w="0" w:type="dxa"/>
            <w:bottom w:w="5" w:type="dxa"/>
            <w:right w:w="110" w:type="dxa"/>
          </w:tblCellMar>
        </w:tblPrEx>
        <w:trPr>
          <w:trHeight w:val="2171" w:hRule="atLeast"/>
        </w:trPr>
        <w:tc>
          <w:tcPr>
            <w:tcW w:w="509" w:type="dxa"/>
            <w:vMerge w:val="continue"/>
            <w:tcBorders>
              <w:top w:val="nil"/>
              <w:left w:val="single" w:color="000000" w:sz="2" w:space="0"/>
              <w:bottom w:val="single" w:color="000000" w:sz="2" w:space="0"/>
              <w:right w:val="single" w:color="000000" w:sz="2" w:space="0"/>
            </w:tcBorders>
          </w:tcPr>
          <w:p w14:paraId="699B32E0">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01FB98F7">
            <w:pPr>
              <w:jc w:val="left"/>
              <w:rPr>
                <w:rFonts w:hint="eastAsia" w:ascii="仿宋_GB2312" w:eastAsia="仿宋_GB2312"/>
                <w:color w:val="000000" w:themeColor="text1"/>
                <w:szCs w:val="21"/>
                <w14:textFill>
                  <w14:solidFill>
                    <w14:schemeClr w14:val="tx1"/>
                  </w14:solidFill>
                </w14:textFill>
              </w:rPr>
            </w:pPr>
          </w:p>
        </w:tc>
        <w:tc>
          <w:tcPr>
            <w:tcW w:w="1046" w:type="dxa"/>
            <w:tcBorders>
              <w:top w:val="single" w:color="000000" w:sz="2" w:space="0"/>
              <w:left w:val="single" w:color="000000" w:sz="2" w:space="0"/>
              <w:bottom w:val="single" w:color="000000" w:sz="2" w:space="0"/>
              <w:right w:val="single" w:color="000000" w:sz="2" w:space="0"/>
            </w:tcBorders>
          </w:tcPr>
          <w:p w14:paraId="2C27EA30">
            <w:pPr>
              <w:ind w:left="14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vAlign w:val="center"/>
          </w:tcPr>
          <w:p w14:paraId="124FFE99">
            <w:pPr>
              <w:ind w:left="14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专业发展</w:t>
            </w:r>
          </w:p>
        </w:tc>
        <w:tc>
          <w:tcPr>
            <w:tcW w:w="634" w:type="dxa"/>
            <w:tcBorders>
              <w:top w:val="single" w:color="000000" w:sz="2" w:space="0"/>
              <w:left w:val="single" w:color="000000" w:sz="2" w:space="0"/>
              <w:bottom w:val="single" w:color="000000" w:sz="2" w:space="0"/>
              <w:right w:val="single" w:color="000000" w:sz="2" w:space="0"/>
            </w:tcBorders>
          </w:tcPr>
          <w:p w14:paraId="21E6DED1">
            <w:pPr>
              <w:jc w:val="left"/>
              <w:rPr>
                <w:rFonts w:hint="eastAsia" w:ascii="仿宋_GB2312" w:eastAsia="仿宋_GB2312"/>
                <w:color w:val="000000" w:themeColor="text1"/>
                <w:szCs w:val="21"/>
                <w14:textFill>
                  <w14:solidFill>
                    <w14:schemeClr w14:val="tx1"/>
                  </w14:solidFill>
                </w14:textFill>
              </w:rPr>
            </w:pPr>
          </w:p>
          <w:p w14:paraId="30FECA59">
            <w:pPr>
              <w:jc w:val="left"/>
              <w:rPr>
                <w:rFonts w:hint="eastAsia" w:ascii="仿宋_GB2312" w:eastAsia="仿宋_GB2312"/>
                <w:color w:val="000000" w:themeColor="text1"/>
                <w:szCs w:val="21"/>
                <w14:textFill>
                  <w14:solidFill>
                    <w14:schemeClr w14:val="tx1"/>
                  </w14:solidFill>
                </w14:textFill>
              </w:rPr>
            </w:pPr>
          </w:p>
          <w:p w14:paraId="39A58AAE">
            <w:pPr>
              <w:jc w:val="left"/>
              <w:rPr>
                <w:rFonts w:hint="eastAsia" w:ascii="仿宋_GB2312" w:eastAsia="仿宋_GB2312"/>
                <w:color w:val="000000" w:themeColor="text1"/>
                <w:szCs w:val="21"/>
                <w14:textFill>
                  <w14:solidFill>
                    <w14:schemeClr w14:val="tx1"/>
                  </w14:solidFill>
                </w14:textFill>
              </w:rPr>
            </w:pPr>
          </w:p>
          <w:p w14:paraId="1EC60097">
            <w:pPr>
              <w:ind w:firstLine="210" w:firstLineChars="100"/>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5</w:t>
            </w:r>
          </w:p>
        </w:tc>
        <w:tc>
          <w:tcPr>
            <w:tcW w:w="2307" w:type="dxa"/>
            <w:tcBorders>
              <w:top w:val="single" w:color="000000" w:sz="2" w:space="0"/>
              <w:left w:val="single" w:color="000000" w:sz="2" w:space="0"/>
              <w:bottom w:val="single" w:color="000000" w:sz="2" w:space="0"/>
              <w:right w:val="single" w:color="000000" w:sz="2" w:space="0"/>
            </w:tcBorders>
          </w:tcPr>
          <w:p w14:paraId="2D11705B">
            <w:pPr>
              <w:ind w:left="110"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积极参加各类培训、测试、比武、进修、教科研、课程开发、教育改革活动，撰写教科研论文，开设公开课、讲座，开展师徒结对，完成年内继续教育任务。</w:t>
            </w:r>
          </w:p>
        </w:tc>
        <w:tc>
          <w:tcPr>
            <w:tcW w:w="683" w:type="dxa"/>
            <w:tcBorders>
              <w:top w:val="single" w:color="000000" w:sz="2" w:space="0"/>
              <w:left w:val="single" w:color="000000" w:sz="2" w:space="0"/>
              <w:bottom w:val="single" w:color="000000" w:sz="2" w:space="0"/>
              <w:right w:val="single" w:color="000000" w:sz="2" w:space="0"/>
            </w:tcBorders>
            <w:vAlign w:val="center"/>
          </w:tcPr>
          <w:p w14:paraId="11102230">
            <w:pPr>
              <w:ind w:left="173"/>
              <w:jc w:val="left"/>
              <w:rPr>
                <w:rFonts w:hint="eastAsia" w:ascii="仿宋_GB2312" w:eastAsia="仿宋_GB2312"/>
                <w:color w:val="000000" w:themeColor="text1"/>
                <w:szCs w:val="21"/>
                <w14:textFill>
                  <w14:solidFill>
                    <w14:schemeClr w14:val="tx1"/>
                  </w14:solidFill>
                </w14:textFill>
              </w:rPr>
            </w:pPr>
            <w:r>
              <w:rPr>
                <w:rFonts w:ascii="仿宋_GB2312" w:hAnsi="微软雅黑" w:eastAsia="仿宋_GB2312" w:cs="微软雅黑"/>
                <w:color w:val="000000" w:themeColor="text1"/>
                <w:szCs w:val="21"/>
                <w14:textFill>
                  <w14:solidFill>
                    <w14:schemeClr w14:val="tx1"/>
                  </w14:solidFill>
                </w14:textFill>
              </w:rPr>
              <w:t>5</w:t>
            </w:r>
          </w:p>
        </w:tc>
        <w:tc>
          <w:tcPr>
            <w:tcW w:w="2397" w:type="dxa"/>
            <w:tcBorders>
              <w:top w:val="single" w:color="000000" w:sz="2" w:space="0"/>
              <w:left w:val="single" w:color="000000" w:sz="2" w:space="0"/>
              <w:bottom w:val="single" w:color="000000" w:sz="2" w:space="0"/>
              <w:right w:val="single" w:color="000000" w:sz="2" w:space="0"/>
            </w:tcBorders>
            <w:vAlign w:val="center"/>
          </w:tcPr>
          <w:p w14:paraId="32FC37B9">
            <w:pPr>
              <w:ind w:left="124" w:firstLine="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参照附件</w:t>
            </w:r>
            <w:r>
              <w:rPr>
                <w:rFonts w:ascii="仿宋_GB2312" w:hAnsi="微软雅黑" w:eastAsia="仿宋_GB2312" w:cs="微软雅黑"/>
                <w:color w:val="000000" w:themeColor="text1"/>
                <w:szCs w:val="21"/>
                <w14:textFill>
                  <w14:solidFill>
                    <w14:schemeClr w14:val="tx1"/>
                  </w14:solidFill>
                </w14:textFill>
              </w:rPr>
              <w:t>4</w:t>
            </w:r>
            <w:r>
              <w:rPr>
                <w:rFonts w:hint="eastAsia" w:ascii="仿宋_GB2312" w:hAnsi="微软雅黑" w:eastAsia="仿宋_GB2312" w:cs="微软雅黑"/>
                <w:color w:val="000000" w:themeColor="text1"/>
                <w:szCs w:val="21"/>
                <w14:textFill>
                  <w14:solidFill>
                    <w14:schemeClr w14:val="tx1"/>
                  </w14:solidFill>
                </w14:textFill>
              </w:rPr>
              <w:t>专业发展确定</w:t>
            </w:r>
          </w:p>
        </w:tc>
      </w:tr>
      <w:tr w14:paraId="6BE61921">
        <w:tblPrEx>
          <w:tblCellMar>
            <w:top w:w="51" w:type="dxa"/>
            <w:left w:w="0" w:type="dxa"/>
            <w:bottom w:w="5" w:type="dxa"/>
            <w:right w:w="110" w:type="dxa"/>
          </w:tblCellMar>
        </w:tblPrEx>
        <w:trPr>
          <w:trHeight w:val="1277" w:hRule="atLeast"/>
        </w:trPr>
        <w:tc>
          <w:tcPr>
            <w:tcW w:w="509" w:type="dxa"/>
            <w:vMerge w:val="restart"/>
            <w:tcBorders>
              <w:top w:val="single" w:color="000000" w:sz="2" w:space="0"/>
              <w:left w:val="single" w:color="000000" w:sz="2" w:space="0"/>
              <w:bottom w:val="single" w:color="000000" w:sz="2" w:space="0"/>
              <w:right w:val="single" w:color="000000" w:sz="2" w:space="0"/>
            </w:tcBorders>
          </w:tcPr>
          <w:p w14:paraId="4082FF19">
            <w:pPr>
              <w:jc w:val="left"/>
              <w:rPr>
                <w:rFonts w:hint="eastAsia" w:ascii="仿宋_GB2312" w:eastAsia="仿宋_GB2312"/>
                <w:color w:val="000000" w:themeColor="text1"/>
                <w:szCs w:val="21"/>
                <w14:textFill>
                  <w14:solidFill>
                    <w14:schemeClr w14:val="tx1"/>
                  </w14:solidFill>
                </w14:textFill>
              </w:rPr>
            </w:pPr>
          </w:p>
        </w:tc>
        <w:tc>
          <w:tcPr>
            <w:tcW w:w="728" w:type="dxa"/>
            <w:vMerge w:val="restart"/>
            <w:tcBorders>
              <w:top w:val="single" w:color="000000" w:sz="2" w:space="0"/>
              <w:left w:val="single" w:color="000000" w:sz="2" w:space="0"/>
              <w:bottom w:val="single" w:color="000000" w:sz="2" w:space="0"/>
              <w:right w:val="single" w:color="000000" w:sz="2" w:space="0"/>
            </w:tcBorders>
            <w:vAlign w:val="bottom"/>
          </w:tcPr>
          <w:p w14:paraId="7C8132B4">
            <w:pPr>
              <w:jc w:val="center"/>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增值性指标</w:t>
            </w:r>
          </w:p>
        </w:tc>
        <w:tc>
          <w:tcPr>
            <w:tcW w:w="1046" w:type="dxa"/>
            <w:tcBorders>
              <w:top w:val="single" w:color="000000" w:sz="2" w:space="0"/>
              <w:left w:val="single" w:color="000000" w:sz="2" w:space="0"/>
              <w:bottom w:val="single" w:color="000000" w:sz="2" w:space="0"/>
              <w:right w:val="single" w:color="000000" w:sz="2" w:space="0"/>
            </w:tcBorders>
          </w:tcPr>
          <w:p w14:paraId="03830E51">
            <w:pPr>
              <w:ind w:left="58"/>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vMerge w:val="restart"/>
            <w:tcBorders>
              <w:top w:val="single" w:color="000000" w:sz="2" w:space="0"/>
              <w:left w:val="single" w:color="000000" w:sz="2" w:space="0"/>
              <w:bottom w:val="single" w:color="000000" w:sz="2" w:space="0"/>
              <w:right w:val="single" w:color="000000" w:sz="2" w:space="0"/>
            </w:tcBorders>
            <w:vAlign w:val="center"/>
          </w:tcPr>
          <w:p w14:paraId="55C8F4B1">
            <w:pPr>
              <w:ind w:left="58"/>
              <w:jc w:val="left"/>
              <w:rPr>
                <w:rFonts w:hint="eastAsia"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管理工作成效</w:t>
            </w:r>
          </w:p>
        </w:tc>
        <w:tc>
          <w:tcPr>
            <w:tcW w:w="634" w:type="dxa"/>
            <w:vMerge w:val="restart"/>
            <w:tcBorders>
              <w:top w:val="single" w:color="000000" w:sz="2" w:space="0"/>
              <w:left w:val="single" w:color="000000" w:sz="2" w:space="0"/>
              <w:bottom w:val="single" w:color="000000" w:sz="2" w:space="0"/>
              <w:right w:val="single" w:color="000000" w:sz="2" w:space="0"/>
            </w:tcBorders>
            <w:vAlign w:val="center"/>
          </w:tcPr>
          <w:p w14:paraId="19601E25">
            <w:pPr>
              <w:ind w:left="6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 xml:space="preserve">35 </w:t>
            </w:r>
          </w:p>
        </w:tc>
        <w:tc>
          <w:tcPr>
            <w:tcW w:w="2307" w:type="dxa"/>
            <w:tcBorders>
              <w:top w:val="single" w:color="000000" w:sz="2" w:space="0"/>
              <w:left w:val="single" w:color="000000" w:sz="2" w:space="0"/>
              <w:bottom w:val="single" w:color="000000" w:sz="2" w:space="0"/>
              <w:right w:val="single" w:color="000000" w:sz="2" w:space="0"/>
            </w:tcBorders>
          </w:tcPr>
          <w:p w14:paraId="17711DE0">
            <w:pPr>
              <w:ind w:left="3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岗位目标完成度</w:t>
            </w:r>
          </w:p>
        </w:tc>
        <w:tc>
          <w:tcPr>
            <w:tcW w:w="683" w:type="dxa"/>
            <w:tcBorders>
              <w:top w:val="single" w:color="000000" w:sz="2" w:space="0"/>
              <w:left w:val="single" w:color="000000" w:sz="2" w:space="0"/>
              <w:bottom w:val="single" w:color="000000" w:sz="2" w:space="0"/>
              <w:right w:val="single" w:color="000000" w:sz="2" w:space="0"/>
            </w:tcBorders>
            <w:vAlign w:val="center"/>
          </w:tcPr>
          <w:p w14:paraId="6993E933">
            <w:pPr>
              <w:ind w:left="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20</w:t>
            </w:r>
          </w:p>
        </w:tc>
        <w:tc>
          <w:tcPr>
            <w:tcW w:w="2397" w:type="dxa"/>
            <w:tcBorders>
              <w:top w:val="single" w:color="000000" w:sz="2" w:space="0"/>
              <w:left w:val="single" w:color="000000" w:sz="2" w:space="0"/>
              <w:bottom w:val="single" w:color="000000" w:sz="2" w:space="0"/>
              <w:right w:val="single" w:color="000000" w:sz="2" w:space="0"/>
            </w:tcBorders>
          </w:tcPr>
          <w:p w14:paraId="6A6626A9">
            <w:pPr>
              <w:ind w:right="42" w:firstLine="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学校根据处室特点确定管理岗位工作目标，岗位目标体现常规工作、创新工作和临时性工作。依据管理岗位目标落实和完成情况，分档计分。</w:t>
            </w:r>
          </w:p>
        </w:tc>
      </w:tr>
      <w:tr w14:paraId="056E9386">
        <w:tblPrEx>
          <w:tblCellMar>
            <w:top w:w="51" w:type="dxa"/>
            <w:left w:w="0" w:type="dxa"/>
            <w:bottom w:w="5" w:type="dxa"/>
            <w:right w:w="110" w:type="dxa"/>
          </w:tblCellMar>
        </w:tblPrEx>
        <w:trPr>
          <w:trHeight w:val="707" w:hRule="atLeast"/>
        </w:trPr>
        <w:tc>
          <w:tcPr>
            <w:tcW w:w="509" w:type="dxa"/>
            <w:vMerge w:val="continue"/>
            <w:tcBorders>
              <w:top w:val="nil"/>
              <w:left w:val="single" w:color="000000" w:sz="2" w:space="0"/>
              <w:bottom w:val="nil"/>
              <w:right w:val="single" w:color="000000" w:sz="2" w:space="0"/>
            </w:tcBorders>
          </w:tcPr>
          <w:p w14:paraId="755EEADD">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nil"/>
              <w:right w:val="single" w:color="000000" w:sz="2" w:space="0"/>
            </w:tcBorders>
          </w:tcPr>
          <w:p w14:paraId="5565256F">
            <w:pPr>
              <w:jc w:val="left"/>
              <w:rPr>
                <w:rFonts w:hint="eastAsia" w:ascii="仿宋_GB2312" w:eastAsia="仿宋_GB2312"/>
                <w:color w:val="000000" w:themeColor="text1"/>
                <w:szCs w:val="21"/>
                <w14:textFill>
                  <w14:solidFill>
                    <w14:schemeClr w14:val="tx1"/>
                  </w14:solidFill>
                </w14:textFill>
              </w:rPr>
            </w:pPr>
          </w:p>
        </w:tc>
        <w:tc>
          <w:tcPr>
            <w:tcW w:w="0" w:type="auto"/>
            <w:tcBorders>
              <w:top w:val="nil"/>
              <w:left w:val="single" w:color="000000" w:sz="2" w:space="0"/>
              <w:bottom w:val="single" w:color="000000" w:sz="2" w:space="0"/>
              <w:right w:val="single" w:color="000000" w:sz="2" w:space="0"/>
            </w:tcBorders>
          </w:tcPr>
          <w:p w14:paraId="2459E4A0">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27A484AD">
            <w:pPr>
              <w:jc w:val="left"/>
              <w:rPr>
                <w:rFonts w:hint="eastAsia" w:ascii="仿宋_GB2312" w:eastAsia="仿宋_GB2312"/>
                <w:color w:val="000000" w:themeColor="text1"/>
                <w:szCs w:val="21"/>
                <w14:textFill>
                  <w14:solidFill>
                    <w14:schemeClr w14:val="tx1"/>
                  </w14:solidFill>
                </w14:textFill>
              </w:rPr>
            </w:pPr>
          </w:p>
        </w:tc>
        <w:tc>
          <w:tcPr>
            <w:tcW w:w="634" w:type="dxa"/>
            <w:vMerge w:val="continue"/>
            <w:tcBorders>
              <w:top w:val="nil"/>
              <w:left w:val="single" w:color="000000" w:sz="2" w:space="0"/>
              <w:bottom w:val="single" w:color="000000" w:sz="2" w:space="0"/>
              <w:right w:val="single" w:color="000000" w:sz="2" w:space="0"/>
            </w:tcBorders>
          </w:tcPr>
          <w:p w14:paraId="6D829D50">
            <w:pPr>
              <w:jc w:val="left"/>
              <w:rPr>
                <w:rFonts w:hint="eastAsia" w:ascii="仿宋_GB2312" w:eastAsia="仿宋_GB2312"/>
                <w:color w:val="000000" w:themeColor="text1"/>
                <w:szCs w:val="21"/>
                <w14:textFill>
                  <w14:solidFill>
                    <w14:schemeClr w14:val="tx1"/>
                  </w14:solidFill>
                </w14:textFill>
              </w:rPr>
            </w:pPr>
          </w:p>
        </w:tc>
        <w:tc>
          <w:tcPr>
            <w:tcW w:w="2307" w:type="dxa"/>
            <w:tcBorders>
              <w:top w:val="single" w:color="000000" w:sz="2" w:space="0"/>
              <w:left w:val="single" w:color="000000" w:sz="2" w:space="0"/>
              <w:bottom w:val="single" w:color="000000" w:sz="2" w:space="0"/>
              <w:right w:val="single" w:color="000000" w:sz="2" w:space="0"/>
            </w:tcBorders>
            <w:vAlign w:val="center"/>
          </w:tcPr>
          <w:p w14:paraId="46D9F64E">
            <w:pPr>
              <w:ind w:left="6"/>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工作成效</w:t>
            </w:r>
          </w:p>
        </w:tc>
        <w:tc>
          <w:tcPr>
            <w:tcW w:w="683" w:type="dxa"/>
            <w:tcBorders>
              <w:top w:val="single" w:color="000000" w:sz="2" w:space="0"/>
              <w:left w:val="single" w:color="000000" w:sz="2" w:space="0"/>
              <w:bottom w:val="single" w:color="000000" w:sz="2" w:space="0"/>
              <w:right w:val="single" w:color="000000" w:sz="2" w:space="0"/>
            </w:tcBorders>
            <w:vAlign w:val="center"/>
          </w:tcPr>
          <w:p w14:paraId="32CAEC13">
            <w:pPr>
              <w:ind w:left="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15</w:t>
            </w:r>
          </w:p>
        </w:tc>
        <w:tc>
          <w:tcPr>
            <w:tcW w:w="2397" w:type="dxa"/>
            <w:tcBorders>
              <w:top w:val="single" w:color="000000" w:sz="2" w:space="0"/>
              <w:left w:val="single" w:color="000000" w:sz="2" w:space="0"/>
              <w:bottom w:val="single" w:color="000000" w:sz="2" w:space="0"/>
              <w:right w:val="single" w:color="000000" w:sz="2" w:space="0"/>
            </w:tcBorders>
          </w:tcPr>
          <w:p w14:paraId="2DCF514C">
            <w:pPr>
              <w:ind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主要根据分管工作在省、市、区考核中的位次，分档计分。</w:t>
            </w:r>
          </w:p>
        </w:tc>
      </w:tr>
      <w:tr w14:paraId="026A7D92">
        <w:tblPrEx>
          <w:tblCellMar>
            <w:top w:w="51" w:type="dxa"/>
            <w:left w:w="0" w:type="dxa"/>
            <w:bottom w:w="5" w:type="dxa"/>
            <w:right w:w="110" w:type="dxa"/>
          </w:tblCellMar>
        </w:tblPrEx>
        <w:trPr>
          <w:trHeight w:val="628" w:hRule="atLeast"/>
        </w:trPr>
        <w:tc>
          <w:tcPr>
            <w:tcW w:w="509" w:type="dxa"/>
            <w:vMerge w:val="continue"/>
            <w:tcBorders>
              <w:top w:val="nil"/>
              <w:left w:val="single" w:color="000000" w:sz="2" w:space="0"/>
              <w:bottom w:val="nil"/>
              <w:right w:val="single" w:color="000000" w:sz="2" w:space="0"/>
            </w:tcBorders>
          </w:tcPr>
          <w:p w14:paraId="7E1E3705">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nil"/>
              <w:right w:val="single" w:color="000000" w:sz="2" w:space="0"/>
            </w:tcBorders>
          </w:tcPr>
          <w:p w14:paraId="6831B59F">
            <w:pPr>
              <w:jc w:val="left"/>
              <w:rPr>
                <w:rFonts w:hint="eastAsia" w:ascii="仿宋_GB2312" w:eastAsia="仿宋_GB2312"/>
                <w:color w:val="000000" w:themeColor="text1"/>
                <w:szCs w:val="21"/>
                <w14:textFill>
                  <w14:solidFill>
                    <w14:schemeClr w14:val="tx1"/>
                  </w14:solidFill>
                </w14:textFill>
              </w:rPr>
            </w:pPr>
          </w:p>
        </w:tc>
        <w:tc>
          <w:tcPr>
            <w:tcW w:w="1046" w:type="dxa"/>
            <w:tcBorders>
              <w:top w:val="single" w:color="000000" w:sz="2" w:space="0"/>
              <w:left w:val="single" w:color="000000" w:sz="2" w:space="0"/>
              <w:bottom w:val="single" w:color="000000" w:sz="2" w:space="0"/>
              <w:right w:val="single" w:color="000000" w:sz="2" w:space="0"/>
            </w:tcBorders>
          </w:tcPr>
          <w:p w14:paraId="561189E0">
            <w:pPr>
              <w:ind w:left="67"/>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vMerge w:val="restart"/>
            <w:tcBorders>
              <w:top w:val="single" w:color="000000" w:sz="2" w:space="0"/>
              <w:left w:val="single" w:color="000000" w:sz="2" w:space="0"/>
              <w:bottom w:val="single" w:color="000000" w:sz="2" w:space="0"/>
              <w:right w:val="single" w:color="000000" w:sz="2" w:space="0"/>
            </w:tcBorders>
          </w:tcPr>
          <w:p w14:paraId="79E32C8A">
            <w:pPr>
              <w:ind w:left="67"/>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育人</w:t>
            </w:r>
          </w:p>
          <w:p w14:paraId="1B30A5FE">
            <w:pPr>
              <w:ind w:left="53"/>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工作成效</w:t>
            </w:r>
          </w:p>
        </w:tc>
        <w:tc>
          <w:tcPr>
            <w:tcW w:w="634" w:type="dxa"/>
            <w:vMerge w:val="restart"/>
            <w:tcBorders>
              <w:top w:val="single" w:color="000000" w:sz="2" w:space="0"/>
              <w:left w:val="single" w:color="000000" w:sz="2" w:space="0"/>
              <w:bottom w:val="single" w:color="000000" w:sz="2" w:space="0"/>
              <w:right w:val="single" w:color="000000" w:sz="2" w:space="0"/>
            </w:tcBorders>
            <w:vAlign w:val="center"/>
          </w:tcPr>
          <w:p w14:paraId="345CBE7E">
            <w:pPr>
              <w:ind w:left="58" w:firstLine="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 xml:space="preserve">10 </w:t>
            </w:r>
          </w:p>
        </w:tc>
        <w:tc>
          <w:tcPr>
            <w:tcW w:w="2307" w:type="dxa"/>
            <w:tcBorders>
              <w:top w:val="single" w:color="000000" w:sz="2" w:space="0"/>
              <w:left w:val="single" w:color="000000" w:sz="2" w:space="0"/>
              <w:bottom w:val="single" w:color="000000" w:sz="2" w:space="0"/>
              <w:right w:val="single" w:color="000000" w:sz="2" w:space="0"/>
            </w:tcBorders>
            <w:vAlign w:val="center"/>
          </w:tcPr>
          <w:p w14:paraId="6504AA9C">
            <w:pPr>
              <w:ind w:left="6"/>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学生素养</w:t>
            </w:r>
          </w:p>
        </w:tc>
        <w:tc>
          <w:tcPr>
            <w:tcW w:w="683" w:type="dxa"/>
            <w:tcBorders>
              <w:top w:val="single" w:color="000000" w:sz="2" w:space="0"/>
              <w:left w:val="single" w:color="000000" w:sz="2" w:space="0"/>
              <w:bottom w:val="single" w:color="000000" w:sz="2" w:space="0"/>
              <w:right w:val="single" w:color="000000" w:sz="2" w:space="0"/>
            </w:tcBorders>
            <w:vAlign w:val="center"/>
          </w:tcPr>
          <w:p w14:paraId="7F11FD68">
            <w:pPr>
              <w:ind w:left="58"/>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5</w:t>
            </w:r>
          </w:p>
        </w:tc>
        <w:tc>
          <w:tcPr>
            <w:tcW w:w="2397" w:type="dxa"/>
            <w:tcBorders>
              <w:top w:val="single" w:color="000000" w:sz="2" w:space="0"/>
              <w:left w:val="single" w:color="000000" w:sz="2" w:space="0"/>
              <w:bottom w:val="single" w:color="000000" w:sz="2" w:space="0"/>
              <w:right w:val="single" w:color="000000" w:sz="2" w:space="0"/>
            </w:tcBorders>
          </w:tcPr>
          <w:p w14:paraId="70337DB5">
            <w:pPr>
              <w:ind w:left="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根据学校组织的学业水平检测结果、参赛获奖等情况计分。</w:t>
            </w:r>
          </w:p>
        </w:tc>
      </w:tr>
      <w:tr w14:paraId="331A70A1">
        <w:tblPrEx>
          <w:tblCellMar>
            <w:top w:w="51" w:type="dxa"/>
            <w:left w:w="0" w:type="dxa"/>
            <w:bottom w:w="5" w:type="dxa"/>
            <w:right w:w="110" w:type="dxa"/>
          </w:tblCellMar>
        </w:tblPrEx>
        <w:trPr>
          <w:trHeight w:val="1245" w:hRule="atLeast"/>
        </w:trPr>
        <w:tc>
          <w:tcPr>
            <w:tcW w:w="509" w:type="dxa"/>
            <w:vMerge w:val="continue"/>
            <w:tcBorders>
              <w:top w:val="nil"/>
              <w:left w:val="single" w:color="000000" w:sz="2" w:space="0"/>
              <w:bottom w:val="single" w:color="000000" w:sz="2" w:space="0"/>
              <w:right w:val="single" w:color="000000" w:sz="2" w:space="0"/>
            </w:tcBorders>
          </w:tcPr>
          <w:p w14:paraId="4A600468">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6095F6BA">
            <w:pPr>
              <w:jc w:val="left"/>
              <w:rPr>
                <w:rFonts w:hint="eastAsia" w:ascii="仿宋_GB2312" w:eastAsia="仿宋_GB2312"/>
                <w:color w:val="000000" w:themeColor="text1"/>
                <w:szCs w:val="21"/>
                <w14:textFill>
                  <w14:solidFill>
                    <w14:schemeClr w14:val="tx1"/>
                  </w14:solidFill>
                </w14:textFill>
              </w:rPr>
            </w:pPr>
          </w:p>
        </w:tc>
        <w:tc>
          <w:tcPr>
            <w:tcW w:w="0" w:type="auto"/>
            <w:tcBorders>
              <w:top w:val="nil"/>
              <w:left w:val="single" w:color="000000" w:sz="2" w:space="0"/>
              <w:bottom w:val="single" w:color="000000" w:sz="2" w:space="0"/>
              <w:right w:val="single" w:color="000000" w:sz="2" w:space="0"/>
            </w:tcBorders>
          </w:tcPr>
          <w:p w14:paraId="74273275">
            <w:pPr>
              <w:jc w:val="left"/>
              <w:rPr>
                <w:rFonts w:hint="eastAsia" w:ascii="仿宋_GB2312" w:eastAsia="仿宋_GB2312"/>
                <w:color w:val="000000" w:themeColor="text1"/>
                <w:szCs w:val="21"/>
                <w14:textFill>
                  <w14:solidFill>
                    <w14:schemeClr w14:val="tx1"/>
                  </w14:solidFill>
                </w14:textFill>
              </w:rPr>
            </w:pPr>
          </w:p>
        </w:tc>
        <w:tc>
          <w:tcPr>
            <w:tcW w:w="0" w:type="auto"/>
            <w:vMerge w:val="continue"/>
            <w:tcBorders>
              <w:top w:val="nil"/>
              <w:left w:val="single" w:color="000000" w:sz="2" w:space="0"/>
              <w:bottom w:val="single" w:color="000000" w:sz="2" w:space="0"/>
              <w:right w:val="single" w:color="000000" w:sz="2" w:space="0"/>
            </w:tcBorders>
          </w:tcPr>
          <w:p w14:paraId="1EC79A22">
            <w:pPr>
              <w:jc w:val="left"/>
              <w:rPr>
                <w:rFonts w:hint="eastAsia" w:ascii="仿宋_GB2312" w:eastAsia="仿宋_GB2312"/>
                <w:color w:val="000000" w:themeColor="text1"/>
                <w:szCs w:val="21"/>
                <w14:textFill>
                  <w14:solidFill>
                    <w14:schemeClr w14:val="tx1"/>
                  </w14:solidFill>
                </w14:textFill>
              </w:rPr>
            </w:pPr>
          </w:p>
        </w:tc>
        <w:tc>
          <w:tcPr>
            <w:tcW w:w="634" w:type="dxa"/>
            <w:vMerge w:val="continue"/>
            <w:tcBorders>
              <w:top w:val="nil"/>
              <w:left w:val="single" w:color="000000" w:sz="2" w:space="0"/>
              <w:bottom w:val="single" w:color="000000" w:sz="2" w:space="0"/>
              <w:right w:val="single" w:color="000000" w:sz="2" w:space="0"/>
            </w:tcBorders>
          </w:tcPr>
          <w:p w14:paraId="6A70C5EB">
            <w:pPr>
              <w:jc w:val="left"/>
              <w:rPr>
                <w:rFonts w:hint="eastAsia" w:ascii="仿宋_GB2312" w:eastAsia="仿宋_GB2312"/>
                <w:color w:val="000000" w:themeColor="text1"/>
                <w:szCs w:val="21"/>
                <w14:textFill>
                  <w14:solidFill>
                    <w14:schemeClr w14:val="tx1"/>
                  </w14:solidFill>
                </w14:textFill>
              </w:rPr>
            </w:pPr>
          </w:p>
        </w:tc>
        <w:tc>
          <w:tcPr>
            <w:tcW w:w="2307" w:type="dxa"/>
            <w:tcBorders>
              <w:top w:val="single" w:color="000000" w:sz="2" w:space="0"/>
              <w:left w:val="single" w:color="000000" w:sz="2" w:space="0"/>
              <w:bottom w:val="single" w:color="000000" w:sz="2" w:space="0"/>
              <w:right w:val="single" w:color="000000" w:sz="2" w:space="0"/>
            </w:tcBorders>
            <w:vAlign w:val="center"/>
          </w:tcPr>
          <w:p w14:paraId="0365B1B9">
            <w:pPr>
              <w:ind w:left="11"/>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育人效果</w:t>
            </w:r>
          </w:p>
        </w:tc>
        <w:tc>
          <w:tcPr>
            <w:tcW w:w="683" w:type="dxa"/>
            <w:tcBorders>
              <w:top w:val="single" w:color="000000" w:sz="2" w:space="0"/>
              <w:left w:val="single" w:color="000000" w:sz="2" w:space="0"/>
              <w:bottom w:val="single" w:color="000000" w:sz="2" w:space="0"/>
              <w:right w:val="single" w:color="000000" w:sz="2" w:space="0"/>
            </w:tcBorders>
            <w:vAlign w:val="center"/>
          </w:tcPr>
          <w:p w14:paraId="6F5FC884">
            <w:pPr>
              <w:ind w:left="62"/>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5</w:t>
            </w:r>
          </w:p>
        </w:tc>
        <w:tc>
          <w:tcPr>
            <w:tcW w:w="2397" w:type="dxa"/>
            <w:tcBorders>
              <w:top w:val="single" w:color="000000" w:sz="2" w:space="0"/>
              <w:left w:val="single" w:color="000000" w:sz="2" w:space="0"/>
              <w:bottom w:val="single" w:color="000000" w:sz="2" w:space="0"/>
              <w:right w:val="single" w:color="000000" w:sz="2" w:space="0"/>
            </w:tcBorders>
          </w:tcPr>
          <w:p w14:paraId="489C66A4">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主要根据学生获奖等情况、教帅学业述评情况计分。</w:t>
            </w:r>
          </w:p>
        </w:tc>
      </w:tr>
      <w:tr w14:paraId="556925C2">
        <w:tblPrEx>
          <w:tblCellMar>
            <w:top w:w="51" w:type="dxa"/>
            <w:left w:w="0" w:type="dxa"/>
            <w:bottom w:w="5" w:type="dxa"/>
            <w:right w:w="110" w:type="dxa"/>
          </w:tblCellMar>
        </w:tblPrEx>
        <w:trPr>
          <w:trHeight w:val="1252" w:hRule="atLeast"/>
        </w:trPr>
        <w:tc>
          <w:tcPr>
            <w:tcW w:w="1237" w:type="dxa"/>
            <w:gridSpan w:val="2"/>
            <w:tcBorders>
              <w:top w:val="single" w:color="000000" w:sz="2" w:space="0"/>
              <w:left w:val="single" w:color="000000" w:sz="2" w:space="0"/>
              <w:bottom w:val="single" w:color="000000" w:sz="2" w:space="0"/>
              <w:right w:val="single" w:color="000000" w:sz="2" w:space="0"/>
            </w:tcBorders>
            <w:vAlign w:val="center"/>
          </w:tcPr>
          <w:p w14:paraId="185F9C2B">
            <w:pPr>
              <w:ind w:left="241" w:hanging="1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满意度指标</w:t>
            </w:r>
          </w:p>
        </w:tc>
        <w:tc>
          <w:tcPr>
            <w:tcW w:w="1046" w:type="dxa"/>
            <w:tcBorders>
              <w:top w:val="single" w:color="000000" w:sz="2" w:space="0"/>
              <w:left w:val="single" w:color="000000" w:sz="2" w:space="0"/>
              <w:bottom w:val="single" w:color="000000" w:sz="2" w:space="0"/>
              <w:right w:val="single" w:color="000000" w:sz="2" w:space="0"/>
            </w:tcBorders>
          </w:tcPr>
          <w:p w14:paraId="26F6E2A2">
            <w:pPr>
              <w:ind w:left="53"/>
              <w:jc w:val="left"/>
              <w:rPr>
                <w:rFonts w:hint="eastAsia" w:ascii="仿宋_GB2312" w:hAnsi="微软雅黑" w:eastAsia="仿宋_GB2312" w:cs="微软雅黑"/>
                <w:color w:val="000000" w:themeColor="text1"/>
                <w:szCs w:val="21"/>
                <w14:textFill>
                  <w14:solidFill>
                    <w14:schemeClr w14:val="tx1"/>
                  </w14:solidFill>
                </w14:textFill>
              </w:rPr>
            </w:pPr>
          </w:p>
        </w:tc>
        <w:tc>
          <w:tcPr>
            <w:tcW w:w="525" w:type="dxa"/>
            <w:tcBorders>
              <w:top w:val="single" w:color="000000" w:sz="2" w:space="0"/>
              <w:left w:val="single" w:color="000000" w:sz="2" w:space="0"/>
              <w:bottom w:val="single" w:color="000000" w:sz="2" w:space="0"/>
              <w:right w:val="single" w:color="000000" w:sz="2" w:space="0"/>
            </w:tcBorders>
          </w:tcPr>
          <w:p w14:paraId="68611F7D">
            <w:pPr>
              <w:ind w:left="53"/>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评议考核</w:t>
            </w:r>
          </w:p>
        </w:tc>
        <w:tc>
          <w:tcPr>
            <w:tcW w:w="634" w:type="dxa"/>
            <w:tcBorders>
              <w:top w:val="single" w:color="000000" w:sz="2" w:space="0"/>
              <w:left w:val="single" w:color="000000" w:sz="2" w:space="0"/>
              <w:bottom w:val="single" w:color="000000" w:sz="2" w:space="0"/>
              <w:right w:val="single" w:color="000000" w:sz="2" w:space="0"/>
            </w:tcBorders>
            <w:vAlign w:val="center"/>
          </w:tcPr>
          <w:p w14:paraId="7101F8EA">
            <w:pPr>
              <w:ind w:left="53" w:firstLine="10"/>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 xml:space="preserve">10 </w:t>
            </w:r>
          </w:p>
        </w:tc>
        <w:tc>
          <w:tcPr>
            <w:tcW w:w="2307" w:type="dxa"/>
            <w:tcBorders>
              <w:top w:val="single" w:color="000000" w:sz="2" w:space="0"/>
              <w:left w:val="single" w:color="000000" w:sz="2" w:space="0"/>
              <w:bottom w:val="single" w:color="000000" w:sz="2" w:space="0"/>
              <w:right w:val="single" w:color="000000" w:sz="2" w:space="0"/>
            </w:tcBorders>
          </w:tcPr>
          <w:p w14:paraId="73B72888">
            <w:pPr>
              <w:ind w:left="1" w:right="5"/>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主要从管理成效、爱岗敬业、依法执教、团结协作、工作作风、廉洁从教等方面进行评议。</w:t>
            </w:r>
          </w:p>
        </w:tc>
        <w:tc>
          <w:tcPr>
            <w:tcW w:w="683" w:type="dxa"/>
            <w:tcBorders>
              <w:top w:val="single" w:color="000000" w:sz="2" w:space="0"/>
              <w:left w:val="single" w:color="000000" w:sz="2" w:space="0"/>
              <w:bottom w:val="single" w:color="000000" w:sz="2" w:space="0"/>
              <w:right w:val="single" w:color="000000" w:sz="2" w:space="0"/>
            </w:tcBorders>
            <w:vAlign w:val="center"/>
          </w:tcPr>
          <w:p w14:paraId="549AEF9A">
            <w:pPr>
              <w:ind w:left="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10</w:t>
            </w:r>
          </w:p>
        </w:tc>
        <w:tc>
          <w:tcPr>
            <w:tcW w:w="2397" w:type="dxa"/>
            <w:tcBorders>
              <w:top w:val="single" w:color="000000" w:sz="2" w:space="0"/>
              <w:left w:val="single" w:color="000000" w:sz="2" w:space="0"/>
              <w:bottom w:val="single" w:color="000000" w:sz="2" w:space="0"/>
              <w:right w:val="single" w:color="000000" w:sz="2" w:space="0"/>
            </w:tcBorders>
            <w:vAlign w:val="center"/>
          </w:tcPr>
          <w:p w14:paraId="56E6CD12">
            <w:pPr>
              <w:ind w:left="14"/>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1.兼课的，按学科教师评议；未兼课的，由教职工评议。</w:t>
            </w:r>
          </w:p>
          <w:p w14:paraId="6F561B7B">
            <w:pPr>
              <w:jc w:val="left"/>
              <w:rPr>
                <w:rFonts w:hint="eastAsia" w:ascii="仿宋_GB2312" w:eastAsia="仿宋_GB2312"/>
                <w:color w:val="000000" w:themeColor="text1"/>
                <w:szCs w:val="21"/>
                <w14:textFill>
                  <w14:solidFill>
                    <w14:schemeClr w14:val="tx1"/>
                  </w14:solidFill>
                </w14:textFill>
              </w:rPr>
            </w:pPr>
            <w:r>
              <w:rPr>
                <w:rFonts w:hint="eastAsia" w:ascii="仿宋_GB2312" w:hAnsi="微软雅黑" w:eastAsia="仿宋_GB2312" w:cs="微软雅黑"/>
                <w:color w:val="000000" w:themeColor="text1"/>
                <w:szCs w:val="21"/>
                <w14:textFill>
                  <w14:solidFill>
                    <w14:schemeClr w14:val="tx1"/>
                  </w14:solidFill>
                </w14:textFill>
              </w:rPr>
              <w:t>2.评议考核成绩：原始成绩× 10％。</w:t>
            </w:r>
          </w:p>
        </w:tc>
      </w:tr>
    </w:tbl>
    <w:p w14:paraId="3DDA68DB">
      <w:pPr>
        <w:ind w:left="3850"/>
        <w:jc w:val="left"/>
        <w:rPr>
          <w:rFonts w:hint="eastAsia" w:ascii="仿宋_GB2312" w:eastAsia="仿宋_GB2312"/>
          <w:color w:val="000000" w:themeColor="text1"/>
          <w:szCs w:val="21"/>
          <w14:textFill>
            <w14:solidFill>
              <w14:schemeClr w14:val="tx1"/>
            </w14:solidFill>
          </w14:textFill>
        </w:rPr>
      </w:pPr>
    </w:p>
    <w:p w14:paraId="27F751A3">
      <w:pPr>
        <w:adjustRightInd w:val="0"/>
        <w:snapToGrid w:val="0"/>
        <w:spacing w:line="576" w:lineRule="exact"/>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附件1：出勤占5分（满分5分，扣完为止）</w:t>
      </w:r>
    </w:p>
    <w:p w14:paraId="5603957B">
      <w:pPr>
        <w:pStyle w:val="2"/>
        <w:autoSpaceDE w:val="0"/>
        <w:adjustRightInd w:val="0"/>
        <w:snapToGrid w:val="0"/>
        <w:spacing w:before="0" w:beforeAutospacing="0" w:after="0" w:afterAutospacing="0" w:line="576" w:lineRule="exact"/>
        <w:ind w:right="31" w:rightChars="15" w:firstLine="640" w:firstLineChars="200"/>
        <w:jc w:val="both"/>
        <w:rPr>
          <w:rFonts w:ascii="仿宋_GB2312" w:hAnsi="Times New Roman" w:eastAsia="仿宋_GB2312"/>
          <w:color w:val="000000" w:themeColor="text1"/>
          <w:kern w:val="2"/>
          <w:sz w:val="32"/>
          <w:szCs w:val="32"/>
          <w14:textFill>
            <w14:solidFill>
              <w14:schemeClr w14:val="tx1"/>
            </w14:solidFill>
          </w14:textFill>
        </w:rPr>
      </w:pPr>
      <w:r>
        <w:rPr>
          <w:rFonts w:hint="eastAsia" w:ascii="仿宋_GB2312" w:hAnsi="Times New Roman" w:eastAsia="仿宋_GB2312"/>
          <w:color w:val="000000" w:themeColor="text1"/>
          <w:kern w:val="2"/>
          <w:sz w:val="32"/>
          <w:szCs w:val="32"/>
          <w14:textFill>
            <w14:solidFill>
              <w14:schemeClr w14:val="tx1"/>
            </w14:solidFill>
          </w14:textFill>
        </w:rPr>
        <w:t>小假（迟到、早退）一次扣0.02分，病假一天扣0.05分，事假一天扣0.1分。会议（含集会）缺勤一次扣0.05分，迟到、早退一次扣0.02分。病假要有医生证明，否则按事假处理。请小假可由组长批准，1天以内（包括1天）由分管领导批准，1天以上由校长批准。不按规定履行请假手续者按旷工论处。</w:t>
      </w:r>
    </w:p>
    <w:p w14:paraId="628A8385">
      <w:pPr>
        <w:adjustRightInd w:val="0"/>
        <w:snapToGrid w:val="0"/>
        <w:spacing w:line="576" w:lineRule="exact"/>
        <w:rPr>
          <w:rFonts w:ascii="仿宋_GB2312" w:hAnsi="Times New Roman" w:eastAsia="仿宋_GB2312" w:cs="Times New Roman"/>
          <w:b/>
          <w:bCs/>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b/>
          <w:bCs/>
          <w:color w:val="000000" w:themeColor="text1"/>
          <w:kern w:val="0"/>
          <w:sz w:val="32"/>
          <w:szCs w:val="32"/>
          <w:lang w:eastAsia="zh-Hans"/>
          <w14:textFill>
            <w14:solidFill>
              <w14:schemeClr w14:val="tx1"/>
            </w14:solidFill>
          </w14:textFill>
        </w:rPr>
        <w:t>附件2：课堂教学</w:t>
      </w:r>
      <w:r>
        <w:rPr>
          <w:rFonts w:hint="eastAsia" w:ascii="仿宋_GB2312" w:hAnsi="Times New Roman" w:eastAsia="仿宋_GB2312" w:cs="Times New Roman"/>
          <w:b/>
          <w:bCs/>
          <w:color w:val="000000" w:themeColor="text1"/>
          <w:kern w:val="0"/>
          <w:sz w:val="32"/>
          <w:szCs w:val="32"/>
          <w14:textFill>
            <w14:solidFill>
              <w14:schemeClr w14:val="tx1"/>
            </w14:solidFill>
          </w14:textFill>
        </w:rPr>
        <w:t>（满分6分，扣完为止）</w:t>
      </w:r>
    </w:p>
    <w:p w14:paraId="76E47E79">
      <w:pPr>
        <w:adjustRightInd w:val="0"/>
        <w:snapToGrid w:val="0"/>
        <w:spacing w:line="576" w:lineRule="exact"/>
        <w:ind w:firstLine="640" w:firstLineChars="200"/>
        <w:rPr>
          <w:rFonts w:ascii="仿宋_GB2312" w:hAnsi="Times New Roman" w:eastAsia="仿宋_GB2312" w:cs="Times New Roman"/>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备课：教案设计步骤清晰，环节完整，重点突出，有自己的特色，书写规范。课前准备充分。（缺少重点环节的每次扣0.1分，无教案上课的每次扣0.2分，课前准备不充分的等同于无教案上课</w:t>
      </w:r>
      <w:r>
        <w:rPr>
          <w:rFonts w:hint="eastAsia" w:ascii="仿宋_GB2312" w:hAnsi="Times New Roman" w:eastAsia="仿宋_GB2312" w:cs="Times New Roman"/>
          <w:color w:val="000000" w:themeColor="text1"/>
          <w:kern w:val="0"/>
          <w:sz w:val="32"/>
          <w:szCs w:val="32"/>
          <w14:textFill>
            <w14:solidFill>
              <w14:schemeClr w14:val="tx1"/>
            </w14:solidFill>
          </w14:textFill>
        </w:rPr>
        <w:t>。</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w:t>
      </w:r>
    </w:p>
    <w:p w14:paraId="36D4DD25">
      <w:pPr>
        <w:widowControl/>
        <w:adjustRightInd w:val="0"/>
        <w:snapToGrid w:val="0"/>
        <w:spacing w:line="576" w:lineRule="exact"/>
        <w:ind w:firstLine="640" w:firstLineChars="200"/>
        <w:rPr>
          <w:rFonts w:ascii="仿宋_GB2312" w:hAnsi="Times New Roman" w:eastAsia="仿宋_GB2312" w:cs="Times New Roman"/>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上课：</w:t>
      </w:r>
      <w:r>
        <w:rPr>
          <w:rFonts w:hint="eastAsia" w:ascii="仿宋_GB2312" w:hAnsi="Times New Roman" w:eastAsia="仿宋_GB2312"/>
          <w:color w:val="000000" w:themeColor="text1"/>
          <w:sz w:val="32"/>
          <w:szCs w:val="32"/>
          <w14:textFill>
            <w14:solidFill>
              <w14:schemeClr w14:val="tx1"/>
            </w14:solidFill>
          </w14:textFill>
        </w:rPr>
        <w:t>无故缺课一次扣0.5分。</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课堂上做与课堂教学无关的事，</w:t>
      </w:r>
      <w:r>
        <w:rPr>
          <w:rFonts w:hint="eastAsia" w:ascii="仿宋_GB2312" w:hAnsi="Times New Roman" w:eastAsia="仿宋_GB2312" w:cs="Times New Roman"/>
          <w:color w:val="000000" w:themeColor="text1"/>
          <w:kern w:val="0"/>
          <w:sz w:val="32"/>
          <w:szCs w:val="32"/>
          <w14:textFill>
            <w14:solidFill>
              <w14:schemeClr w14:val="tx1"/>
            </w14:solidFill>
          </w14:textFill>
        </w:rPr>
        <w:t>如接打电话、玩手机等，</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每次扣0.</w:t>
      </w:r>
      <w:r>
        <w:rPr>
          <w:rFonts w:hint="eastAsia" w:ascii="仿宋_GB2312" w:hAnsi="Times New Roman" w:eastAsia="仿宋_GB2312" w:cs="Times New Roman"/>
          <w:color w:val="000000" w:themeColor="text1"/>
          <w:kern w:val="0"/>
          <w:sz w:val="32"/>
          <w:szCs w:val="32"/>
          <w14:textFill>
            <w14:solidFill>
              <w14:schemeClr w14:val="tx1"/>
            </w14:solidFill>
          </w14:textFill>
        </w:rPr>
        <w:t>2</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分。）</w:t>
      </w:r>
    </w:p>
    <w:p w14:paraId="1F34B194">
      <w:pPr>
        <w:adjustRightInd w:val="0"/>
        <w:snapToGrid w:val="0"/>
        <w:spacing w:line="576" w:lineRule="exact"/>
        <w:ind w:firstLine="640" w:firstLineChars="200"/>
        <w:rPr>
          <w:rFonts w:ascii="仿宋_GB2312" w:hAnsi="Times New Roman" w:eastAsia="仿宋_GB2312" w:cs="Times New Roman"/>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听课、评课：</w:t>
      </w:r>
      <w:r>
        <w:rPr>
          <w:rFonts w:hint="eastAsia" w:ascii="仿宋_GB2312" w:hAnsi="Times New Roman" w:eastAsia="仿宋_GB2312" w:cs="Times New Roman"/>
          <w:color w:val="000000" w:themeColor="text1"/>
          <w:kern w:val="0"/>
          <w:sz w:val="32"/>
          <w:szCs w:val="32"/>
          <w14:textFill>
            <w14:solidFill>
              <w14:schemeClr w14:val="tx1"/>
            </w14:solidFill>
          </w14:textFill>
        </w:rPr>
        <w:t>校级领导</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听课不少于</w:t>
      </w:r>
      <w:r>
        <w:rPr>
          <w:rFonts w:hint="eastAsia" w:ascii="仿宋_GB2312" w:hAnsi="Times New Roman" w:eastAsia="仿宋_GB2312" w:cs="Times New Roman"/>
          <w:color w:val="000000" w:themeColor="text1"/>
          <w:kern w:val="0"/>
          <w:sz w:val="32"/>
          <w:szCs w:val="32"/>
          <w14:textFill>
            <w14:solidFill>
              <w14:schemeClr w14:val="tx1"/>
            </w14:solidFill>
          </w14:textFill>
        </w:rPr>
        <w:t>8</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0节，中层以上领导不少于30节，任课教师听课不少于20节；听课记录齐全，有个人点评或交流意见。不抄袭，不做假。（少一节扣0.1分，无点评意见扣0.1分）</w:t>
      </w:r>
    </w:p>
    <w:p w14:paraId="438D4C23">
      <w:pPr>
        <w:adjustRightInd w:val="0"/>
        <w:snapToGrid w:val="0"/>
        <w:spacing w:line="576" w:lineRule="exact"/>
        <w:ind w:firstLine="640" w:firstLineChars="200"/>
        <w:rPr>
          <w:rFonts w:ascii="仿宋_GB2312" w:hAnsi="Times New Roman" w:eastAsia="仿宋_GB2312" w:cs="Times New Roman"/>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作业及作业批改：数学每周三次（特殊章节除外）；语文每课</w:t>
      </w:r>
      <w:r>
        <w:rPr>
          <w:rFonts w:hint="eastAsia" w:ascii="仿宋_GB2312" w:hAnsi="Times New Roman" w:eastAsia="仿宋_GB2312" w:cs="Times New Roman"/>
          <w:color w:val="000000" w:themeColor="text1"/>
          <w:kern w:val="0"/>
          <w:sz w:val="32"/>
          <w:szCs w:val="32"/>
          <w14:textFill>
            <w14:solidFill>
              <w14:schemeClr w14:val="tx1"/>
            </w14:solidFill>
          </w14:textFill>
        </w:rPr>
        <w:t>五</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次；作文，每学期不少于8篇，要体现批和改；</w:t>
      </w:r>
      <w:r>
        <w:rPr>
          <w:rFonts w:hint="eastAsia" w:ascii="仿宋_GB2312" w:hAnsi="Times New Roman" w:eastAsia="仿宋_GB2312" w:cs="Times New Roman"/>
          <w:color w:val="000000" w:themeColor="text1"/>
          <w:kern w:val="0"/>
          <w:sz w:val="32"/>
          <w:szCs w:val="32"/>
          <w14:textFill>
            <w14:solidFill>
              <w14:schemeClr w14:val="tx1"/>
            </w14:solidFill>
          </w14:textFill>
        </w:rPr>
        <w:t>练习册</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每课一批；英语，每学期不少于20次。批改认真，评价准确。有批改时间。（缺少一次扣0.</w:t>
      </w:r>
      <w:r>
        <w:rPr>
          <w:rFonts w:hint="eastAsia" w:ascii="仿宋_GB2312" w:hAnsi="Times New Roman" w:eastAsia="仿宋_GB2312" w:cs="Times New Roman"/>
          <w:color w:val="000000" w:themeColor="text1"/>
          <w:kern w:val="0"/>
          <w:sz w:val="32"/>
          <w:szCs w:val="32"/>
          <w14:textFill>
            <w14:solidFill>
              <w14:schemeClr w14:val="tx1"/>
            </w14:solidFill>
          </w14:textFill>
        </w:rPr>
        <w:t>1</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分，质量达不到要求的适当扣分）</w:t>
      </w:r>
    </w:p>
    <w:p w14:paraId="1EAEBE99">
      <w:pPr>
        <w:widowControl/>
        <w:adjustRightInd w:val="0"/>
        <w:snapToGrid w:val="0"/>
        <w:spacing w:line="576" w:lineRule="exact"/>
        <w:ind w:firstLine="640" w:firstLineChars="200"/>
        <w:rPr>
          <w:rFonts w:ascii="仿宋_GB2312" w:hAnsi="Times New Roman" w:eastAsia="仿宋_GB2312" w:cs="Times New Roman"/>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业务</w:t>
      </w:r>
      <w:r>
        <w:rPr>
          <w:rFonts w:hint="eastAsia" w:ascii="仿宋_GB2312" w:hAnsi="Times New Roman" w:eastAsia="仿宋_GB2312" w:cs="Times New Roman"/>
          <w:color w:val="000000" w:themeColor="text1"/>
          <w:kern w:val="0"/>
          <w:sz w:val="32"/>
          <w:szCs w:val="32"/>
          <w14:textFill>
            <w14:solidFill>
              <w14:schemeClr w14:val="tx1"/>
            </w14:solidFill>
          </w14:textFill>
        </w:rPr>
        <w:t>、师德</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学习：业务</w:t>
      </w:r>
      <w:r>
        <w:rPr>
          <w:rFonts w:hint="eastAsia" w:ascii="仿宋_GB2312" w:hAnsi="Times New Roman" w:eastAsia="仿宋_GB2312" w:cs="Times New Roman"/>
          <w:color w:val="000000" w:themeColor="text1"/>
          <w:kern w:val="0"/>
          <w:sz w:val="32"/>
          <w:szCs w:val="32"/>
          <w14:textFill>
            <w14:solidFill>
              <w14:schemeClr w14:val="tx1"/>
            </w14:solidFill>
          </w14:textFill>
        </w:rPr>
        <w:t>（政治）、师德</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笔记要按学习内容的要求撰写，每学期不少于5000字。（达不到要求的扣0.</w:t>
      </w:r>
      <w:r>
        <w:rPr>
          <w:rFonts w:hint="eastAsia" w:ascii="仿宋_GB2312" w:hAnsi="Times New Roman" w:eastAsia="仿宋_GB2312" w:cs="Times New Roman"/>
          <w:color w:val="000000" w:themeColor="text1"/>
          <w:kern w:val="0"/>
          <w:sz w:val="32"/>
          <w:szCs w:val="32"/>
          <w14:textFill>
            <w14:solidFill>
              <w14:schemeClr w14:val="tx1"/>
            </w14:solidFill>
          </w14:textFill>
        </w:rPr>
        <w:t>2</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分）</w:t>
      </w:r>
    </w:p>
    <w:p w14:paraId="30D2ABEE">
      <w:pPr>
        <w:adjustRightInd w:val="0"/>
        <w:snapToGrid w:val="0"/>
        <w:spacing w:line="576" w:lineRule="exact"/>
        <w:rPr>
          <w:rStyle w:val="9"/>
          <w:rFonts w:hint="eastAsia" w:ascii="仿宋_GB2312" w:eastAsia="仿宋_GB2312"/>
          <w:b/>
          <w:bCs/>
          <w:color w:val="000000" w:themeColor="text1"/>
          <w:sz w:val="32"/>
          <w:szCs w:val="32"/>
          <w14:textFill>
            <w14:solidFill>
              <w14:schemeClr w14:val="tx1"/>
            </w14:solidFill>
          </w14:textFill>
        </w:rPr>
      </w:pPr>
      <w:r>
        <w:rPr>
          <w:rStyle w:val="9"/>
          <w:rFonts w:hint="eastAsia" w:ascii="仿宋_GB2312" w:eastAsia="仿宋_GB2312"/>
          <w:b/>
          <w:bCs/>
          <w:color w:val="000000" w:themeColor="text1"/>
          <w:sz w:val="32"/>
          <w:szCs w:val="32"/>
          <w14:textFill>
            <w14:solidFill>
              <w14:schemeClr w14:val="tx1"/>
            </w14:solidFill>
          </w14:textFill>
        </w:rPr>
        <w:t>附件3：表彰奖励分值（满6分为止）</w:t>
      </w:r>
    </w:p>
    <w:p w14:paraId="37A8C544">
      <w:pPr>
        <w:adjustRightInd w:val="0"/>
        <w:snapToGrid w:val="0"/>
        <w:spacing w:line="576" w:lineRule="exact"/>
        <w:ind w:firstLine="640" w:firstLineChars="200"/>
        <w:rPr>
          <w:rStyle w:val="9"/>
          <w:rFonts w:hint="eastAsia" w:ascii="仿宋_GB2312" w:eastAsia="仿宋_GB2312"/>
          <w:color w:val="000000" w:themeColor="text1"/>
          <w:sz w:val="32"/>
          <w:szCs w:val="32"/>
          <w14:textFill>
            <w14:solidFill>
              <w14:schemeClr w14:val="tx1"/>
            </w14:solidFill>
          </w14:textFill>
        </w:rPr>
      </w:pPr>
      <w:r>
        <w:rPr>
          <w:rStyle w:val="9"/>
          <w:rFonts w:hint="eastAsia" w:ascii="仿宋_GB2312" w:eastAsia="仿宋_GB2312"/>
          <w:color w:val="000000" w:themeColor="text1"/>
          <w:sz w:val="32"/>
          <w:szCs w:val="32"/>
          <w:lang w:val="en-US" w:eastAsia="zh-CN"/>
          <w14:textFill>
            <w14:solidFill>
              <w14:schemeClr w14:val="tx1"/>
            </w14:solidFill>
          </w14:textFill>
        </w:rPr>
        <w:t>本年度内，</w:t>
      </w:r>
      <w:r>
        <w:rPr>
          <w:rStyle w:val="9"/>
          <w:rFonts w:hint="eastAsia" w:ascii="仿宋_GB2312" w:eastAsia="仿宋_GB2312"/>
          <w:color w:val="000000" w:themeColor="text1"/>
          <w:sz w:val="32"/>
          <w:szCs w:val="32"/>
          <w14:textFill>
            <w14:solidFill>
              <w14:schemeClr w14:val="tx1"/>
            </w14:solidFill>
          </w14:textFill>
        </w:rPr>
        <w:t>所有表彰只使用一次。</w:t>
      </w:r>
    </w:p>
    <w:p w14:paraId="60A4A043">
      <w:pPr>
        <w:adjustRightInd w:val="0"/>
        <w:snapToGrid w:val="0"/>
        <w:spacing w:line="576" w:lineRule="exact"/>
        <w:ind w:firstLine="640" w:firstLineChars="200"/>
        <w:rPr>
          <w:rStyle w:val="9"/>
          <w:rFonts w:hint="eastAsia" w:ascii="仿宋_GB2312" w:eastAsia="仿宋_GB2312"/>
          <w:color w:val="000000" w:themeColor="text1"/>
          <w:sz w:val="32"/>
          <w:szCs w:val="32"/>
          <w14:textFill>
            <w14:solidFill>
              <w14:schemeClr w14:val="tx1"/>
            </w14:solidFill>
          </w14:textFill>
        </w:rPr>
      </w:pPr>
      <w:r>
        <w:rPr>
          <w:rStyle w:val="9"/>
          <w:rFonts w:ascii="仿宋_GB2312" w:eastAsia="仿宋_GB2312"/>
          <w:color w:val="000000" w:themeColor="text1"/>
          <w:sz w:val="32"/>
          <w:szCs w:val="32"/>
          <w14:textFill>
            <w14:solidFill>
              <w14:schemeClr w14:val="tx1"/>
            </w14:solidFill>
          </w14:textFill>
        </w:rPr>
        <w:t>1.自任现职以来获得人民政府、党委或由人社部门和教育行政部门联合表彰的先进党员、优秀教师、师德标兵、优秀班主任、优秀教育工作者等荣誉称号，国家级、省级、市级、区级分别计10分、8分、4分、2分。（相同称号、不同级别多次表彰的，只按最高级别计分）。</w:t>
      </w:r>
    </w:p>
    <w:p w14:paraId="26A50D06">
      <w:pPr>
        <w:adjustRightInd w:val="0"/>
        <w:snapToGrid w:val="0"/>
        <w:spacing w:line="576" w:lineRule="exact"/>
        <w:ind w:firstLine="640" w:firstLineChars="200"/>
        <w:rPr>
          <w:rStyle w:val="9"/>
          <w:rFonts w:hint="eastAsia" w:ascii="仿宋_GB2312" w:eastAsia="仿宋_GB2312"/>
          <w:color w:val="000000" w:themeColor="text1"/>
          <w:sz w:val="32"/>
          <w:szCs w:val="32"/>
          <w14:textFill>
            <w14:solidFill>
              <w14:schemeClr w14:val="tx1"/>
            </w14:solidFill>
          </w14:textFill>
        </w:rPr>
      </w:pPr>
      <w:r>
        <w:rPr>
          <w:rStyle w:val="9"/>
          <w:rFonts w:ascii="仿宋_GB2312" w:eastAsia="仿宋_GB2312"/>
          <w:color w:val="000000" w:themeColor="text1"/>
          <w:sz w:val="32"/>
          <w:szCs w:val="32"/>
          <w14:textFill>
            <w14:solidFill>
              <w14:schemeClr w14:val="tx1"/>
            </w14:solidFill>
          </w14:textFill>
        </w:rPr>
        <w:t>2.自任现职以来获得教育行政部门表彰的学科带头人、教学能手、优秀班主任、骨干教师、教育创新人物、先进党员等荣誉称号，国家级、省、市、区、校分别计8分、5分、2分、1分、0.1分。（相同称号、不同级别多次表彰的，只按最高级别计分）</w:t>
      </w:r>
    </w:p>
    <w:p w14:paraId="7B444A32">
      <w:pPr>
        <w:adjustRightInd w:val="0"/>
        <w:snapToGrid w:val="0"/>
        <w:spacing w:line="576" w:lineRule="exact"/>
        <w:rPr>
          <w:rStyle w:val="9"/>
          <w:rFonts w:hint="eastAsia" w:ascii="仿宋_GB2312" w:eastAsia="仿宋_GB2312"/>
          <w:color w:val="000000" w:themeColor="text1"/>
          <w:sz w:val="32"/>
          <w:szCs w:val="32"/>
          <w14:textFill>
            <w14:solidFill>
              <w14:schemeClr w14:val="tx1"/>
            </w14:solidFill>
          </w14:textFill>
        </w:rPr>
      </w:pPr>
      <w:r>
        <w:rPr>
          <w:rStyle w:val="9"/>
          <w:rFonts w:ascii="仿宋_GB2312" w:eastAsia="仿宋_GB2312"/>
          <w:color w:val="000000" w:themeColor="text1"/>
          <w:sz w:val="32"/>
          <w:szCs w:val="32"/>
          <w14:textFill>
            <w14:solidFill>
              <w14:schemeClr w14:val="tx1"/>
            </w14:solidFill>
          </w14:textFill>
        </w:rPr>
        <w:t>3.自任现职以来获得教育行政部门表彰的优秀指导教师（教练员）、优秀学员，国家级、省、市、区分别计2分、1.5分、1分、0.5分。（长期坚持带队训练参加团体比赛获得优秀指导教师的，按高一级奖次计算；带队参加比赛而获得优秀指导教师、教练员相同称号间隔1年以上的可以重复加分）</w:t>
      </w:r>
    </w:p>
    <w:p w14:paraId="1FA1AD8C">
      <w:pPr>
        <w:adjustRightInd w:val="0"/>
        <w:snapToGrid w:val="0"/>
        <w:spacing w:line="576" w:lineRule="exact"/>
        <w:rPr>
          <w:rFonts w:ascii="仿宋_GB2312" w:hAnsi="Times New Roman" w:eastAsia="仿宋_GB2312" w:cs="Times New Roman"/>
          <w:b/>
          <w:bCs/>
          <w:color w:val="000000" w:themeColor="text1"/>
          <w:kern w:val="0"/>
          <w:sz w:val="32"/>
          <w:szCs w:val="32"/>
          <w14:textFill>
            <w14:solidFill>
              <w14:schemeClr w14:val="tx1"/>
            </w14:solidFill>
          </w14:textFill>
        </w:rPr>
      </w:pPr>
      <w:r>
        <w:rPr>
          <w:rFonts w:hint="eastAsia" w:ascii="仿宋_GB2312" w:hAnsi="Times New Roman" w:eastAsia="仿宋_GB2312" w:cs="Times New Roman"/>
          <w:b/>
          <w:bCs/>
          <w:color w:val="000000" w:themeColor="text1"/>
          <w:kern w:val="0"/>
          <w:sz w:val="32"/>
          <w:szCs w:val="32"/>
          <w14:textFill>
            <w14:solidFill>
              <w14:schemeClr w14:val="tx1"/>
            </w14:solidFill>
          </w14:textFill>
        </w:rPr>
        <w:t>附件4：专业发展（按照实际得分计算）</w:t>
      </w:r>
    </w:p>
    <w:p w14:paraId="623C6F49">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14:textFill>
            <w14:solidFill>
              <w14:schemeClr w14:val="tx1"/>
            </w14:solidFill>
          </w14:textFill>
        </w:rPr>
      </w:pPr>
      <w:r>
        <w:rPr>
          <w:rFonts w:ascii="仿宋_GB2312" w:hAnsi="Times New Roman" w:eastAsia="仿宋_GB2312" w:cs="Times New Roman"/>
          <w:bCs/>
          <w:color w:val="000000" w:themeColor="text1"/>
          <w:kern w:val="0"/>
          <w:sz w:val="32"/>
          <w:szCs w:val="32"/>
          <w14:textFill>
            <w14:solidFill>
              <w14:schemeClr w14:val="tx1"/>
            </w14:solidFill>
          </w14:textFill>
        </w:rPr>
        <w:t>1.优质课（现场讲课并评优）：获国家一等奖奖计10分，国家二等奖（或省一等奖）的计6分，省二等奖（或市一等奖）计4分，市二等奖（或区一等奖）计2分，区二等奖计1分，区三等奖（或校一等奖）计0.5分。(同一内容获不同级别奖励的，只按最高级别计分)。</w:t>
      </w:r>
    </w:p>
    <w:p w14:paraId="0C3237D0">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14:textFill>
            <w14:solidFill>
              <w14:schemeClr w14:val="tx1"/>
            </w14:solidFill>
          </w14:textFill>
        </w:rPr>
      </w:pPr>
      <w:r>
        <w:rPr>
          <w:rFonts w:ascii="仿宋_GB2312" w:hAnsi="Times New Roman" w:eastAsia="仿宋_GB2312" w:cs="Times New Roman"/>
          <w:bCs/>
          <w:color w:val="000000" w:themeColor="text1"/>
          <w:kern w:val="0"/>
          <w:sz w:val="32"/>
          <w:szCs w:val="32"/>
          <w14:textFill>
            <w14:solidFill>
              <w14:schemeClr w14:val="tx1"/>
            </w14:solidFill>
          </w14:textFill>
        </w:rPr>
        <w:t>2.执教一师一优课、自制教具、教师基本功比赛、多媒体课、录像课（非现场讲课）：获国家级一等奖的计5分，国家级二等奖（或省级一等奖）的计4分，省级二、三等奖（或市级一等奖）的计3分，市级二等奖2分，市级三等奖（或区县级一等奖）的计1分，区级二等奖计0.5分。</w:t>
      </w:r>
      <w:r>
        <w:rPr>
          <w:rFonts w:hint="eastAsia" w:ascii="仿宋_GB2312" w:hAnsi="Times New Roman" w:eastAsia="仿宋_GB2312" w:cs="Times New Roman"/>
          <w:bCs/>
          <w:color w:val="auto"/>
          <w:kern w:val="0"/>
          <w:sz w:val="32"/>
          <w:szCs w:val="32"/>
        </w:rPr>
        <w:t>一师一优课（</w:t>
      </w:r>
      <w:r>
        <w:rPr>
          <w:rFonts w:hint="eastAsia" w:ascii="仿宋_GB2312" w:hAnsi="Times New Roman" w:eastAsia="仿宋_GB2312" w:cs="Times New Roman"/>
          <w:bCs/>
          <w:color w:val="auto"/>
          <w:kern w:val="0"/>
          <w:sz w:val="32"/>
          <w:szCs w:val="32"/>
          <w:lang w:val="en-US" w:eastAsia="zh-CN"/>
        </w:rPr>
        <w:t>大单元</w:t>
      </w:r>
      <w:r>
        <w:rPr>
          <w:rFonts w:hint="eastAsia" w:ascii="仿宋_GB2312" w:hAnsi="Times New Roman" w:eastAsia="仿宋_GB2312" w:cs="Times New Roman"/>
          <w:bCs/>
          <w:color w:val="auto"/>
          <w:kern w:val="0"/>
          <w:sz w:val="32"/>
          <w:szCs w:val="32"/>
        </w:rPr>
        <w:t>团</w:t>
      </w:r>
      <w:r>
        <w:rPr>
          <w:rFonts w:hint="eastAsia" w:ascii="仿宋_GB2312" w:hAnsi="Times New Roman" w:eastAsia="仿宋_GB2312" w:cs="Times New Roman"/>
          <w:bCs/>
          <w:color w:val="auto"/>
          <w:kern w:val="0"/>
          <w:sz w:val="32"/>
          <w:szCs w:val="32"/>
          <w:lang w:val="en-US" w:eastAsia="zh-CN"/>
        </w:rPr>
        <w:t>队设计</w:t>
      </w:r>
      <w:r>
        <w:rPr>
          <w:rFonts w:hint="eastAsia" w:ascii="仿宋_GB2312" w:hAnsi="Times New Roman" w:eastAsia="仿宋_GB2312" w:cs="Times New Roman"/>
          <w:bCs/>
          <w:color w:val="auto"/>
          <w:kern w:val="0"/>
          <w:sz w:val="32"/>
          <w:szCs w:val="32"/>
        </w:rPr>
        <w:t>）：</w:t>
      </w:r>
      <w:r>
        <w:rPr>
          <w:rFonts w:hint="eastAsia" w:ascii="仿宋_GB2312" w:hAnsi="Times New Roman" w:eastAsia="仿宋_GB2312" w:cs="Times New Roman"/>
          <w:bCs/>
          <w:color w:val="auto"/>
          <w:kern w:val="0"/>
          <w:sz w:val="32"/>
          <w:szCs w:val="32"/>
          <w:lang w:val="en-US" w:eastAsia="zh-CN"/>
        </w:rPr>
        <w:t>国家级10分，省级8分，</w:t>
      </w:r>
      <w:r>
        <w:rPr>
          <w:rFonts w:hint="eastAsia" w:ascii="仿宋_GB2312" w:hAnsi="Times New Roman" w:eastAsia="仿宋_GB2312" w:cs="Times New Roman"/>
          <w:bCs/>
          <w:color w:val="auto"/>
          <w:kern w:val="0"/>
          <w:sz w:val="32"/>
          <w:szCs w:val="32"/>
        </w:rPr>
        <w:t>市</w:t>
      </w:r>
      <w:r>
        <w:rPr>
          <w:rFonts w:hint="eastAsia" w:ascii="仿宋_GB2312" w:hAnsi="Times New Roman" w:eastAsia="仿宋_GB2312" w:cs="Times New Roman"/>
          <w:bCs/>
          <w:color w:val="auto"/>
          <w:kern w:val="0"/>
          <w:sz w:val="32"/>
          <w:szCs w:val="32"/>
          <w:lang w:val="en-US" w:eastAsia="zh-CN"/>
        </w:rPr>
        <w:t>级</w:t>
      </w:r>
      <w:r>
        <w:rPr>
          <w:rFonts w:hint="eastAsia" w:ascii="仿宋_GB2312" w:hAnsi="Times New Roman" w:eastAsia="仿宋_GB2312" w:cs="Times New Roman"/>
          <w:bCs/>
          <w:color w:val="auto"/>
          <w:kern w:val="0"/>
          <w:sz w:val="32"/>
          <w:szCs w:val="32"/>
        </w:rPr>
        <w:t>一等奖5分，市</w:t>
      </w:r>
      <w:r>
        <w:rPr>
          <w:rFonts w:hint="eastAsia" w:ascii="仿宋_GB2312" w:hAnsi="Times New Roman" w:eastAsia="仿宋_GB2312" w:cs="Times New Roman"/>
          <w:bCs/>
          <w:color w:val="auto"/>
          <w:kern w:val="0"/>
          <w:sz w:val="32"/>
          <w:szCs w:val="32"/>
          <w:lang w:val="en-US" w:eastAsia="zh-CN"/>
        </w:rPr>
        <w:t>级</w:t>
      </w:r>
      <w:r>
        <w:rPr>
          <w:rFonts w:hint="eastAsia" w:ascii="仿宋_GB2312" w:hAnsi="Times New Roman" w:eastAsia="仿宋_GB2312" w:cs="Times New Roman"/>
          <w:bCs/>
          <w:color w:val="auto"/>
          <w:kern w:val="0"/>
          <w:sz w:val="32"/>
          <w:szCs w:val="32"/>
        </w:rPr>
        <w:t>二等奖</w:t>
      </w:r>
      <w:r>
        <w:rPr>
          <w:rFonts w:hint="eastAsia" w:ascii="仿宋_GB2312" w:hAnsi="Times New Roman" w:eastAsia="仿宋_GB2312" w:cs="Times New Roman"/>
          <w:bCs/>
          <w:color w:val="auto"/>
          <w:kern w:val="0"/>
          <w:sz w:val="32"/>
          <w:szCs w:val="32"/>
          <w:lang w:eastAsia="zh-CN"/>
        </w:rPr>
        <w:t>（</w:t>
      </w:r>
      <w:r>
        <w:rPr>
          <w:rFonts w:hint="eastAsia" w:ascii="仿宋_GB2312" w:hAnsi="Times New Roman" w:eastAsia="仿宋_GB2312" w:cs="Times New Roman"/>
          <w:bCs/>
          <w:color w:val="auto"/>
          <w:kern w:val="0"/>
          <w:sz w:val="32"/>
          <w:szCs w:val="32"/>
        </w:rPr>
        <w:t>区一等奖</w:t>
      </w:r>
      <w:r>
        <w:rPr>
          <w:rFonts w:hint="eastAsia" w:ascii="仿宋_GB2312" w:hAnsi="Times New Roman" w:eastAsia="仿宋_GB2312" w:cs="Times New Roman"/>
          <w:bCs/>
          <w:color w:val="auto"/>
          <w:kern w:val="0"/>
          <w:sz w:val="32"/>
          <w:szCs w:val="32"/>
          <w:lang w:eastAsia="zh-CN"/>
        </w:rPr>
        <w:t>）</w:t>
      </w:r>
      <w:r>
        <w:rPr>
          <w:rFonts w:hint="eastAsia" w:ascii="仿宋_GB2312" w:hAnsi="Times New Roman" w:eastAsia="仿宋_GB2312" w:cs="Times New Roman"/>
          <w:bCs/>
          <w:color w:val="auto"/>
          <w:kern w:val="0"/>
          <w:sz w:val="32"/>
          <w:szCs w:val="32"/>
        </w:rPr>
        <w:t>4分，区</w:t>
      </w:r>
      <w:r>
        <w:rPr>
          <w:rFonts w:hint="eastAsia" w:ascii="仿宋_GB2312" w:hAnsi="Times New Roman" w:eastAsia="仿宋_GB2312" w:cs="Times New Roman"/>
          <w:bCs/>
          <w:color w:val="auto"/>
          <w:kern w:val="0"/>
          <w:sz w:val="32"/>
          <w:szCs w:val="32"/>
          <w:lang w:val="en-US" w:eastAsia="zh-CN"/>
        </w:rPr>
        <w:t>县级</w:t>
      </w:r>
      <w:r>
        <w:rPr>
          <w:rFonts w:hint="eastAsia" w:ascii="仿宋_GB2312" w:hAnsi="Times New Roman" w:eastAsia="仿宋_GB2312" w:cs="Times New Roman"/>
          <w:bCs/>
          <w:color w:val="auto"/>
          <w:kern w:val="0"/>
          <w:sz w:val="32"/>
          <w:szCs w:val="32"/>
        </w:rPr>
        <w:t>二等奖3分，区三等奖2分</w:t>
      </w:r>
      <w:r>
        <w:rPr>
          <w:rFonts w:hint="eastAsia" w:ascii="仿宋_GB2312" w:hAnsi="Times New Roman" w:eastAsia="仿宋_GB2312" w:cs="Times New Roman"/>
          <w:bCs/>
          <w:color w:val="auto"/>
          <w:kern w:val="0"/>
          <w:sz w:val="32"/>
          <w:szCs w:val="32"/>
          <w:lang w:eastAsia="zh-CN"/>
        </w:rPr>
        <w:t>。</w:t>
      </w:r>
      <w:r>
        <w:rPr>
          <w:rFonts w:ascii="仿宋_GB2312" w:hAnsi="Times New Roman" w:eastAsia="仿宋_GB2312" w:cs="Times New Roman"/>
          <w:bCs/>
          <w:color w:val="000000" w:themeColor="text1"/>
          <w:kern w:val="0"/>
          <w:sz w:val="32"/>
          <w:szCs w:val="32"/>
          <w14:textFill>
            <w14:solidFill>
              <w14:schemeClr w14:val="tx1"/>
            </w14:solidFill>
          </w14:textFill>
        </w:rPr>
        <w:t>(同一内容获不同级别奖励的，只计最高级别分值)。</w:t>
      </w:r>
    </w:p>
    <w:p w14:paraId="7D93D1B8">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14:textFill>
            <w14:solidFill>
              <w14:schemeClr w14:val="tx1"/>
            </w14:solidFill>
          </w14:textFill>
        </w:rPr>
      </w:pPr>
      <w:r>
        <w:rPr>
          <w:rFonts w:ascii="仿宋_GB2312" w:hAnsi="Times New Roman" w:eastAsia="仿宋_GB2312" w:cs="Times New Roman"/>
          <w:bCs/>
          <w:color w:val="000000" w:themeColor="text1"/>
          <w:kern w:val="0"/>
          <w:sz w:val="32"/>
          <w:szCs w:val="32"/>
          <w14:textFill>
            <w14:solidFill>
              <w14:schemeClr w14:val="tx1"/>
            </w14:solidFill>
          </w14:textFill>
        </w:rPr>
        <w:t>3.电教主管部门组织的录像课等：获国家级一等奖的计3分，国家级二等奖（或省级一等奖）的计2分，省级二等奖（或市级一等奖）的计1.5分，市级二等奖（或区县级一等奖）的计1分，区二等奖计0.5分。(同一内容获不同级别奖励的，只按最高级别计分)。</w:t>
      </w:r>
    </w:p>
    <w:p w14:paraId="2AE171A9">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14:textFill>
            <w14:solidFill>
              <w14:schemeClr w14:val="tx1"/>
            </w14:solidFill>
          </w14:textFill>
        </w:rPr>
      </w:pPr>
      <w:r>
        <w:rPr>
          <w:rFonts w:ascii="仿宋_GB2312" w:hAnsi="Times New Roman" w:eastAsia="仿宋_GB2312" w:cs="Times New Roman"/>
          <w:bCs/>
          <w:color w:val="000000" w:themeColor="text1"/>
          <w:kern w:val="0"/>
          <w:sz w:val="32"/>
          <w:szCs w:val="32"/>
          <w14:textFill>
            <w14:solidFill>
              <w14:schemeClr w14:val="tx1"/>
            </w14:solidFill>
          </w14:textFill>
        </w:rPr>
        <w:t>4.课件、案例设计、征文、微课程</w:t>
      </w:r>
      <w:r>
        <w:rPr>
          <w:rFonts w:ascii="仿宋_GB2312" w:hAnsi="Times New Roman" w:eastAsia="仿宋_GB2312" w:cs="Times New Roman"/>
          <w:bCs/>
          <w:color w:val="000000" w:themeColor="text1"/>
          <w:kern w:val="0"/>
          <w:sz w:val="32"/>
          <w:szCs w:val="32"/>
          <w14:textFill>
            <w14:solidFill>
              <w14:schemeClr w14:val="tx1"/>
            </w14:solidFill>
          </w14:textFill>
        </w:rPr>
        <w:tab/>
      </w:r>
      <w:r>
        <w:rPr>
          <w:rFonts w:ascii="仿宋_GB2312" w:hAnsi="Times New Roman" w:eastAsia="仿宋_GB2312" w:cs="Times New Roman"/>
          <w:bCs/>
          <w:color w:val="000000" w:themeColor="text1"/>
          <w:kern w:val="0"/>
          <w:sz w:val="32"/>
          <w:szCs w:val="32"/>
          <w14:textFill>
            <w14:solidFill>
              <w14:schemeClr w14:val="tx1"/>
            </w14:solidFill>
          </w14:textFill>
        </w:rPr>
        <w:t>获国家级一等奖的计3分，获国家级二等奖（或省级一等奖）的计2分，获省级二等奖（或市级一等奖）的计1分，市级二等奖（或区县级一等奖）的计0.5分，区二等奖计0.3分，区三等奖计0.1分。</w:t>
      </w:r>
      <w:r>
        <w:rPr>
          <w:rFonts w:hint="eastAsia" w:ascii="仿宋_GB2312" w:hAnsi="Times New Roman" w:eastAsia="仿宋_GB2312" w:cs="Times New Roman"/>
          <w:bCs/>
          <w:color w:val="auto"/>
          <w:kern w:val="0"/>
          <w:sz w:val="32"/>
          <w:szCs w:val="32"/>
        </w:rPr>
        <w:t>案例设计（团</w:t>
      </w:r>
      <w:r>
        <w:rPr>
          <w:rFonts w:hint="eastAsia" w:ascii="仿宋_GB2312" w:hAnsi="Times New Roman" w:eastAsia="仿宋_GB2312" w:cs="Times New Roman"/>
          <w:bCs/>
          <w:color w:val="auto"/>
          <w:kern w:val="0"/>
          <w:sz w:val="32"/>
          <w:szCs w:val="32"/>
          <w:lang w:val="en-US" w:eastAsia="zh-CN"/>
        </w:rPr>
        <w:t>队</w:t>
      </w:r>
      <w:r>
        <w:rPr>
          <w:rFonts w:hint="eastAsia" w:ascii="仿宋_GB2312" w:hAnsi="Times New Roman" w:eastAsia="仿宋_GB2312" w:cs="Times New Roman"/>
          <w:bCs/>
          <w:color w:val="auto"/>
          <w:kern w:val="0"/>
          <w:sz w:val="32"/>
          <w:szCs w:val="32"/>
        </w:rPr>
        <w:t>）：</w:t>
      </w:r>
      <w:r>
        <w:rPr>
          <w:rFonts w:hint="eastAsia" w:ascii="仿宋_GB2312" w:hAnsi="Times New Roman" w:eastAsia="仿宋_GB2312" w:cs="Times New Roman"/>
          <w:bCs/>
          <w:color w:val="auto"/>
          <w:kern w:val="0"/>
          <w:sz w:val="32"/>
          <w:szCs w:val="32"/>
          <w:lang w:val="en-US" w:eastAsia="zh-CN"/>
        </w:rPr>
        <w:t>国家级一等奖7分</w:t>
      </w:r>
      <w:r>
        <w:rPr>
          <w:rFonts w:hint="eastAsia" w:ascii="仿宋_GB2312" w:hAnsi="Times New Roman" w:eastAsia="仿宋_GB2312" w:cs="Times New Roman"/>
          <w:bCs/>
          <w:color w:val="auto"/>
          <w:kern w:val="0"/>
          <w:sz w:val="32"/>
          <w:szCs w:val="32"/>
          <w:lang w:eastAsia="zh-CN"/>
        </w:rPr>
        <w:t>，</w:t>
      </w:r>
      <w:r>
        <w:rPr>
          <w:rFonts w:hint="eastAsia" w:ascii="仿宋_GB2312" w:hAnsi="Times New Roman" w:eastAsia="仿宋_GB2312" w:cs="Times New Roman"/>
          <w:bCs/>
          <w:color w:val="auto"/>
          <w:kern w:val="0"/>
          <w:sz w:val="32"/>
          <w:szCs w:val="32"/>
          <w:lang w:val="en-US" w:eastAsia="zh-CN"/>
        </w:rPr>
        <w:t>国家级二等奖6分，国家级三等奖（</w:t>
      </w:r>
      <w:r>
        <w:rPr>
          <w:rFonts w:hint="eastAsia" w:ascii="仿宋_GB2312" w:hAnsi="Times New Roman" w:eastAsia="仿宋_GB2312" w:cs="Times New Roman"/>
          <w:bCs/>
          <w:color w:val="auto"/>
          <w:kern w:val="0"/>
          <w:sz w:val="32"/>
          <w:szCs w:val="32"/>
        </w:rPr>
        <w:t>省</w:t>
      </w:r>
      <w:r>
        <w:rPr>
          <w:rFonts w:hint="eastAsia" w:ascii="仿宋_GB2312" w:hAnsi="Times New Roman" w:eastAsia="仿宋_GB2312" w:cs="Times New Roman"/>
          <w:bCs/>
          <w:color w:val="auto"/>
          <w:kern w:val="0"/>
          <w:sz w:val="32"/>
          <w:szCs w:val="32"/>
          <w:lang w:val="en-US" w:eastAsia="zh-CN"/>
        </w:rPr>
        <w:t>级一等奖）</w:t>
      </w:r>
      <w:r>
        <w:rPr>
          <w:rFonts w:hint="eastAsia" w:ascii="仿宋_GB2312" w:hAnsi="Times New Roman" w:eastAsia="仿宋_GB2312" w:cs="Times New Roman"/>
          <w:bCs/>
          <w:color w:val="auto"/>
          <w:kern w:val="0"/>
          <w:sz w:val="32"/>
          <w:szCs w:val="32"/>
        </w:rPr>
        <w:t>5分，</w:t>
      </w:r>
      <w:r>
        <w:rPr>
          <w:rFonts w:hint="eastAsia" w:ascii="仿宋_GB2312" w:hAnsi="Times New Roman" w:eastAsia="仿宋_GB2312" w:cs="Times New Roman"/>
          <w:bCs/>
          <w:color w:val="auto"/>
          <w:kern w:val="0"/>
          <w:sz w:val="32"/>
          <w:szCs w:val="32"/>
          <w:lang w:val="en-US" w:eastAsia="zh-CN"/>
        </w:rPr>
        <w:t>省级二等奖4分，省级三等奖（</w:t>
      </w:r>
      <w:r>
        <w:rPr>
          <w:rFonts w:hint="eastAsia" w:ascii="仿宋_GB2312" w:hAnsi="Times New Roman" w:eastAsia="仿宋_GB2312" w:cs="Times New Roman"/>
          <w:bCs/>
          <w:color w:val="auto"/>
          <w:kern w:val="0"/>
          <w:sz w:val="32"/>
          <w:szCs w:val="32"/>
        </w:rPr>
        <w:t>市</w:t>
      </w:r>
      <w:r>
        <w:rPr>
          <w:rFonts w:hint="eastAsia" w:ascii="仿宋_GB2312" w:hAnsi="Times New Roman" w:eastAsia="仿宋_GB2312" w:cs="Times New Roman"/>
          <w:bCs/>
          <w:color w:val="auto"/>
          <w:kern w:val="0"/>
          <w:sz w:val="32"/>
          <w:szCs w:val="32"/>
          <w:lang w:val="en-US" w:eastAsia="zh-CN"/>
        </w:rPr>
        <w:t>级</w:t>
      </w:r>
      <w:r>
        <w:rPr>
          <w:rFonts w:hint="eastAsia" w:ascii="仿宋_GB2312" w:hAnsi="Times New Roman" w:eastAsia="仿宋_GB2312" w:cs="Times New Roman"/>
          <w:bCs/>
          <w:color w:val="auto"/>
          <w:kern w:val="0"/>
          <w:sz w:val="32"/>
          <w:szCs w:val="32"/>
        </w:rPr>
        <w:t>一等奖</w:t>
      </w:r>
      <w:r>
        <w:rPr>
          <w:rFonts w:hint="eastAsia" w:ascii="仿宋_GB2312" w:hAnsi="Times New Roman" w:eastAsia="仿宋_GB2312" w:cs="Times New Roman"/>
          <w:bCs/>
          <w:color w:val="auto"/>
          <w:kern w:val="0"/>
          <w:sz w:val="32"/>
          <w:szCs w:val="32"/>
          <w:lang w:val="en-US" w:eastAsia="zh-CN"/>
        </w:rPr>
        <w:t>）</w:t>
      </w:r>
      <w:r>
        <w:rPr>
          <w:rFonts w:hint="eastAsia" w:ascii="仿宋_GB2312" w:hAnsi="Times New Roman" w:eastAsia="仿宋_GB2312" w:cs="Times New Roman"/>
          <w:bCs/>
          <w:color w:val="auto"/>
          <w:kern w:val="0"/>
          <w:sz w:val="32"/>
          <w:szCs w:val="32"/>
        </w:rPr>
        <w:t>3分，</w:t>
      </w:r>
      <w:r>
        <w:rPr>
          <w:rFonts w:hint="eastAsia" w:ascii="仿宋_GB2312" w:hAnsi="Times New Roman" w:eastAsia="仿宋_GB2312" w:cs="Times New Roman"/>
          <w:bCs/>
          <w:color w:val="auto"/>
          <w:kern w:val="0"/>
          <w:sz w:val="32"/>
          <w:szCs w:val="32"/>
          <w:lang w:val="en-US" w:eastAsia="zh-CN"/>
        </w:rPr>
        <w:t>市级</w:t>
      </w:r>
      <w:r>
        <w:rPr>
          <w:rFonts w:hint="eastAsia" w:ascii="仿宋_GB2312" w:hAnsi="Times New Roman" w:eastAsia="仿宋_GB2312" w:cs="Times New Roman"/>
          <w:bCs/>
          <w:color w:val="auto"/>
          <w:kern w:val="0"/>
          <w:sz w:val="32"/>
          <w:szCs w:val="32"/>
        </w:rPr>
        <w:t>二等奖</w:t>
      </w:r>
      <w:r>
        <w:rPr>
          <w:rFonts w:hint="eastAsia" w:ascii="仿宋_GB2312" w:hAnsi="Times New Roman" w:eastAsia="仿宋_GB2312" w:cs="Times New Roman"/>
          <w:bCs/>
          <w:color w:val="auto"/>
          <w:kern w:val="0"/>
          <w:sz w:val="32"/>
          <w:szCs w:val="32"/>
          <w:lang w:eastAsia="zh-CN"/>
        </w:rPr>
        <w:t>（</w:t>
      </w:r>
      <w:r>
        <w:rPr>
          <w:rFonts w:hint="eastAsia" w:ascii="仿宋_GB2312" w:hAnsi="Times New Roman" w:eastAsia="仿宋_GB2312" w:cs="Times New Roman"/>
          <w:bCs/>
          <w:color w:val="auto"/>
          <w:kern w:val="0"/>
          <w:sz w:val="32"/>
          <w:szCs w:val="32"/>
        </w:rPr>
        <w:t>区</w:t>
      </w:r>
      <w:r>
        <w:rPr>
          <w:rFonts w:hint="eastAsia" w:ascii="仿宋_GB2312" w:hAnsi="Times New Roman" w:eastAsia="仿宋_GB2312" w:cs="Times New Roman"/>
          <w:bCs/>
          <w:color w:val="auto"/>
          <w:kern w:val="0"/>
          <w:sz w:val="32"/>
          <w:szCs w:val="32"/>
          <w:lang w:val="en-US" w:eastAsia="zh-CN"/>
        </w:rPr>
        <w:t>级</w:t>
      </w:r>
      <w:r>
        <w:rPr>
          <w:rFonts w:hint="eastAsia" w:ascii="仿宋_GB2312" w:hAnsi="Times New Roman" w:eastAsia="仿宋_GB2312" w:cs="Times New Roman"/>
          <w:bCs/>
          <w:color w:val="auto"/>
          <w:kern w:val="0"/>
          <w:sz w:val="32"/>
          <w:szCs w:val="32"/>
        </w:rPr>
        <w:t>一等奖</w:t>
      </w:r>
      <w:r>
        <w:rPr>
          <w:rFonts w:hint="eastAsia" w:ascii="仿宋_GB2312" w:hAnsi="Times New Roman" w:eastAsia="仿宋_GB2312" w:cs="Times New Roman"/>
          <w:bCs/>
          <w:color w:val="auto"/>
          <w:kern w:val="0"/>
          <w:sz w:val="32"/>
          <w:szCs w:val="32"/>
          <w:lang w:eastAsia="zh-CN"/>
        </w:rPr>
        <w:t>）</w:t>
      </w:r>
      <w:r>
        <w:rPr>
          <w:rFonts w:hint="eastAsia" w:ascii="仿宋_GB2312" w:hAnsi="Times New Roman" w:eastAsia="仿宋_GB2312" w:cs="Times New Roman"/>
          <w:bCs/>
          <w:color w:val="auto"/>
          <w:kern w:val="0"/>
          <w:sz w:val="32"/>
          <w:szCs w:val="32"/>
        </w:rPr>
        <w:t>2分，区</w:t>
      </w:r>
      <w:r>
        <w:rPr>
          <w:rFonts w:hint="eastAsia" w:ascii="仿宋_GB2312" w:hAnsi="Times New Roman" w:eastAsia="仿宋_GB2312" w:cs="Times New Roman"/>
          <w:bCs/>
          <w:color w:val="auto"/>
          <w:kern w:val="0"/>
          <w:sz w:val="32"/>
          <w:szCs w:val="32"/>
          <w:lang w:val="en-US" w:eastAsia="zh-CN"/>
        </w:rPr>
        <w:t>县级</w:t>
      </w:r>
      <w:r>
        <w:rPr>
          <w:rFonts w:hint="eastAsia" w:ascii="仿宋_GB2312" w:hAnsi="Times New Roman" w:eastAsia="仿宋_GB2312" w:cs="Times New Roman"/>
          <w:bCs/>
          <w:color w:val="auto"/>
          <w:kern w:val="0"/>
          <w:sz w:val="32"/>
          <w:szCs w:val="32"/>
        </w:rPr>
        <w:t>二等奖1分</w:t>
      </w:r>
      <w:r>
        <w:rPr>
          <w:rFonts w:hint="eastAsia" w:ascii="仿宋_GB2312" w:hAnsi="Times New Roman" w:eastAsia="仿宋_GB2312" w:cs="Times New Roman"/>
          <w:bCs/>
          <w:color w:val="auto"/>
          <w:kern w:val="0"/>
          <w:sz w:val="32"/>
          <w:szCs w:val="32"/>
          <w:lang w:eastAsia="zh-CN"/>
        </w:rPr>
        <w:t>。</w:t>
      </w:r>
      <w:r>
        <w:rPr>
          <w:rFonts w:ascii="仿宋_GB2312" w:hAnsi="Times New Roman" w:eastAsia="仿宋_GB2312" w:cs="Times New Roman"/>
          <w:bCs/>
          <w:color w:val="000000" w:themeColor="text1"/>
          <w:kern w:val="0"/>
          <w:sz w:val="32"/>
          <w:szCs w:val="32"/>
          <w14:textFill>
            <w14:solidFill>
              <w14:schemeClr w14:val="tx1"/>
            </w14:solidFill>
          </w14:textFill>
        </w:rPr>
        <w:t>(同一内容获不同级别奖励的，只按最高级别计分；多人合作的获奖分值均分）。</w:t>
      </w:r>
    </w:p>
    <w:p w14:paraId="25D236F0">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14:textFill>
            <w14:solidFill>
              <w14:schemeClr w14:val="tx1"/>
            </w14:solidFill>
          </w14:textFill>
        </w:rPr>
      </w:pPr>
      <w:r>
        <w:rPr>
          <w:rFonts w:ascii="仿宋_GB2312" w:hAnsi="Times New Roman" w:eastAsia="仿宋_GB2312" w:cs="Times New Roman"/>
          <w:bCs/>
          <w:color w:val="000000" w:themeColor="text1"/>
          <w:kern w:val="0"/>
          <w:sz w:val="32"/>
          <w:szCs w:val="32"/>
          <w14:textFill>
            <w14:solidFill>
              <w14:schemeClr w14:val="tx1"/>
            </w14:solidFill>
          </w14:textFill>
        </w:rPr>
        <w:t>5.</w:t>
      </w:r>
      <w:r>
        <w:rPr>
          <w:rFonts w:hint="eastAsia" w:ascii="仿宋_GB2312" w:hAnsi="Times New Roman" w:eastAsia="仿宋_GB2312" w:cs="Times New Roman"/>
          <w:bCs/>
          <w:color w:val="000000" w:themeColor="text1"/>
          <w:kern w:val="0"/>
          <w:sz w:val="32"/>
          <w:szCs w:val="32"/>
          <w14:textFill>
            <w14:solidFill>
              <w14:schemeClr w14:val="tx1"/>
            </w14:solidFill>
          </w14:textFill>
        </w:rPr>
        <w:t>教科研成果：教科研部门组织的经学校推荐参加且已结题的教科研课题</w:t>
      </w:r>
      <w:r>
        <w:rPr>
          <w:rFonts w:hint="eastAsia" w:ascii="仿宋_GB2312" w:hAnsi="Times New Roman" w:eastAsia="仿宋_GB2312" w:cs="Times New Roman"/>
          <w:bCs/>
          <w:color w:val="000000" w:themeColor="text1"/>
          <w:kern w:val="0"/>
          <w:sz w:val="32"/>
          <w:szCs w:val="32"/>
          <w:lang w:eastAsia="zh-CN"/>
          <w14:textFill>
            <w14:solidFill>
              <w14:schemeClr w14:val="tx1"/>
            </w14:solidFill>
          </w14:textFill>
        </w:rPr>
        <w:t>、</w:t>
      </w:r>
      <w:r>
        <w:rPr>
          <w:rFonts w:hint="eastAsia" w:ascii="仿宋_GB2312" w:hAnsi="Times New Roman" w:eastAsia="仿宋_GB2312" w:cs="Times New Roman"/>
          <w:bCs/>
          <w:color w:val="auto"/>
          <w:kern w:val="0"/>
          <w:sz w:val="32"/>
          <w:szCs w:val="32"/>
          <w:lang w:val="en-US" w:eastAsia="zh-CN"/>
        </w:rPr>
        <w:t>教改项目</w:t>
      </w:r>
      <w:r>
        <w:rPr>
          <w:rFonts w:hint="eastAsia" w:ascii="仿宋_GB2312" w:hAnsi="Times New Roman" w:eastAsia="仿宋_GB2312" w:cs="Times New Roman"/>
          <w:bCs/>
          <w:color w:val="auto"/>
          <w:kern w:val="0"/>
          <w:sz w:val="32"/>
          <w:szCs w:val="32"/>
        </w:rPr>
        <w:t>，国家级课题</w:t>
      </w:r>
      <w:r>
        <w:rPr>
          <w:rStyle w:val="9"/>
          <w:rFonts w:hint="eastAsia" w:ascii="仿宋_GB2312" w:hAnsi="仿宋" w:eastAsia="仿宋_GB2312"/>
          <w:color w:val="auto"/>
          <w:sz w:val="32"/>
          <w:szCs w:val="32"/>
          <w:lang w:eastAsia="zh-CN"/>
        </w:rPr>
        <w:t>（</w:t>
      </w:r>
      <w:r>
        <w:rPr>
          <w:rStyle w:val="9"/>
          <w:rFonts w:hint="eastAsia" w:ascii="仿宋_GB2312" w:hAnsi="仿宋" w:eastAsia="仿宋_GB2312"/>
          <w:color w:val="auto"/>
          <w:sz w:val="32"/>
          <w:szCs w:val="32"/>
          <w:lang w:val="en-US" w:eastAsia="zh-CN"/>
        </w:rPr>
        <w:t>项目</w:t>
      </w:r>
      <w:r>
        <w:rPr>
          <w:rStyle w:val="9"/>
          <w:rFonts w:hint="eastAsia" w:ascii="仿宋_GB2312" w:hAnsi="仿宋" w:eastAsia="仿宋_GB2312"/>
          <w:color w:val="auto"/>
          <w:sz w:val="32"/>
          <w:szCs w:val="32"/>
          <w:lang w:eastAsia="zh-CN"/>
        </w:rPr>
        <w:t>）</w:t>
      </w:r>
      <w:r>
        <w:rPr>
          <w:rFonts w:ascii="仿宋_GB2312" w:hAnsi="Times New Roman" w:eastAsia="仿宋_GB2312" w:cs="Times New Roman"/>
          <w:bCs/>
          <w:color w:val="auto"/>
          <w:kern w:val="0"/>
          <w:sz w:val="32"/>
          <w:szCs w:val="32"/>
        </w:rPr>
        <w:t>10分，其中实际负责人计占50% ，其他成员，占50 %（按贡献大小计分）；省级课题</w:t>
      </w:r>
      <w:r>
        <w:rPr>
          <w:rStyle w:val="9"/>
          <w:rFonts w:hint="eastAsia" w:ascii="仿宋_GB2312" w:hAnsi="仿宋" w:eastAsia="仿宋_GB2312"/>
          <w:color w:val="auto"/>
          <w:sz w:val="32"/>
          <w:szCs w:val="32"/>
          <w:lang w:eastAsia="zh-CN"/>
        </w:rPr>
        <w:t>（</w:t>
      </w:r>
      <w:r>
        <w:rPr>
          <w:rStyle w:val="9"/>
          <w:rFonts w:hint="eastAsia" w:ascii="仿宋_GB2312" w:hAnsi="仿宋" w:eastAsia="仿宋_GB2312"/>
          <w:color w:val="auto"/>
          <w:sz w:val="32"/>
          <w:szCs w:val="32"/>
          <w:lang w:val="en-US" w:eastAsia="zh-CN"/>
        </w:rPr>
        <w:t>项目</w:t>
      </w:r>
      <w:r>
        <w:rPr>
          <w:rStyle w:val="9"/>
          <w:rFonts w:hint="eastAsia" w:ascii="仿宋_GB2312" w:hAnsi="仿宋" w:eastAsia="仿宋_GB2312"/>
          <w:color w:val="auto"/>
          <w:sz w:val="32"/>
          <w:szCs w:val="32"/>
          <w:lang w:eastAsia="zh-CN"/>
        </w:rPr>
        <w:t>）</w:t>
      </w:r>
      <w:r>
        <w:rPr>
          <w:rFonts w:ascii="仿宋_GB2312" w:hAnsi="Times New Roman" w:eastAsia="仿宋_GB2312" w:cs="Times New Roman"/>
          <w:bCs/>
          <w:color w:val="auto"/>
          <w:kern w:val="0"/>
          <w:sz w:val="32"/>
          <w:szCs w:val="32"/>
        </w:rPr>
        <w:t>8分，其中实际负责人计占50% ，其他成员，占50 %（按贡献大小计分）；市级课题</w:t>
      </w:r>
      <w:r>
        <w:rPr>
          <w:rStyle w:val="9"/>
          <w:rFonts w:hint="eastAsia" w:ascii="仿宋_GB2312" w:hAnsi="仿宋" w:eastAsia="仿宋_GB2312"/>
          <w:color w:val="auto"/>
          <w:sz w:val="32"/>
          <w:szCs w:val="32"/>
          <w:lang w:eastAsia="zh-CN"/>
        </w:rPr>
        <w:t>（</w:t>
      </w:r>
      <w:r>
        <w:rPr>
          <w:rStyle w:val="9"/>
          <w:rFonts w:hint="eastAsia" w:ascii="仿宋_GB2312" w:hAnsi="仿宋" w:eastAsia="仿宋_GB2312"/>
          <w:color w:val="auto"/>
          <w:sz w:val="32"/>
          <w:szCs w:val="32"/>
          <w:lang w:val="en-US" w:eastAsia="zh-CN"/>
        </w:rPr>
        <w:t>项目</w:t>
      </w:r>
      <w:r>
        <w:rPr>
          <w:rStyle w:val="9"/>
          <w:rFonts w:hint="eastAsia" w:ascii="仿宋_GB2312" w:hAnsi="仿宋" w:eastAsia="仿宋_GB2312"/>
          <w:color w:val="auto"/>
          <w:sz w:val="32"/>
          <w:szCs w:val="32"/>
          <w:lang w:eastAsia="zh-CN"/>
        </w:rPr>
        <w:t>）</w:t>
      </w:r>
      <w:r>
        <w:rPr>
          <w:rFonts w:ascii="仿宋_GB2312" w:hAnsi="Times New Roman" w:eastAsia="仿宋_GB2312" w:cs="Times New Roman"/>
          <w:bCs/>
          <w:color w:val="auto"/>
          <w:kern w:val="0"/>
          <w:sz w:val="32"/>
          <w:szCs w:val="32"/>
        </w:rPr>
        <w:t>6分，其中实际负责人计占50% ，其他成员，占50 %（按贡献大小计分）；区级课题</w:t>
      </w:r>
      <w:r>
        <w:rPr>
          <w:rStyle w:val="9"/>
          <w:rFonts w:hint="eastAsia" w:ascii="仿宋_GB2312" w:hAnsi="仿宋" w:eastAsia="仿宋_GB2312"/>
          <w:color w:val="auto"/>
          <w:sz w:val="32"/>
          <w:szCs w:val="32"/>
          <w:lang w:eastAsia="zh-CN"/>
        </w:rPr>
        <w:t>（</w:t>
      </w:r>
      <w:r>
        <w:rPr>
          <w:rStyle w:val="9"/>
          <w:rFonts w:hint="eastAsia" w:ascii="仿宋_GB2312" w:hAnsi="仿宋" w:eastAsia="仿宋_GB2312"/>
          <w:color w:val="auto"/>
          <w:sz w:val="32"/>
          <w:szCs w:val="32"/>
          <w:lang w:val="en-US" w:eastAsia="zh-CN"/>
        </w:rPr>
        <w:t>项目</w:t>
      </w:r>
      <w:r>
        <w:rPr>
          <w:rStyle w:val="9"/>
          <w:rFonts w:hint="eastAsia" w:ascii="仿宋_GB2312" w:hAnsi="仿宋" w:eastAsia="仿宋_GB2312"/>
          <w:color w:val="auto"/>
          <w:sz w:val="32"/>
          <w:szCs w:val="32"/>
          <w:lang w:eastAsia="zh-CN"/>
        </w:rPr>
        <w:t>）</w:t>
      </w:r>
      <w:r>
        <w:rPr>
          <w:rFonts w:ascii="仿宋_GB2312" w:hAnsi="Times New Roman" w:eastAsia="仿宋_GB2312" w:cs="Times New Roman"/>
          <w:bCs/>
          <w:color w:val="auto"/>
          <w:kern w:val="0"/>
          <w:sz w:val="32"/>
          <w:szCs w:val="32"/>
        </w:rPr>
        <w:t>4分，其中负责人计2分，其他成员合计2分。校级课题（</w:t>
      </w:r>
      <w:r>
        <w:rPr>
          <w:rFonts w:hint="eastAsia" w:ascii="仿宋_GB2312" w:hAnsi="Times New Roman" w:eastAsia="仿宋_GB2312" w:cs="Times New Roman"/>
          <w:bCs/>
          <w:color w:val="auto"/>
          <w:kern w:val="0"/>
          <w:sz w:val="32"/>
          <w:szCs w:val="32"/>
          <w:lang w:val="en-US" w:eastAsia="zh-CN"/>
        </w:rPr>
        <w:t>项目、</w:t>
      </w:r>
      <w:r>
        <w:rPr>
          <w:rFonts w:ascii="仿宋_GB2312" w:hAnsi="Times New Roman" w:eastAsia="仿宋_GB2312" w:cs="Times New Roman"/>
          <w:bCs/>
          <w:color w:val="auto"/>
          <w:kern w:val="0"/>
          <w:sz w:val="32"/>
          <w:szCs w:val="32"/>
        </w:rPr>
        <w:t>校本教材）1分，其中负责人计0.5分，其他成员合计0.5分</w:t>
      </w:r>
      <w:r>
        <w:rPr>
          <w:rFonts w:hint="eastAsia" w:ascii="仿宋_GB2312" w:hAnsi="Times New Roman" w:eastAsia="仿宋_GB2312" w:cs="Times New Roman"/>
          <w:bCs/>
          <w:color w:val="auto"/>
          <w:kern w:val="0"/>
          <w:sz w:val="32"/>
          <w:szCs w:val="32"/>
          <w:lang w:eastAsia="zh-CN"/>
        </w:rPr>
        <w:t>。</w:t>
      </w:r>
      <w:r>
        <w:rPr>
          <w:rFonts w:hint="eastAsia" w:ascii="仿宋_GB2312" w:hAnsi="Times New Roman" w:eastAsia="仿宋_GB2312" w:cs="Times New Roman"/>
          <w:bCs/>
          <w:color w:val="auto"/>
          <w:kern w:val="0"/>
          <w:sz w:val="32"/>
          <w:szCs w:val="32"/>
          <w:lang w:val="en-US" w:eastAsia="zh-CN"/>
        </w:rPr>
        <w:t>教学成果，国家级特等奖10分，国家级一等奖9分，国家级二等奖（省级特等奖）8分，省级一等奖7分，省级二等奖（市级特等奖）6分，市级一等奖5分，市级二等奖（区级特等奖）4分，区级一等奖3分，区级二等奖2分，其中实际负责人计占50% ，其他成员，占50 %（按贡献大小计分）。</w:t>
      </w:r>
      <w:r>
        <w:rPr>
          <w:rFonts w:ascii="仿宋_GB2312" w:hAnsi="Times New Roman" w:eastAsia="仿宋_GB2312" w:cs="Times New Roman"/>
          <w:bCs/>
          <w:color w:val="000000" w:themeColor="text1"/>
          <w:kern w:val="0"/>
          <w:sz w:val="32"/>
          <w:szCs w:val="32"/>
          <w14:textFill>
            <w14:solidFill>
              <w14:schemeClr w14:val="tx1"/>
            </w14:solidFill>
          </w14:textFill>
        </w:rPr>
        <w:t>（不同级别、同一内容的只计最高级别分值）。各级教育主管部门组织的教材、校</w:t>
      </w:r>
      <w:r>
        <w:rPr>
          <w:rFonts w:hint="eastAsia" w:ascii="仿宋_GB2312" w:hAnsi="Times New Roman" w:eastAsia="仿宋_GB2312" w:cs="Times New Roman"/>
          <w:bCs/>
          <w:color w:val="000000" w:themeColor="text1"/>
          <w:kern w:val="0"/>
          <w:sz w:val="32"/>
          <w:szCs w:val="32"/>
          <w14:textFill>
            <w14:solidFill>
              <w14:schemeClr w14:val="tx1"/>
            </w14:solidFill>
          </w14:textFill>
        </w:rPr>
        <w:t>本教材及专著的编写工作，有统一刊号的参照课题执行。</w:t>
      </w:r>
      <w:r>
        <w:rPr>
          <w:rFonts w:ascii="仿宋_GB2312" w:hAnsi="Times New Roman" w:eastAsia="仿宋_GB2312" w:cs="Times New Roman"/>
          <w:bCs/>
          <w:color w:val="000000" w:themeColor="text1"/>
          <w:kern w:val="0"/>
          <w:sz w:val="32"/>
          <w:szCs w:val="32"/>
          <w14:textFill>
            <w14:solidFill>
              <w14:schemeClr w14:val="tx1"/>
            </w14:solidFill>
          </w14:textFill>
        </w:rPr>
        <w:t xml:space="preserve">  </w:t>
      </w:r>
    </w:p>
    <w:p w14:paraId="4B7E922A">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14:textFill>
            <w14:solidFill>
              <w14:schemeClr w14:val="tx1"/>
            </w14:solidFill>
          </w14:textFill>
        </w:rPr>
      </w:pPr>
      <w:r>
        <w:rPr>
          <w:rFonts w:ascii="仿宋_GB2312" w:hAnsi="Times New Roman" w:eastAsia="仿宋_GB2312" w:cs="Times New Roman"/>
          <w:bCs/>
          <w:color w:val="000000" w:themeColor="text1"/>
          <w:kern w:val="0"/>
          <w:sz w:val="32"/>
          <w:szCs w:val="32"/>
          <w14:textFill>
            <w14:solidFill>
              <w14:schemeClr w14:val="tx1"/>
            </w14:solidFill>
          </w14:textFill>
        </w:rPr>
        <w:t>6.</w:t>
      </w:r>
      <w:r>
        <w:rPr>
          <w:rFonts w:hint="eastAsia" w:ascii="仿宋_GB2312" w:hAnsi="Times New Roman" w:eastAsia="仿宋_GB2312" w:cs="Times New Roman"/>
          <w:bCs/>
          <w:color w:val="000000" w:themeColor="text1"/>
          <w:kern w:val="0"/>
          <w:sz w:val="32"/>
          <w:szCs w:val="32"/>
          <w14:textFill>
            <w14:solidFill>
              <w14:schemeClr w14:val="tx1"/>
            </w14:solidFill>
          </w14:textFill>
        </w:rPr>
        <w:t>论文（满</w:t>
      </w:r>
      <w:r>
        <w:rPr>
          <w:rFonts w:ascii="仿宋_GB2312" w:hAnsi="Times New Roman" w:eastAsia="仿宋_GB2312" w:cs="Times New Roman"/>
          <w:bCs/>
          <w:color w:val="000000" w:themeColor="text1"/>
          <w:kern w:val="0"/>
          <w:sz w:val="32"/>
          <w:szCs w:val="32"/>
          <w14:textFill>
            <w14:solidFill>
              <w14:schemeClr w14:val="tx1"/>
            </w14:solidFill>
          </w14:textFill>
        </w:rPr>
        <w:t>5分为止）</w:t>
      </w:r>
      <w:r>
        <w:rPr>
          <w:rFonts w:hint="eastAsia" w:ascii="仿宋_GB2312" w:hAnsi="Times New Roman" w:eastAsia="仿宋_GB2312" w:cs="Times New Roman"/>
          <w:bCs/>
          <w:color w:val="000000" w:themeColor="text1"/>
          <w:kern w:val="0"/>
          <w:sz w:val="32"/>
          <w:szCs w:val="32"/>
          <w14:textFill>
            <w14:solidFill>
              <w14:schemeClr w14:val="tx1"/>
            </w14:solidFill>
          </w14:textFill>
        </w:rPr>
        <w:t>：</w:t>
      </w:r>
      <w:r>
        <w:rPr>
          <w:rFonts w:ascii="仿宋_GB2312" w:hAnsi="Times New Roman" w:eastAsia="仿宋_GB2312" w:cs="Times New Roman"/>
          <w:bCs/>
          <w:color w:val="000000" w:themeColor="text1"/>
          <w:kern w:val="0"/>
          <w:sz w:val="32"/>
          <w:szCs w:val="32"/>
          <w14:textFill>
            <w14:solidFill>
              <w14:schemeClr w14:val="tx1"/>
            </w14:solidFill>
          </w14:textFill>
        </w:rPr>
        <w:t>自任现职以来在国家教育部主办主管的报刊上发表1500字以上与教育教学有关的论文一篇计3分；在省级教育行政部门主办主管的报刊上发表1500字以上与教育教学有关的论文一篇计1.5分；在非教育行政部门主管主办的报刊上发表1500字以上与教育教学有关的论文国家级一篇计2分，省级一篇计1分。论文需提交相关网站查询页，查不到检索页的论文一律不予认定。</w:t>
      </w:r>
    </w:p>
    <w:p w14:paraId="3DBC69EE">
      <w:pPr>
        <w:adjustRightInd w:val="0"/>
        <w:snapToGrid w:val="0"/>
        <w:spacing w:line="576" w:lineRule="exact"/>
        <w:rPr>
          <w:rFonts w:hint="eastAsia" w:ascii="仿宋_GB2312" w:hAnsi="Times New Roman" w:eastAsia="仿宋_GB2312" w:cs="Times New Roman"/>
          <w:b/>
          <w:color w:val="000000" w:themeColor="text1"/>
          <w:kern w:val="0"/>
          <w:sz w:val="32"/>
          <w:szCs w:val="32"/>
          <w:lang w:eastAsia="zh-CN"/>
          <w14:textFill>
            <w14:solidFill>
              <w14:schemeClr w14:val="tx1"/>
            </w14:solidFill>
          </w14:textFill>
        </w:rPr>
      </w:pPr>
      <w:r>
        <w:rPr>
          <w:rFonts w:hint="eastAsia" w:ascii="仿宋_GB2312" w:hAnsi="Times New Roman" w:eastAsia="仿宋_GB2312" w:cs="Times New Roman"/>
          <w:b/>
          <w:color w:val="000000" w:themeColor="text1"/>
          <w:kern w:val="0"/>
          <w:sz w:val="32"/>
          <w:szCs w:val="32"/>
          <w:lang w:eastAsia="zh-Hans"/>
          <w14:textFill>
            <w14:solidFill>
              <w14:schemeClr w14:val="tx1"/>
            </w14:solidFill>
          </w14:textFill>
        </w:rPr>
        <w:t>附件5：学生素养</w:t>
      </w:r>
      <w:r>
        <w:rPr>
          <w:rFonts w:hint="eastAsia" w:ascii="仿宋_GB2312" w:hAnsi="Times New Roman" w:eastAsia="仿宋_GB2312" w:cs="Times New Roman"/>
          <w:b/>
          <w:color w:val="000000" w:themeColor="text1"/>
          <w:kern w:val="0"/>
          <w:sz w:val="32"/>
          <w:szCs w:val="32"/>
          <w:lang w:eastAsia="zh-CN"/>
          <w14:textFill>
            <w14:solidFill>
              <w14:schemeClr w14:val="tx1"/>
            </w14:solidFill>
          </w14:textFill>
        </w:rPr>
        <w:t>（</w:t>
      </w:r>
      <w:r>
        <w:rPr>
          <w:rFonts w:hint="eastAsia" w:ascii="仿宋_GB2312" w:hAnsi="Times New Roman" w:eastAsia="仿宋_GB2312" w:cs="Times New Roman"/>
          <w:b/>
          <w:color w:val="000000" w:themeColor="text1"/>
          <w:kern w:val="0"/>
          <w:sz w:val="32"/>
          <w:szCs w:val="32"/>
          <w:lang w:val="en-US" w:eastAsia="zh-CN"/>
          <w14:textFill>
            <w14:solidFill>
              <w14:schemeClr w14:val="tx1"/>
            </w14:solidFill>
          </w14:textFill>
        </w:rPr>
        <w:t>30分</w:t>
      </w:r>
      <w:r>
        <w:rPr>
          <w:rFonts w:hint="eastAsia" w:ascii="仿宋_GB2312" w:hAnsi="Times New Roman" w:eastAsia="仿宋_GB2312" w:cs="Times New Roman"/>
          <w:b/>
          <w:color w:val="000000" w:themeColor="text1"/>
          <w:kern w:val="0"/>
          <w:sz w:val="32"/>
          <w:szCs w:val="32"/>
          <w:lang w:eastAsia="zh-CN"/>
          <w14:textFill>
            <w14:solidFill>
              <w14:schemeClr w14:val="tx1"/>
            </w14:solidFill>
          </w14:textFill>
        </w:rPr>
        <w:t>）</w:t>
      </w:r>
    </w:p>
    <w:p w14:paraId="4247114C">
      <w:pPr>
        <w:adjustRightInd w:val="0"/>
        <w:snapToGrid w:val="0"/>
        <w:spacing w:line="576" w:lineRule="exact"/>
        <w:ind w:firstLine="640" w:firstLineChars="200"/>
        <w:rPr>
          <w:rFonts w:hint="eastAsia" w:ascii="仿宋_GB2312" w:hAnsi="Times New Roman" w:eastAsia="仿宋_GB2312" w:cs="Times New Roman"/>
          <w:bCs/>
          <w:color w:val="auto"/>
          <w:kern w:val="0"/>
          <w:sz w:val="32"/>
          <w:szCs w:val="32"/>
          <w:lang w:eastAsia="zh-Hans"/>
        </w:rPr>
      </w:pPr>
      <w:r>
        <w:rPr>
          <w:rFonts w:hint="eastAsia" w:ascii="仿宋_GB2312" w:hAnsi="Times New Roman" w:eastAsia="仿宋_GB2312" w:cs="Times New Roman"/>
          <w:bCs/>
          <w:color w:val="auto"/>
          <w:kern w:val="0"/>
          <w:sz w:val="32"/>
          <w:szCs w:val="32"/>
          <w:lang w:eastAsia="zh-Hans"/>
        </w:rPr>
        <w:t>1</w:t>
      </w:r>
      <w:r>
        <w:rPr>
          <w:rFonts w:ascii="仿宋_GB2312" w:hAnsi="Times New Roman" w:eastAsia="仿宋_GB2312" w:cs="Times New Roman"/>
          <w:bCs/>
          <w:color w:val="auto"/>
          <w:kern w:val="0"/>
          <w:sz w:val="32"/>
          <w:szCs w:val="32"/>
          <w:lang w:eastAsia="zh-Hans"/>
        </w:rPr>
        <w:t>.</w:t>
      </w:r>
      <w:r>
        <w:rPr>
          <w:rFonts w:hint="eastAsia" w:ascii="仿宋_GB2312" w:hAnsi="Times New Roman" w:eastAsia="仿宋_GB2312" w:cs="Times New Roman"/>
          <w:bCs/>
          <w:color w:val="auto"/>
          <w:kern w:val="0"/>
          <w:sz w:val="32"/>
          <w:szCs w:val="32"/>
          <w:lang w:val="en-US" w:eastAsia="zh-CN"/>
        </w:rPr>
        <w:t>3-5年级学生素养，依据各年级各学科</w:t>
      </w:r>
      <w:r>
        <w:rPr>
          <w:rFonts w:hint="eastAsia" w:ascii="仿宋_GB2312" w:hAnsi="Times New Roman" w:eastAsia="仿宋_GB2312" w:cs="Times New Roman"/>
          <w:bCs/>
          <w:color w:val="auto"/>
          <w:kern w:val="0"/>
          <w:sz w:val="32"/>
          <w:szCs w:val="32"/>
          <w:lang w:eastAsia="zh-Hans"/>
        </w:rPr>
        <w:t>期末素质教育水平检测</w:t>
      </w:r>
      <w:r>
        <w:rPr>
          <w:rFonts w:hint="eastAsia" w:ascii="仿宋_GB2312" w:hAnsi="Times New Roman" w:eastAsia="仿宋_GB2312" w:cs="Times New Roman"/>
          <w:bCs/>
          <w:color w:val="auto"/>
          <w:kern w:val="0"/>
          <w:sz w:val="32"/>
          <w:szCs w:val="32"/>
          <w:lang w:val="en-US" w:eastAsia="zh-CN"/>
        </w:rPr>
        <w:t>成绩</w:t>
      </w:r>
      <w:r>
        <w:rPr>
          <w:rFonts w:hint="eastAsia" w:ascii="仿宋_GB2312" w:hAnsi="Times New Roman" w:eastAsia="仿宋_GB2312" w:cs="Times New Roman"/>
          <w:bCs/>
          <w:color w:val="auto"/>
          <w:kern w:val="0"/>
          <w:sz w:val="32"/>
          <w:szCs w:val="32"/>
          <w:lang w:eastAsia="zh-Hans"/>
        </w:rPr>
        <w:t>，</w:t>
      </w:r>
      <w:r>
        <w:rPr>
          <w:rFonts w:hint="eastAsia" w:ascii="仿宋_GB2312" w:hAnsi="Times New Roman" w:eastAsia="仿宋_GB2312" w:cs="Times New Roman"/>
          <w:bCs/>
          <w:color w:val="auto"/>
          <w:kern w:val="0"/>
          <w:sz w:val="32"/>
          <w:szCs w:val="32"/>
          <w:lang w:val="en-US" w:eastAsia="zh-CN"/>
        </w:rPr>
        <w:t>按博山区</w:t>
      </w:r>
      <w:r>
        <w:rPr>
          <w:rFonts w:hint="eastAsia" w:ascii="仿宋_GB2312" w:hAnsi="Times New Roman" w:eastAsia="仿宋_GB2312" w:cs="Times New Roman"/>
          <w:bCs/>
          <w:color w:val="auto"/>
          <w:kern w:val="0"/>
          <w:sz w:val="32"/>
          <w:szCs w:val="32"/>
          <w:lang w:eastAsia="zh-Hans"/>
        </w:rPr>
        <w:t>小学教学质量评价指标计算办法</w:t>
      </w:r>
      <w:r>
        <w:rPr>
          <w:rFonts w:hint="eastAsia" w:ascii="仿宋_GB2312" w:hAnsi="Times New Roman" w:eastAsia="仿宋_GB2312" w:cs="Times New Roman"/>
          <w:bCs/>
          <w:color w:val="auto"/>
          <w:kern w:val="0"/>
          <w:sz w:val="32"/>
          <w:szCs w:val="32"/>
          <w:lang w:val="en-US" w:eastAsia="zh-CN"/>
        </w:rPr>
        <w:t>执行</w:t>
      </w:r>
      <w:r>
        <w:rPr>
          <w:rFonts w:hint="eastAsia" w:ascii="仿宋_GB2312" w:hAnsi="Times New Roman" w:eastAsia="仿宋_GB2312" w:cs="Times New Roman"/>
          <w:bCs/>
          <w:color w:val="auto"/>
          <w:kern w:val="0"/>
          <w:sz w:val="32"/>
          <w:szCs w:val="32"/>
          <w:lang w:eastAsia="zh-Hans"/>
        </w:rPr>
        <w:t>。</w:t>
      </w:r>
    </w:p>
    <w:p w14:paraId="1F70A4AA">
      <w:pPr>
        <w:adjustRightInd w:val="0"/>
        <w:snapToGrid w:val="0"/>
        <w:spacing w:line="576" w:lineRule="exact"/>
        <w:ind w:firstLine="640" w:firstLineChars="200"/>
        <w:rPr>
          <w:rFonts w:hint="default" w:ascii="仿宋_GB2312" w:hAnsi="Times New Roman" w:eastAsia="仿宋_GB2312" w:cs="Times New Roman"/>
          <w:bCs/>
          <w:color w:val="auto"/>
          <w:kern w:val="0"/>
          <w:sz w:val="32"/>
          <w:szCs w:val="32"/>
          <w:lang w:val="en-US" w:eastAsia="zh-CN"/>
        </w:rPr>
      </w:pPr>
      <w:r>
        <w:rPr>
          <w:rFonts w:hint="eastAsia" w:ascii="仿宋_GB2312" w:hAnsi="Times New Roman" w:eastAsia="仿宋_GB2312" w:cs="Times New Roman"/>
          <w:bCs/>
          <w:color w:val="auto"/>
          <w:kern w:val="0"/>
          <w:sz w:val="32"/>
          <w:szCs w:val="32"/>
          <w:lang w:val="en-US" w:eastAsia="zh-CN"/>
        </w:rPr>
        <w:t>2.任教相同学科多个班级的，总成绩÷班级数；任教不同学科的，按权重加分，如语文、数学占60%，道德与法治、科学占40%。</w:t>
      </w:r>
    </w:p>
    <w:p w14:paraId="27B057A9">
      <w:pPr>
        <w:adjustRightInd w:val="0"/>
        <w:snapToGrid w:val="0"/>
        <w:spacing w:line="576" w:lineRule="exact"/>
        <w:ind w:firstLine="640" w:firstLineChars="200"/>
        <w:rPr>
          <w:rFonts w:ascii="仿宋_GB2312" w:hAnsi="Times New Roman" w:eastAsia="仿宋_GB2312" w:cs="Times New Roman"/>
          <w:bCs/>
          <w:color w:val="auto"/>
          <w:kern w:val="0"/>
          <w:sz w:val="32"/>
          <w:szCs w:val="32"/>
        </w:rPr>
      </w:pPr>
      <w:r>
        <w:rPr>
          <w:rFonts w:hint="eastAsia" w:ascii="仿宋_GB2312" w:hAnsi="Times New Roman" w:eastAsia="仿宋_GB2312" w:cs="Times New Roman"/>
          <w:bCs/>
          <w:color w:val="auto"/>
          <w:kern w:val="0"/>
          <w:sz w:val="32"/>
          <w:szCs w:val="32"/>
          <w:lang w:val="en-US" w:eastAsia="zh-CN"/>
        </w:rPr>
        <w:t>3</w:t>
      </w:r>
      <w:r>
        <w:rPr>
          <w:rFonts w:ascii="仿宋_GB2312" w:hAnsi="Times New Roman" w:eastAsia="仿宋_GB2312" w:cs="Times New Roman"/>
          <w:bCs/>
          <w:color w:val="auto"/>
          <w:kern w:val="0"/>
          <w:sz w:val="32"/>
          <w:szCs w:val="32"/>
          <w:lang w:eastAsia="zh-Hans"/>
        </w:rPr>
        <w:t>.</w:t>
      </w:r>
      <w:r>
        <w:rPr>
          <w:rFonts w:hint="eastAsia" w:ascii="仿宋_GB2312" w:hAnsi="Times New Roman" w:eastAsia="仿宋_GB2312" w:cs="Times New Roman"/>
          <w:bCs/>
          <w:color w:val="auto"/>
          <w:kern w:val="0"/>
          <w:sz w:val="32"/>
          <w:szCs w:val="32"/>
          <w:lang w:eastAsia="zh-Hans"/>
        </w:rPr>
        <w:t>新接班级</w:t>
      </w:r>
      <w:r>
        <w:rPr>
          <w:rFonts w:hint="eastAsia" w:ascii="仿宋_GB2312" w:hAnsi="Times New Roman" w:eastAsia="仿宋_GB2312" w:cs="Times New Roman"/>
          <w:bCs/>
          <w:color w:val="auto"/>
          <w:kern w:val="0"/>
          <w:sz w:val="32"/>
          <w:szCs w:val="32"/>
          <w:lang w:val="en-US" w:eastAsia="zh-CN"/>
        </w:rPr>
        <w:t>四率每提升一个等级</w:t>
      </w:r>
      <w:r>
        <w:rPr>
          <w:rFonts w:hint="eastAsia" w:ascii="仿宋_GB2312" w:hAnsi="Times New Roman" w:eastAsia="仿宋_GB2312" w:cs="Times New Roman"/>
          <w:bCs/>
          <w:color w:val="auto"/>
          <w:kern w:val="0"/>
          <w:sz w:val="32"/>
          <w:szCs w:val="32"/>
        </w:rPr>
        <w:t>，加</w:t>
      </w:r>
      <w:r>
        <w:rPr>
          <w:rFonts w:hint="eastAsia" w:ascii="仿宋_GB2312" w:hAnsi="Times New Roman" w:eastAsia="仿宋_GB2312" w:cs="Times New Roman"/>
          <w:bCs/>
          <w:color w:val="auto"/>
          <w:kern w:val="0"/>
          <w:sz w:val="32"/>
          <w:szCs w:val="32"/>
          <w:lang w:val="en-US" w:eastAsia="zh-CN"/>
        </w:rPr>
        <w:t>3</w:t>
      </w:r>
      <w:r>
        <w:rPr>
          <w:rFonts w:hint="eastAsia" w:ascii="仿宋_GB2312" w:hAnsi="Times New Roman" w:eastAsia="仿宋_GB2312" w:cs="Times New Roman"/>
          <w:bCs/>
          <w:color w:val="auto"/>
          <w:kern w:val="0"/>
          <w:sz w:val="32"/>
          <w:szCs w:val="32"/>
        </w:rPr>
        <w:t>分，依次递加。</w:t>
      </w:r>
    </w:p>
    <w:p w14:paraId="036FE031">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bCs/>
          <w:color w:val="000000" w:themeColor="text1"/>
          <w:kern w:val="0"/>
          <w:sz w:val="32"/>
          <w:szCs w:val="32"/>
          <w:lang w:val="en-US" w:eastAsia="zh-CN"/>
          <w14:textFill>
            <w14:solidFill>
              <w14:schemeClr w14:val="tx1"/>
            </w14:solidFill>
          </w14:textFill>
        </w:rPr>
        <w:t>4</w:t>
      </w:r>
      <w:r>
        <w:rPr>
          <w:rFonts w:ascii="仿宋_GB2312" w:hAnsi="Times New Roman" w:eastAsia="仿宋_GB2312" w:cs="Times New Roman"/>
          <w:bCs/>
          <w:color w:val="000000" w:themeColor="text1"/>
          <w:kern w:val="0"/>
          <w:sz w:val="32"/>
          <w:szCs w:val="32"/>
          <w:lang w:eastAsia="zh-Hans"/>
          <w14:textFill>
            <w14:solidFill>
              <w14:schemeClr w14:val="tx1"/>
            </w14:solidFill>
          </w14:textFill>
        </w:rPr>
        <w:t>.</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区统一组织的各项检测，学校处于全区A级的</w:t>
      </w:r>
      <w:r>
        <w:rPr>
          <w:rFonts w:hint="eastAsia" w:ascii="仿宋_GB2312" w:hAnsi="Times New Roman" w:eastAsia="仿宋_GB2312" w:cs="Times New Roman"/>
          <w:bCs/>
          <w:color w:val="000000" w:themeColor="text1"/>
          <w:kern w:val="0"/>
          <w:sz w:val="32"/>
          <w:szCs w:val="32"/>
          <w14:textFill>
            <w14:solidFill>
              <w14:schemeClr w14:val="tx1"/>
            </w14:solidFill>
          </w14:textFill>
        </w:rPr>
        <w:t>任课</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教师，</w:t>
      </w:r>
      <w:r>
        <w:rPr>
          <w:rFonts w:hint="eastAsia" w:ascii="仿宋_GB2312" w:hAnsi="Times New Roman" w:eastAsia="仿宋_GB2312" w:cs="Times New Roman"/>
          <w:bCs/>
          <w:color w:val="000000" w:themeColor="text1"/>
          <w:kern w:val="0"/>
          <w:sz w:val="32"/>
          <w:szCs w:val="32"/>
          <w14:textFill>
            <w14:solidFill>
              <w14:schemeClr w14:val="tx1"/>
            </w14:solidFill>
          </w14:textFill>
        </w:rPr>
        <w:t>确定</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A</w:t>
      </w:r>
      <w:r>
        <w:rPr>
          <w:rFonts w:hint="eastAsia" w:ascii="仿宋_GB2312" w:hAnsi="Times New Roman" w:eastAsia="仿宋_GB2312" w:cs="Times New Roman"/>
          <w:bCs/>
          <w:color w:val="000000" w:themeColor="text1"/>
          <w:kern w:val="0"/>
          <w:sz w:val="32"/>
          <w:szCs w:val="32"/>
          <w14:textFill>
            <w14:solidFill>
              <w14:schemeClr w14:val="tx1"/>
            </w14:solidFill>
          </w14:textFill>
        </w:rPr>
        <w:t>级后加</w:t>
      </w:r>
      <w:r>
        <w:rPr>
          <w:rFonts w:ascii="仿宋_GB2312" w:hAnsi="Times New Roman" w:eastAsia="仿宋_GB2312" w:cs="Times New Roman"/>
          <w:bCs/>
          <w:color w:val="000000" w:themeColor="text1"/>
          <w:kern w:val="0"/>
          <w:sz w:val="32"/>
          <w:szCs w:val="32"/>
          <w:lang w:eastAsia="zh-Hans"/>
          <w14:textFill>
            <w14:solidFill>
              <w14:schemeClr w14:val="tx1"/>
            </w14:solidFill>
          </w14:textFill>
        </w:rPr>
        <w:t>3</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分。</w:t>
      </w:r>
      <w:r>
        <w:rPr>
          <w:rFonts w:hint="eastAsia" w:ascii="仿宋_GB2312" w:hAnsi="Times New Roman" w:eastAsia="仿宋_GB2312" w:cs="Times New Roman"/>
          <w:bCs/>
          <w:color w:val="000000" w:themeColor="text1"/>
          <w:kern w:val="0"/>
          <w:sz w:val="32"/>
          <w:szCs w:val="32"/>
          <w14:textFill>
            <w14:solidFill>
              <w14:schemeClr w14:val="tx1"/>
            </w14:solidFill>
          </w14:textFill>
        </w:rPr>
        <w:t>市级及以上抽测根据成绩适当加分。</w:t>
      </w:r>
      <w:bookmarkStart w:id="2" w:name="_GoBack"/>
      <w:bookmarkEnd w:id="2"/>
    </w:p>
    <w:p w14:paraId="568E7EFA">
      <w:pPr>
        <w:adjustRightInd w:val="0"/>
        <w:snapToGrid w:val="0"/>
        <w:spacing w:line="576" w:lineRule="exact"/>
        <w:ind w:firstLine="640" w:firstLineChars="200"/>
        <w:rPr>
          <w:rFonts w:ascii="仿宋_GB2312" w:hAnsi="Times New Roman" w:eastAsia="仿宋_GB2312" w:cs="Times New Roman"/>
          <w:bCs/>
          <w:color w:val="000000" w:themeColor="text1"/>
          <w:kern w:val="0"/>
          <w:sz w:val="32"/>
          <w:szCs w:val="32"/>
          <w:lang w:eastAsia="zh-Hans"/>
          <w14:textFill>
            <w14:solidFill>
              <w14:schemeClr w14:val="tx1"/>
            </w14:solidFill>
          </w14:textFill>
        </w:rPr>
      </w:pPr>
      <w:r>
        <w:rPr>
          <w:rFonts w:hint="eastAsia" w:ascii="仿宋_GB2312" w:hAnsi="Times New Roman" w:eastAsia="仿宋_GB2312" w:cs="Times New Roman"/>
          <w:bCs/>
          <w:color w:val="000000" w:themeColor="text1"/>
          <w:kern w:val="0"/>
          <w:sz w:val="32"/>
          <w:szCs w:val="32"/>
          <w:lang w:val="en-US" w:eastAsia="zh-CN"/>
          <w14:textFill>
            <w14:solidFill>
              <w14:schemeClr w14:val="tx1"/>
            </w14:solidFill>
          </w14:textFill>
        </w:rPr>
        <w:t>5</w:t>
      </w:r>
      <w:r>
        <w:rPr>
          <w:rFonts w:ascii="仿宋_GB2312" w:hAnsi="Times New Roman" w:eastAsia="仿宋_GB2312" w:cs="Times New Roman"/>
          <w:bCs/>
          <w:color w:val="000000" w:themeColor="text1"/>
          <w:kern w:val="0"/>
          <w:sz w:val="32"/>
          <w:szCs w:val="32"/>
          <w:lang w:eastAsia="zh-Hans"/>
          <w14:textFill>
            <w14:solidFill>
              <w14:schemeClr w14:val="tx1"/>
            </w14:solidFill>
          </w14:textFill>
        </w:rPr>
        <w:t>.</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在上级各部门及学校部署的各项重点工作中成绩突出的</w:t>
      </w:r>
      <w:r>
        <w:rPr>
          <w:rFonts w:hint="eastAsia" w:ascii="仿宋_GB2312" w:hAnsi="Times New Roman" w:eastAsia="仿宋_GB2312" w:cs="Times New Roman"/>
          <w:bCs/>
          <w:color w:val="000000" w:themeColor="text1"/>
          <w:kern w:val="0"/>
          <w:sz w:val="32"/>
          <w:szCs w:val="32"/>
          <w14:textFill>
            <w14:solidFill>
              <w14:schemeClr w14:val="tx1"/>
            </w14:solidFill>
          </w14:textFill>
        </w:rPr>
        <w:t>，</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每次加</w:t>
      </w:r>
      <w:r>
        <w:rPr>
          <w:rFonts w:ascii="仿宋_GB2312" w:hAnsi="Times New Roman" w:eastAsia="仿宋_GB2312" w:cs="Times New Roman"/>
          <w:bCs/>
          <w:color w:val="000000" w:themeColor="text1"/>
          <w:kern w:val="0"/>
          <w:sz w:val="32"/>
          <w:szCs w:val="32"/>
          <w:lang w:eastAsia="zh-Hans"/>
          <w14:textFill>
            <w14:solidFill>
              <w14:schemeClr w14:val="tx1"/>
            </w14:solidFill>
          </w14:textFill>
        </w:rPr>
        <w:t>1-3</w:t>
      </w:r>
      <w:r>
        <w:rPr>
          <w:rFonts w:hint="eastAsia" w:ascii="仿宋_GB2312" w:hAnsi="Times New Roman" w:eastAsia="仿宋_GB2312" w:cs="Times New Roman"/>
          <w:bCs/>
          <w:color w:val="000000" w:themeColor="text1"/>
          <w:kern w:val="0"/>
          <w:sz w:val="32"/>
          <w:szCs w:val="32"/>
          <w:lang w:eastAsia="zh-Hans"/>
          <w14:textFill>
            <w14:solidFill>
              <w14:schemeClr w14:val="tx1"/>
            </w14:solidFill>
          </w14:textFill>
        </w:rPr>
        <w:t>分（加分项目、范围、分数的界定由领导小组讨论决定）。</w:t>
      </w:r>
    </w:p>
    <w:p w14:paraId="55AF944B">
      <w:pPr>
        <w:adjustRightInd w:val="0"/>
        <w:snapToGrid w:val="0"/>
        <w:spacing w:line="576" w:lineRule="exact"/>
        <w:ind w:firstLine="640" w:firstLineChars="20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6</w:t>
      </w:r>
      <w:r>
        <w:rPr>
          <w:rFonts w:ascii="仿宋_GB2312" w:hAnsi="Times New Roman" w:eastAsia="仿宋_GB2312" w:cs="Times New Roman"/>
          <w:color w:val="000000" w:themeColor="text1"/>
          <w:kern w:val="0"/>
          <w:sz w:val="32"/>
          <w:szCs w:val="32"/>
          <w:lang w:eastAsia="zh-Hans"/>
          <w14:textFill>
            <w14:solidFill>
              <w14:schemeClr w14:val="tx1"/>
            </w14:solidFill>
          </w14:textFill>
        </w:rPr>
        <w:t>.</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在学生、家长、社会问卷调查中，满意率达到97%以上的</w:t>
      </w:r>
      <w:r>
        <w:rPr>
          <w:rFonts w:hint="eastAsia" w:ascii="仿宋_GB2312" w:hAnsi="Times New Roman" w:eastAsia="仿宋_GB2312" w:cs="Times New Roman"/>
          <w:color w:val="000000" w:themeColor="text1"/>
          <w:kern w:val="0"/>
          <w:sz w:val="32"/>
          <w:szCs w:val="32"/>
          <w14:textFill>
            <w14:solidFill>
              <w14:schemeClr w14:val="tx1"/>
            </w14:solidFill>
          </w14:textFill>
        </w:rPr>
        <w:t>班级所有任课教师</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加</w:t>
      </w:r>
      <w:r>
        <w:rPr>
          <w:rFonts w:ascii="仿宋_GB2312" w:hAnsi="Times New Roman" w:eastAsia="仿宋_GB2312" w:cs="Times New Roman"/>
          <w:color w:val="000000" w:themeColor="text1"/>
          <w:kern w:val="0"/>
          <w:sz w:val="32"/>
          <w:szCs w:val="32"/>
          <w:lang w:eastAsia="zh-Hans"/>
          <w14:textFill>
            <w14:solidFill>
              <w14:schemeClr w14:val="tx1"/>
            </w14:solidFill>
          </w14:textFill>
        </w:rPr>
        <w:t>3</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分</w:t>
      </w:r>
      <w:r>
        <w:rPr>
          <w:rFonts w:hint="eastAsia" w:ascii="仿宋_GB2312" w:hAnsi="Times New Roman" w:eastAsia="仿宋_GB2312" w:cs="Times New Roman"/>
          <w:color w:val="000000" w:themeColor="text1"/>
          <w:kern w:val="0"/>
          <w:sz w:val="32"/>
          <w:szCs w:val="32"/>
          <w14:textFill>
            <w14:solidFill>
              <w14:schemeClr w14:val="tx1"/>
            </w14:solidFill>
          </w14:textFill>
        </w:rPr>
        <w:t>（多个班级取平均值）</w:t>
      </w:r>
      <w:r>
        <w:rPr>
          <w:rFonts w:hint="eastAsia" w:ascii="仿宋_GB2312" w:hAnsi="Times New Roman" w:eastAsia="仿宋_GB2312" w:cs="Times New Roman"/>
          <w:color w:val="000000" w:themeColor="text1"/>
          <w:kern w:val="0"/>
          <w:sz w:val="32"/>
          <w:szCs w:val="32"/>
          <w:lang w:eastAsia="zh-Hans"/>
          <w14:textFill>
            <w14:solidFill>
              <w14:schemeClr w14:val="tx1"/>
            </w14:solidFill>
          </w14:textFill>
        </w:rPr>
        <w:t>。</w:t>
      </w:r>
    </w:p>
    <w:p w14:paraId="17B5DA4D">
      <w:pPr>
        <w:adjustRightInd w:val="0"/>
        <w:snapToGrid w:val="0"/>
        <w:spacing w:line="576" w:lineRule="exact"/>
        <w:ind w:right="320" w:firstLine="5600" w:firstLineChars="175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博山区五岭路小学</w:t>
      </w:r>
    </w:p>
    <w:p w14:paraId="218EA78C">
      <w:pPr>
        <w:adjustRightInd w:val="0"/>
        <w:snapToGrid w:val="0"/>
        <w:spacing w:line="576" w:lineRule="exact"/>
        <w:ind w:right="320" w:firstLine="5600" w:firstLineChars="175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color w:val="000000" w:themeColor="text1"/>
          <w:kern w:val="0"/>
          <w:sz w:val="32"/>
          <w:szCs w:val="32"/>
          <w14:textFill>
            <w14:solidFill>
              <w14:schemeClr w14:val="tx1"/>
            </w14:solidFill>
          </w14:textFill>
        </w:rPr>
        <w:t>2</w:t>
      </w:r>
      <w:r>
        <w:rPr>
          <w:rFonts w:ascii="仿宋_GB2312" w:hAnsi="Times New Roman" w:eastAsia="仿宋_GB2312" w:cs="Times New Roman"/>
          <w:color w:val="000000" w:themeColor="text1"/>
          <w:kern w:val="0"/>
          <w:sz w:val="32"/>
          <w:szCs w:val="32"/>
          <w14:textFill>
            <w14:solidFill>
              <w14:schemeClr w14:val="tx1"/>
            </w14:solidFill>
          </w14:textFill>
        </w:rPr>
        <w:t>02</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Times New Roman" w:eastAsia="仿宋_GB2312" w:cs="Times New Roman"/>
          <w:color w:val="000000" w:themeColor="text1"/>
          <w:kern w:val="0"/>
          <w:sz w:val="32"/>
          <w:szCs w:val="32"/>
          <w14:textFill>
            <w14:solidFill>
              <w14:schemeClr w14:val="tx1"/>
            </w14:solidFill>
          </w14:textFill>
        </w:rPr>
        <w:t>年</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7</w:t>
      </w:r>
      <w:r>
        <w:rPr>
          <w:rFonts w:hint="eastAsia" w:ascii="仿宋_GB2312" w:hAnsi="Times New Roman" w:eastAsia="仿宋_GB2312" w:cs="Times New Roman"/>
          <w:color w:val="000000" w:themeColor="text1"/>
          <w:kern w:val="0"/>
          <w:sz w:val="32"/>
          <w:szCs w:val="32"/>
          <w14:textFill>
            <w14:solidFill>
              <w14:schemeClr w14:val="tx1"/>
            </w14:solidFill>
          </w14:textFill>
        </w:rPr>
        <w:t>月</w:t>
      </w:r>
      <w:r>
        <w:rPr>
          <w:rFonts w:hint="eastAsia" w:ascii="仿宋_GB2312" w:hAnsi="Times New Roman" w:eastAsia="仿宋_GB2312" w:cs="Times New Roman"/>
          <w:color w:val="000000" w:themeColor="text1"/>
          <w:kern w:val="0"/>
          <w:sz w:val="32"/>
          <w:szCs w:val="32"/>
          <w:lang w:val="en-US" w:eastAsia="zh-CN"/>
          <w14:textFill>
            <w14:solidFill>
              <w14:schemeClr w14:val="tx1"/>
            </w14:solidFill>
          </w14:textFill>
        </w:rPr>
        <w:t>4</w:t>
      </w:r>
      <w:r>
        <w:rPr>
          <w:rFonts w:hint="eastAsia" w:ascii="仿宋_GB2312" w:hAnsi="Times New Roman" w:eastAsia="仿宋_GB2312" w:cs="Times New Roman"/>
          <w:color w:val="000000" w:themeColor="text1"/>
          <w:kern w:val="0"/>
          <w:sz w:val="32"/>
          <w:szCs w:val="32"/>
          <w14:textFill>
            <w14:solidFill>
              <w14:schemeClr w14:val="tx1"/>
            </w14:solidFill>
          </w14:textFill>
        </w:rPr>
        <w:t>日</w:t>
      </w:r>
    </w:p>
    <w:sectPr>
      <w:headerReference r:id="rId5" w:type="first"/>
      <w:footerReference r:id="rId8" w:type="first"/>
      <w:headerReference r:id="rId3" w:type="default"/>
      <w:footerReference r:id="rId6" w:type="default"/>
      <w:headerReference r:id="rId4" w:type="even"/>
      <w:footerReference r:id="rId7" w:type="even"/>
      <w:pgSz w:w="11904"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904604"/>
      <w:docPartObj>
        <w:docPartGallery w:val="autotext"/>
      </w:docPartObj>
    </w:sdtPr>
    <w:sdtContent>
      <w:p w14:paraId="27ABB5EB">
        <w:pPr>
          <w:pStyle w:val="3"/>
          <w:jc w:val="center"/>
          <w:rPr>
            <w:rFonts w:hint="eastAsia"/>
          </w:rPr>
        </w:pPr>
        <w:r>
          <w:fldChar w:fldCharType="begin"/>
        </w:r>
        <w:r>
          <w:instrText xml:space="preserve">PAGE   \* MERGEFORMAT</w:instrText>
        </w:r>
        <w:r>
          <w:fldChar w:fldCharType="separate"/>
        </w:r>
        <w:r>
          <w:rPr>
            <w:lang w:val="zh-CN"/>
          </w:rPr>
          <w:t>-</w:t>
        </w:r>
        <w:r>
          <w:t xml:space="preserve"> 18 -</w:t>
        </w:r>
        <w:r>
          <w:fldChar w:fldCharType="end"/>
        </w:r>
      </w:p>
    </w:sdtContent>
  </w:sdt>
  <w:p w14:paraId="6259EA53">
    <w:pPr>
      <w:spacing w:after="160" w:line="259" w:lineRule="auto"/>
      <w:jc w:val="lef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9B9A">
    <w:pPr>
      <w:spacing w:after="160" w:line="259" w:lineRule="auto"/>
      <w:jc w:val="lef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F3CE">
    <w:pPr>
      <w:spacing w:after="160" w:line="259" w:lineRule="auto"/>
      <w:jc w:val="lef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C8C17">
    <w:pPr>
      <w:spacing w:line="259" w:lineRule="auto"/>
      <w:ind w:left="403"/>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6D92">
    <w:pPr>
      <w:spacing w:after="160" w:line="259" w:lineRule="auto"/>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F051">
    <w:pPr>
      <w:spacing w:after="160" w:line="259" w:lineRule="auto"/>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4NTdlNWQyM2Y3YzdmMjkzMzg4MjU1NDYxZTU5MzMifQ=="/>
  </w:docVars>
  <w:rsids>
    <w:rsidRoot w:val="00BF1F81"/>
    <w:rsid w:val="00084AF0"/>
    <w:rsid w:val="000E161A"/>
    <w:rsid w:val="000F6994"/>
    <w:rsid w:val="001169E1"/>
    <w:rsid w:val="00124BC5"/>
    <w:rsid w:val="0012678B"/>
    <w:rsid w:val="0019453D"/>
    <w:rsid w:val="001A2A19"/>
    <w:rsid w:val="001B5EF2"/>
    <w:rsid w:val="001D7107"/>
    <w:rsid w:val="002D5DD7"/>
    <w:rsid w:val="002E2E42"/>
    <w:rsid w:val="003329FF"/>
    <w:rsid w:val="00333271"/>
    <w:rsid w:val="003361F0"/>
    <w:rsid w:val="00352895"/>
    <w:rsid w:val="00391456"/>
    <w:rsid w:val="003C127C"/>
    <w:rsid w:val="00464B96"/>
    <w:rsid w:val="004B206C"/>
    <w:rsid w:val="00530887"/>
    <w:rsid w:val="00593E66"/>
    <w:rsid w:val="005E01A6"/>
    <w:rsid w:val="00663F9F"/>
    <w:rsid w:val="006958BC"/>
    <w:rsid w:val="006F74E0"/>
    <w:rsid w:val="00702894"/>
    <w:rsid w:val="00713C98"/>
    <w:rsid w:val="0077773D"/>
    <w:rsid w:val="00793127"/>
    <w:rsid w:val="00794614"/>
    <w:rsid w:val="00795787"/>
    <w:rsid w:val="007A2B37"/>
    <w:rsid w:val="007A6D76"/>
    <w:rsid w:val="007A753D"/>
    <w:rsid w:val="007D2BEA"/>
    <w:rsid w:val="00831519"/>
    <w:rsid w:val="0085374D"/>
    <w:rsid w:val="00867EDB"/>
    <w:rsid w:val="0087112E"/>
    <w:rsid w:val="008C3B49"/>
    <w:rsid w:val="008E4B03"/>
    <w:rsid w:val="00985A09"/>
    <w:rsid w:val="009E576A"/>
    <w:rsid w:val="009E5989"/>
    <w:rsid w:val="00A85FCA"/>
    <w:rsid w:val="00A8749B"/>
    <w:rsid w:val="00AE6A8F"/>
    <w:rsid w:val="00AF4F97"/>
    <w:rsid w:val="00AF74EE"/>
    <w:rsid w:val="00B464C5"/>
    <w:rsid w:val="00B654A4"/>
    <w:rsid w:val="00BA2C6E"/>
    <w:rsid w:val="00BF1F81"/>
    <w:rsid w:val="00C21877"/>
    <w:rsid w:val="00C56EC4"/>
    <w:rsid w:val="00CB1D56"/>
    <w:rsid w:val="00CF5448"/>
    <w:rsid w:val="00D21877"/>
    <w:rsid w:val="00D60FB3"/>
    <w:rsid w:val="00DA670C"/>
    <w:rsid w:val="00DD22D9"/>
    <w:rsid w:val="00E65FB3"/>
    <w:rsid w:val="00EC14AB"/>
    <w:rsid w:val="00F11598"/>
    <w:rsid w:val="00F54D96"/>
    <w:rsid w:val="00F6488B"/>
    <w:rsid w:val="00F752AA"/>
    <w:rsid w:val="00F83746"/>
    <w:rsid w:val="00F841C3"/>
    <w:rsid w:val="00FB2B39"/>
    <w:rsid w:val="00FE2DF2"/>
    <w:rsid w:val="03CB4BFF"/>
    <w:rsid w:val="085F6DBC"/>
    <w:rsid w:val="1837171A"/>
    <w:rsid w:val="19F84231"/>
    <w:rsid w:val="1CF478B3"/>
    <w:rsid w:val="2111348E"/>
    <w:rsid w:val="23DE0334"/>
    <w:rsid w:val="2F1250E1"/>
    <w:rsid w:val="47B367A7"/>
    <w:rsid w:val="4C3A62F6"/>
    <w:rsid w:val="5196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
    <w:name w:val="footer"/>
    <w:basedOn w:val="1"/>
    <w:link w:val="10"/>
    <w:unhideWhenUsed/>
    <w:qFormat/>
    <w:uiPriority w:val="99"/>
    <w:pPr>
      <w:widowControl/>
      <w:tabs>
        <w:tab w:val="center" w:pos="4680"/>
        <w:tab w:val="right" w:pos="9360"/>
      </w:tabs>
      <w:jc w:val="left"/>
    </w:pPr>
    <w:rPr>
      <w:rFonts w:cs="Times New Roman"/>
      <w:kern w:val="0"/>
      <w:sz w:val="22"/>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table" w:customStyle="1" w:styleId="7">
    <w:name w:val="TableGrid"/>
    <w:qFormat/>
    <w:uiPriority w:val="0"/>
    <w:tblPr>
      <w:tblCellMar>
        <w:top w:w="0" w:type="dxa"/>
        <w:left w:w="0" w:type="dxa"/>
        <w:bottom w:w="0" w:type="dxa"/>
        <w:right w:w="0" w:type="dxa"/>
      </w:tblCellMar>
    </w:tblPr>
  </w:style>
  <w:style w:type="character" w:customStyle="1" w:styleId="8">
    <w:name w:val="纯文本 字符"/>
    <w:basedOn w:val="6"/>
    <w:link w:val="2"/>
    <w:qFormat/>
    <w:uiPriority w:val="0"/>
    <w:rPr>
      <w:rFonts w:ascii="宋体" w:hAnsi="宋体" w:eastAsia="宋体" w:cs="Times New Roman"/>
      <w:kern w:val="0"/>
      <w:sz w:val="24"/>
      <w:szCs w:val="24"/>
    </w:rPr>
  </w:style>
  <w:style w:type="character" w:customStyle="1" w:styleId="9">
    <w:name w:val="NormalCharacter"/>
    <w:semiHidden/>
    <w:qFormat/>
    <w:uiPriority w:val="0"/>
  </w:style>
  <w:style w:type="character" w:customStyle="1" w:styleId="10">
    <w:name w:val="页脚 字符"/>
    <w:basedOn w:val="6"/>
    <w:link w:val="3"/>
    <w:qFormat/>
    <w:uiPriority w:val="99"/>
    <w:rPr>
      <w:rFonts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4230</Words>
  <Characters>4302</Characters>
  <Lines>63</Lines>
  <Paragraphs>17</Paragraphs>
  <TotalTime>3</TotalTime>
  <ScaleCrop>false</ScaleCrop>
  <LinksUpToDate>false</LinksUpToDate>
  <CharactersWithSpaces>4320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2023-05-26T07:07:00Z</dcterms:created>
  <dc:creator>WIN10</dc:creator>
  <cp:lastModifiedBy>快乐天使</cp:lastModifiedBy>
  <dcterms:modified xsi:type="dcterms:W3CDTF">2025-08-29T15:36:58Z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1329148E5B3B47DEB9668EB4F533C8A6_12</vt:lpwstr>
  </property>
  <property fmtid="{D5CDD505-2E9C-101B-9397-08002B2CF9AE}" pid="4" name="KSOTemplateDocerSaveRecord">
    <vt:lpwstr>eyJoZGlkIjoiOGY1ZWM1YmJlODZjZTA1NzQ3Y2EzMmE5OTQyYTcxNWQiLCJ1c2VySWQiOiIzNTUzMzYwMjMifQ==</vt:lpwstr>
  </property>
</Properties>
</file>