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firstLineChars="200"/>
        <w:jc w:val="right"/>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方正小标宋简体" w:eastAsia="方正小标宋简体"/>
          <w:spacing w:val="60"/>
          <w:sz w:val="74"/>
        </w:rPr>
      </w:pPr>
      <w:r>
        <w:rPr>
          <w:rFonts w:hint="eastAsia" w:ascii="方正小标宋简体" w:eastAsia="方正小标宋简体"/>
          <w:spacing w:val="60"/>
          <w:sz w:val="74"/>
        </w:rPr>
        <w:t>2020年度</w:t>
      </w:r>
    </w:p>
    <w:p>
      <w:pPr>
        <w:jc w:val="center"/>
        <w:rPr>
          <w:rFonts w:ascii="方正小标宋简体" w:eastAsia="方正小标宋简体"/>
          <w:spacing w:val="60"/>
          <w:sz w:val="74"/>
        </w:rPr>
      </w:pPr>
      <w:r>
        <w:rPr>
          <w:rFonts w:hint="eastAsia" w:ascii="方正小标宋简体" w:eastAsia="方正小标宋简体"/>
          <w:spacing w:val="60"/>
          <w:sz w:val="74"/>
          <w:lang w:eastAsia="zh-CN"/>
        </w:rPr>
        <w:t>博山区绿色产业发展服务中心</w:t>
      </w:r>
      <w:r>
        <w:rPr>
          <w:rFonts w:hint="eastAsia" w:ascii="方正小标宋简体" w:eastAsia="方正小标宋简体"/>
          <w:spacing w:val="60"/>
          <w:sz w:val="74"/>
        </w:rPr>
        <w:t>决算</w:t>
      </w:r>
    </w:p>
    <w:p>
      <w:pPr>
        <w:jc w:val="center"/>
        <w:rPr>
          <w:rFonts w:ascii="方正小标宋简体" w:eastAsia="方正小标宋简体"/>
          <w:spacing w:val="60"/>
          <w:sz w:val="74"/>
        </w:rPr>
      </w:pPr>
    </w:p>
    <w:p>
      <w:pPr>
        <w:jc w:val="center"/>
        <w:rPr>
          <w:rFonts w:ascii="楷体_GB2312" w:eastAsia="楷体_GB2312"/>
          <w:b/>
          <w:sz w:val="42"/>
        </w:rPr>
      </w:pPr>
    </w:p>
    <w:p>
      <w:pPr>
        <w:jc w:val="center"/>
        <w:rPr>
          <w:rFonts w:ascii="楷体_GB2312" w:eastAsia="楷体_GB2312"/>
          <w:b/>
          <w:sz w:val="42"/>
        </w:rPr>
      </w:pPr>
    </w:p>
    <w:p>
      <w:pPr>
        <w:jc w:val="center"/>
        <w:rPr>
          <w:rFonts w:ascii="仿宋_GB2312" w:eastAsia="仿宋_GB2312"/>
        </w:rPr>
      </w:pPr>
    </w:p>
    <w:p>
      <w:pPr>
        <w:rPr>
          <w:rFonts w:ascii="仿宋_GB2312" w:eastAsia="仿宋_GB2312"/>
        </w:rPr>
      </w:pPr>
    </w:p>
    <w:p>
      <w:pPr>
        <w:spacing w:after="305" w:afterLines="50" w:line="580" w:lineRule="exact"/>
        <w:jc w:val="center"/>
        <w:rPr>
          <w:rFonts w:ascii="方正小标宋简体" w:eastAsia="方正小标宋简体"/>
          <w:sz w:val="44"/>
          <w:szCs w:val="44"/>
        </w:rPr>
      </w:pPr>
    </w:p>
    <w:p>
      <w:pPr>
        <w:spacing w:after="305" w:afterLines="50" w:line="580" w:lineRule="exact"/>
        <w:jc w:val="both"/>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ascii="黑体" w:hAnsi="黑体" w:eastAsia="黑体"/>
        </w:rPr>
      </w:pPr>
      <w:r>
        <w:rPr>
          <w:rFonts w:hint="eastAsia" w:ascii="黑体" w:hAnsi="黑体" w:eastAsia="黑体"/>
        </w:rPr>
        <w:t>第一部分  单位概况</w:t>
      </w:r>
    </w:p>
    <w:p>
      <w:pPr>
        <w:spacing w:line="580" w:lineRule="exact"/>
        <w:ind w:firstLine="632" w:firstLineChars="200"/>
        <w:rPr>
          <w:rFonts w:ascii="仿宋_GB2312" w:eastAsia="仿宋_GB2312"/>
        </w:rPr>
      </w:pPr>
      <w:r>
        <w:rPr>
          <w:rFonts w:hint="eastAsia" w:ascii="仿宋_GB2312" w:eastAsia="仿宋_GB2312"/>
        </w:rPr>
        <w:t>一、单位职责</w:t>
      </w:r>
    </w:p>
    <w:p>
      <w:pPr>
        <w:spacing w:line="580" w:lineRule="exact"/>
        <w:ind w:firstLine="632" w:firstLineChars="200"/>
        <w:rPr>
          <w:rFonts w:ascii="仿宋_GB2312" w:eastAsia="仿宋_GB2312"/>
        </w:rPr>
      </w:pPr>
      <w:r>
        <w:rPr>
          <w:rFonts w:hint="eastAsia" w:ascii="仿宋_GB2312" w:eastAsia="仿宋_GB2312"/>
        </w:rPr>
        <w:t>二、机构设置</w:t>
      </w:r>
    </w:p>
    <w:p>
      <w:pPr>
        <w:spacing w:line="580" w:lineRule="exact"/>
        <w:ind w:firstLine="316" w:firstLineChars="100"/>
        <w:rPr>
          <w:rFonts w:ascii="黑体" w:hAnsi="黑体" w:eastAsia="黑体"/>
        </w:rPr>
      </w:pPr>
      <w:r>
        <w:rPr>
          <w:rFonts w:hint="eastAsia" w:ascii="黑体" w:hAnsi="黑体" w:eastAsia="黑体"/>
        </w:rPr>
        <w:t>第二部分  2020年度单位决算表</w:t>
      </w:r>
    </w:p>
    <w:p>
      <w:pPr>
        <w:spacing w:line="580" w:lineRule="exact"/>
        <w:ind w:firstLine="632" w:firstLineChars="200"/>
        <w:rPr>
          <w:rFonts w:ascii="仿宋_GB2312" w:eastAsia="仿宋_GB2312"/>
        </w:rPr>
      </w:pPr>
      <w:r>
        <w:rPr>
          <w:rFonts w:hint="eastAsia" w:ascii="仿宋_GB2312" w:eastAsia="仿宋_GB2312"/>
        </w:rPr>
        <w:t>一、收入支出决算总表</w:t>
      </w:r>
    </w:p>
    <w:p>
      <w:pPr>
        <w:spacing w:line="580" w:lineRule="exact"/>
        <w:ind w:firstLine="632" w:firstLineChars="200"/>
        <w:rPr>
          <w:rFonts w:ascii="仿宋_GB2312" w:eastAsia="仿宋_GB2312"/>
        </w:rPr>
      </w:pPr>
      <w:r>
        <w:rPr>
          <w:rFonts w:hint="eastAsia" w:ascii="仿宋_GB2312" w:eastAsia="仿宋_GB2312"/>
        </w:rPr>
        <w:t>二、收入决算表</w:t>
      </w:r>
    </w:p>
    <w:p>
      <w:pPr>
        <w:spacing w:line="580" w:lineRule="exact"/>
        <w:ind w:firstLine="632" w:firstLineChars="200"/>
        <w:rPr>
          <w:rFonts w:ascii="仿宋_GB2312" w:eastAsia="仿宋_GB2312"/>
        </w:rPr>
      </w:pPr>
      <w:r>
        <w:rPr>
          <w:rFonts w:hint="eastAsia" w:ascii="仿宋_GB2312" w:eastAsia="仿宋_GB2312"/>
        </w:rPr>
        <w:t>三、支出决算表</w:t>
      </w:r>
    </w:p>
    <w:p>
      <w:pPr>
        <w:spacing w:line="580" w:lineRule="exact"/>
        <w:ind w:firstLine="632" w:firstLineChars="200"/>
        <w:rPr>
          <w:rFonts w:ascii="仿宋_GB2312" w:eastAsia="仿宋_GB2312"/>
        </w:rPr>
      </w:pPr>
      <w:r>
        <w:rPr>
          <w:rFonts w:hint="eastAsia" w:ascii="仿宋_GB2312" w:eastAsia="仿宋_GB2312"/>
        </w:rPr>
        <w:t>四、财政拨款收入支出决算总表</w:t>
      </w:r>
    </w:p>
    <w:p>
      <w:pPr>
        <w:spacing w:line="580" w:lineRule="exact"/>
        <w:ind w:firstLine="632" w:firstLineChars="200"/>
        <w:rPr>
          <w:rFonts w:ascii="仿宋_GB2312" w:eastAsia="仿宋_GB2312"/>
        </w:rPr>
      </w:pPr>
      <w:r>
        <w:rPr>
          <w:rFonts w:hint="eastAsia" w:ascii="仿宋_GB2312" w:eastAsia="仿宋_GB2312"/>
        </w:rPr>
        <w:t>五、一般公共预算财政拨款支出决算表</w:t>
      </w:r>
    </w:p>
    <w:p>
      <w:pPr>
        <w:spacing w:line="580" w:lineRule="exact"/>
        <w:ind w:firstLine="632" w:firstLineChars="200"/>
        <w:rPr>
          <w:rFonts w:ascii="仿宋_GB2312" w:eastAsia="仿宋_GB2312"/>
        </w:rPr>
      </w:pPr>
      <w:r>
        <w:rPr>
          <w:rFonts w:hint="eastAsia" w:ascii="仿宋_GB2312" w:eastAsia="仿宋_GB2312"/>
        </w:rPr>
        <w:t>六、一般公共预算财政拨款基本支出决算表</w:t>
      </w:r>
    </w:p>
    <w:p>
      <w:pPr>
        <w:spacing w:line="580" w:lineRule="exact"/>
        <w:ind w:firstLine="632" w:firstLineChars="200"/>
        <w:rPr>
          <w:rFonts w:ascii="仿宋_GB2312" w:eastAsia="仿宋_GB2312"/>
        </w:rPr>
      </w:pPr>
      <w:r>
        <w:rPr>
          <w:rFonts w:hint="eastAsia" w:ascii="仿宋_GB2312" w:eastAsia="仿宋_GB2312"/>
        </w:rPr>
        <w:t>七、一般公共预算财政拨款“三公”经费支出决算表</w:t>
      </w:r>
    </w:p>
    <w:p>
      <w:pPr>
        <w:spacing w:line="580" w:lineRule="exact"/>
        <w:ind w:firstLine="632" w:firstLineChars="200"/>
        <w:rPr>
          <w:rFonts w:ascii="仿宋_GB2312" w:eastAsia="仿宋_GB2312"/>
        </w:rPr>
      </w:pPr>
      <w:r>
        <w:rPr>
          <w:rFonts w:hint="eastAsia" w:ascii="仿宋_GB2312" w:eastAsia="仿宋_GB2312"/>
        </w:rPr>
        <w:t>八、政府性基金预算财政拨款收入支出决算表</w:t>
      </w:r>
    </w:p>
    <w:p>
      <w:pPr>
        <w:spacing w:line="580" w:lineRule="exact"/>
        <w:ind w:firstLine="632" w:firstLineChars="200"/>
        <w:rPr>
          <w:rFonts w:ascii="仿宋_GB2312" w:eastAsia="仿宋_GB2312"/>
        </w:rPr>
      </w:pPr>
      <w:r>
        <w:rPr>
          <w:rFonts w:hint="eastAsia" w:ascii="仿宋_GB2312" w:eastAsia="仿宋_GB2312"/>
        </w:rPr>
        <w:t>九、国有资本经营预算财政拨款支出决算表</w:t>
      </w:r>
    </w:p>
    <w:p>
      <w:pPr>
        <w:spacing w:line="580" w:lineRule="exact"/>
        <w:ind w:firstLine="316" w:firstLineChars="100"/>
        <w:rPr>
          <w:rFonts w:ascii="黑体" w:hAnsi="黑体" w:eastAsia="黑体"/>
        </w:rPr>
      </w:pPr>
      <w:r>
        <w:rPr>
          <w:rFonts w:hint="eastAsia" w:ascii="黑体" w:hAnsi="黑体" w:eastAsia="黑体"/>
        </w:rPr>
        <w:t>第三部分  2020年度单位决算情况说明</w:t>
      </w:r>
    </w:p>
    <w:p>
      <w:pPr>
        <w:spacing w:line="580" w:lineRule="exact"/>
        <w:ind w:firstLine="632" w:firstLineChars="200"/>
        <w:rPr>
          <w:rFonts w:ascii="仿宋_GB2312" w:eastAsia="仿宋_GB2312"/>
        </w:rPr>
      </w:pPr>
      <w:r>
        <w:rPr>
          <w:rFonts w:hint="eastAsia" w:ascii="仿宋_GB2312" w:eastAsia="仿宋_GB2312"/>
        </w:rPr>
        <w:t>一、收入支出决算总体情况说明</w:t>
      </w:r>
    </w:p>
    <w:p>
      <w:pPr>
        <w:spacing w:line="580" w:lineRule="exact"/>
        <w:ind w:firstLine="632" w:firstLineChars="200"/>
        <w:rPr>
          <w:rFonts w:ascii="仿宋_GB2312" w:eastAsia="仿宋_GB2312"/>
        </w:rPr>
      </w:pPr>
      <w:r>
        <w:rPr>
          <w:rFonts w:hint="eastAsia" w:ascii="仿宋_GB2312" w:eastAsia="仿宋_GB2312"/>
        </w:rPr>
        <w:t>二、收入决算情况说明</w:t>
      </w:r>
    </w:p>
    <w:p>
      <w:pPr>
        <w:spacing w:line="580" w:lineRule="exact"/>
        <w:ind w:firstLine="632" w:firstLineChars="200"/>
        <w:rPr>
          <w:rFonts w:ascii="仿宋_GB2312" w:eastAsia="仿宋_GB2312"/>
        </w:rPr>
      </w:pPr>
      <w:r>
        <w:rPr>
          <w:rFonts w:hint="eastAsia" w:ascii="仿宋_GB2312" w:eastAsia="仿宋_GB2312"/>
        </w:rPr>
        <w:t>三、支出决算情况说明</w:t>
      </w:r>
    </w:p>
    <w:p>
      <w:pPr>
        <w:spacing w:line="580" w:lineRule="exact"/>
        <w:ind w:firstLine="632" w:firstLineChars="200"/>
        <w:rPr>
          <w:rFonts w:ascii="仿宋_GB2312" w:eastAsia="仿宋_GB2312"/>
        </w:rPr>
      </w:pPr>
      <w:r>
        <w:rPr>
          <w:rFonts w:hint="eastAsia" w:ascii="仿宋_GB2312" w:eastAsia="仿宋_GB2312"/>
        </w:rPr>
        <w:t>四、财政拨款收入支出决算总体情况说明</w:t>
      </w:r>
    </w:p>
    <w:p>
      <w:pPr>
        <w:spacing w:line="580" w:lineRule="exact"/>
        <w:ind w:firstLine="632" w:firstLineChars="200"/>
        <w:rPr>
          <w:rFonts w:ascii="仿宋_GB2312" w:eastAsia="仿宋_GB2312"/>
        </w:rPr>
      </w:pPr>
      <w:r>
        <w:rPr>
          <w:rFonts w:hint="eastAsia" w:ascii="仿宋_GB2312" w:eastAsia="仿宋_GB2312"/>
        </w:rPr>
        <w:t>五、一般公共预算财政拨款支出决算情况说明</w:t>
      </w:r>
    </w:p>
    <w:p>
      <w:pPr>
        <w:spacing w:line="580" w:lineRule="exact"/>
        <w:ind w:firstLine="632" w:firstLineChars="200"/>
        <w:rPr>
          <w:rFonts w:ascii="仿宋_GB2312" w:eastAsia="仿宋_GB2312"/>
        </w:rPr>
      </w:pPr>
      <w:r>
        <w:rPr>
          <w:rFonts w:hint="eastAsia" w:ascii="仿宋_GB2312" w:eastAsia="仿宋_GB2312"/>
        </w:rPr>
        <w:t>六、一般公共预算财政拨款基本支出决算情况说明</w:t>
      </w:r>
    </w:p>
    <w:p>
      <w:pPr>
        <w:spacing w:line="580" w:lineRule="exact"/>
        <w:ind w:firstLine="632" w:firstLineChars="200"/>
        <w:rPr>
          <w:rFonts w:ascii="仿宋_GB2312" w:eastAsia="仿宋_GB2312"/>
        </w:rPr>
      </w:pPr>
      <w:r>
        <w:rPr>
          <w:rFonts w:hint="eastAsia" w:ascii="仿宋_GB2312" w:eastAsia="仿宋_GB2312"/>
        </w:rPr>
        <w:t>七、一般公共预算财政拨款“三公”经费支出决算情况说明</w:t>
      </w:r>
    </w:p>
    <w:p>
      <w:pPr>
        <w:spacing w:line="580" w:lineRule="exact"/>
        <w:ind w:firstLine="632" w:firstLineChars="200"/>
        <w:rPr>
          <w:rFonts w:ascii="仿宋_GB2312" w:eastAsia="仿宋_GB2312"/>
        </w:rPr>
      </w:pPr>
      <w:r>
        <w:rPr>
          <w:rFonts w:hint="eastAsia" w:ascii="仿宋_GB2312" w:eastAsia="仿宋_GB2312"/>
        </w:rPr>
        <w:t>八、政府性基金预算财政拨款收入支出决算情况说明</w:t>
      </w:r>
    </w:p>
    <w:p>
      <w:pPr>
        <w:spacing w:line="580" w:lineRule="exact"/>
        <w:ind w:firstLine="632" w:firstLineChars="200"/>
        <w:rPr>
          <w:rFonts w:ascii="仿宋_GB2312" w:eastAsia="仿宋_GB2312"/>
        </w:rPr>
      </w:pPr>
      <w:r>
        <w:rPr>
          <w:rFonts w:hint="eastAsia" w:ascii="仿宋_GB2312" w:eastAsia="仿宋_GB2312"/>
        </w:rPr>
        <w:t>九、国有资本经营预算财政拨款支出决算情况说明</w:t>
      </w:r>
    </w:p>
    <w:p>
      <w:pPr>
        <w:spacing w:line="580" w:lineRule="exact"/>
        <w:ind w:firstLine="632" w:firstLineChars="200"/>
        <w:rPr>
          <w:rFonts w:ascii="仿宋_GB2312" w:eastAsia="仿宋_GB2312"/>
        </w:rPr>
      </w:pPr>
      <w:r>
        <w:rPr>
          <w:rFonts w:hint="eastAsia" w:ascii="仿宋_GB2312" w:eastAsia="仿宋_GB2312"/>
        </w:rPr>
        <w:t>十、其他重要事项情况说明</w:t>
      </w:r>
    </w:p>
    <w:p>
      <w:pPr>
        <w:spacing w:line="580" w:lineRule="exact"/>
        <w:ind w:firstLine="632" w:firstLineChars="200"/>
        <w:rPr>
          <w:rFonts w:ascii="仿宋_GB2312" w:eastAsia="仿宋_GB2312"/>
        </w:rPr>
      </w:pPr>
      <w:r>
        <w:rPr>
          <w:rFonts w:hint="eastAsia" w:ascii="仿宋_GB2312" w:eastAsia="仿宋_GB2312"/>
        </w:rPr>
        <w:t>十一、预算绩效情况说明</w:t>
      </w:r>
    </w:p>
    <w:p>
      <w:pPr>
        <w:spacing w:line="580" w:lineRule="exact"/>
        <w:ind w:firstLine="316" w:firstLineChars="100"/>
        <w:rPr>
          <w:rFonts w:ascii="黑体" w:hAnsi="黑体" w:eastAsia="黑体"/>
        </w:rPr>
      </w:pPr>
      <w:r>
        <w:rPr>
          <w:rFonts w:hint="eastAsia" w:ascii="黑体" w:hAnsi="黑体" w:eastAsia="黑体"/>
        </w:rPr>
        <w:t>第四部分  名词解释</w:t>
      </w:r>
    </w:p>
    <w:p>
      <w:pPr>
        <w:spacing w:line="580" w:lineRule="exact"/>
        <w:ind w:firstLine="316" w:firstLineChars="100"/>
        <w:rPr>
          <w:rFonts w:ascii="黑体" w:hAnsi="黑体" w:eastAsia="黑体"/>
          <w:sz w:val="21"/>
          <w:szCs w:val="21"/>
        </w:rPr>
      </w:pPr>
      <w:r>
        <w:rPr>
          <w:rFonts w:hint="eastAsia" w:ascii="黑体" w:hAnsi="黑体" w:eastAsia="黑体"/>
        </w:rPr>
        <w:t>第五部分  附件</w:t>
      </w:r>
    </w:p>
    <w:p>
      <w:pPr>
        <w:spacing w:line="580" w:lineRule="exact"/>
        <w:ind w:firstLine="316" w:firstLineChars="100"/>
        <w:rPr>
          <w:rFonts w:ascii="黑体" w:hAnsi="黑体" w:eastAsia="黑体"/>
        </w:rPr>
      </w:pPr>
    </w:p>
    <w:p>
      <w:pPr>
        <w:spacing w:line="580" w:lineRule="exact"/>
        <w:ind w:firstLine="316" w:firstLineChars="100"/>
        <w:rPr>
          <w:rFonts w:ascii="黑体" w:hAnsi="黑体" w:eastAsia="黑体"/>
        </w:rPr>
      </w:pPr>
    </w:p>
    <w:p>
      <w:pPr>
        <w:spacing w:line="580" w:lineRule="exact"/>
        <w:ind w:firstLine="316" w:firstLineChars="100"/>
        <w:rPr>
          <w:rFonts w:ascii="黑体" w:hAnsi="黑体" w:eastAsia="黑体"/>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pacing w:val="60"/>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第一部分</w:t>
      </w:r>
    </w:p>
    <w:p>
      <w:pPr>
        <w:jc w:val="center"/>
        <w:rPr>
          <w:rFonts w:ascii="方正小标宋简体" w:eastAsia="方正小标宋简体"/>
          <w:spacing w:val="60"/>
          <w:sz w:val="48"/>
        </w:rPr>
      </w:pPr>
    </w:p>
    <w:p>
      <w:pPr>
        <w:jc w:val="center"/>
        <w:rPr>
          <w:rFonts w:ascii="方正小标宋简体" w:eastAsia="方正小标宋简体"/>
          <w:spacing w:val="60"/>
          <w:sz w:val="48"/>
        </w:rPr>
      </w:pPr>
      <w:r>
        <w:rPr>
          <w:rFonts w:hint="eastAsia" w:ascii="方正小标宋简体" w:eastAsia="方正小标宋简体"/>
          <w:spacing w:val="60"/>
          <w:sz w:val="48"/>
        </w:rPr>
        <w:t>单位概况</w:t>
      </w:r>
    </w:p>
    <w:p>
      <w:pPr>
        <w:jc w:val="center"/>
        <w:rPr>
          <w:rFonts w:ascii="仿宋_GB2312" w:eastAsia="仿宋_GB2312"/>
        </w:rPr>
        <w:sectPr>
          <w:headerReference r:id="rId3" w:type="default"/>
          <w:footerReference r:id="rId4" w:type="default"/>
          <w:footerReference r:id="rId5" w:type="even"/>
          <w:pgSz w:w="11906" w:h="16838"/>
          <w:pgMar w:top="1701" w:right="1531" w:bottom="1701" w:left="1531" w:header="0" w:footer="1418" w:gutter="0"/>
          <w:cols w:space="720" w:num="1"/>
          <w:docGrid w:type="linesAndChars" w:linePitch="610" w:charSpace="-849"/>
        </w:sectPr>
      </w:pPr>
    </w:p>
    <w:p>
      <w:pPr>
        <w:numPr>
          <w:ilvl w:val="0"/>
          <w:numId w:val="1"/>
        </w:numPr>
        <w:spacing w:line="580" w:lineRule="exact"/>
        <w:ind w:firstLine="632" w:firstLineChars="200"/>
        <w:rPr>
          <w:rFonts w:hint="eastAsia" w:ascii="黑体" w:hAnsi="黑体" w:eastAsia="黑体"/>
        </w:rPr>
      </w:pPr>
      <w:r>
        <w:rPr>
          <w:rFonts w:hint="eastAsia" w:ascii="黑体" w:hAnsi="黑体" w:eastAsia="黑体"/>
        </w:rPr>
        <w:t>单位职责</w:t>
      </w:r>
    </w:p>
    <w:p>
      <w:pPr>
        <w:spacing w:line="580" w:lineRule="exact"/>
        <w:ind w:firstLine="632" w:firstLineChars="200"/>
        <w:rPr>
          <w:rFonts w:hint="eastAsia" w:ascii="黑体" w:hAnsi="黑体" w:eastAsia="黑体"/>
        </w:rPr>
      </w:pPr>
      <w:r>
        <w:rPr>
          <w:rFonts w:hint="eastAsia" w:ascii="仿宋" w:hAnsi="仿宋" w:eastAsia="仿宋" w:cs="宋体"/>
          <w:color w:val="000000"/>
          <w:kern w:val="0"/>
          <w:sz w:val="32"/>
          <w:szCs w:val="32"/>
          <w:lang w:val="en-US" w:eastAsia="zh-CN"/>
        </w:rPr>
        <w:t>自2019年机构改革以来，本单位职能全部划入博山区发改局，一直由博山区工信局代管，没设职能。</w:t>
      </w:r>
    </w:p>
    <w:p>
      <w:pPr>
        <w:spacing w:line="580" w:lineRule="exact"/>
        <w:ind w:firstLine="632" w:firstLineChars="200"/>
        <w:rPr>
          <w:rFonts w:ascii="黑体" w:hAnsi="黑体" w:eastAsia="黑体"/>
        </w:rPr>
      </w:pPr>
      <w:r>
        <w:rPr>
          <w:rFonts w:hint="eastAsia" w:ascii="黑体" w:hAnsi="黑体" w:eastAsia="黑体"/>
        </w:rPr>
        <w:t>二、机构设置</w:t>
      </w:r>
    </w:p>
    <w:p>
      <w:pPr>
        <w:spacing w:line="580" w:lineRule="exact"/>
        <w:ind w:firstLine="632" w:firstLineChars="200"/>
        <w:rPr>
          <w:rFonts w:hint="eastAsia" w:ascii="黑体" w:hAnsi="黑体" w:eastAsia="黑体"/>
        </w:rPr>
      </w:pPr>
      <w:r>
        <w:rPr>
          <w:rFonts w:hint="eastAsia" w:ascii="仿宋_GB2312" w:eastAsia="仿宋_GB2312"/>
          <w:szCs w:val="32"/>
          <w:lang w:val="en-US" w:eastAsia="zh-CN"/>
        </w:rPr>
        <w:t>2020年</w:t>
      </w:r>
      <w:r>
        <w:rPr>
          <w:rFonts w:hint="eastAsia" w:ascii="仿宋_GB2312" w:eastAsia="仿宋_GB2312"/>
          <w:szCs w:val="32"/>
          <w:lang w:eastAsia="zh-CN"/>
        </w:rPr>
        <w:t>本</w:t>
      </w:r>
      <w:r>
        <w:rPr>
          <w:rFonts w:hint="eastAsia" w:ascii="仿宋_GB2312" w:eastAsia="仿宋_GB2312"/>
          <w:szCs w:val="32"/>
        </w:rPr>
        <w:t>单位</w:t>
      </w:r>
      <w:r>
        <w:rPr>
          <w:rFonts w:hint="eastAsia" w:ascii="仿宋_GB2312" w:eastAsia="仿宋_GB2312"/>
          <w:szCs w:val="32"/>
          <w:lang w:eastAsia="zh-CN"/>
        </w:rPr>
        <w:t>没有</w:t>
      </w:r>
      <w:r>
        <w:rPr>
          <w:rFonts w:hint="eastAsia" w:ascii="仿宋_GB2312" w:eastAsia="仿宋_GB2312"/>
          <w:szCs w:val="32"/>
        </w:rPr>
        <w:t>内设职能科室，</w:t>
      </w:r>
      <w:r>
        <w:rPr>
          <w:rFonts w:hint="eastAsia" w:ascii="仿宋" w:hAnsi="仿宋" w:eastAsia="仿宋" w:cs="宋体"/>
          <w:color w:val="000000"/>
          <w:kern w:val="0"/>
          <w:sz w:val="32"/>
          <w:szCs w:val="32"/>
          <w:lang w:val="en-US" w:eastAsia="zh-CN"/>
        </w:rPr>
        <w:t>自2019年机构改革以来，本单位职能全部划入博山区发改局，一直由博山区工信局代管，没设职能。</w:t>
      </w:r>
    </w:p>
    <w:p>
      <w:pPr>
        <w:widowControl/>
        <w:ind w:firstLine="632" w:firstLineChars="200"/>
        <w:jc w:val="left"/>
        <w:rPr>
          <w:rFonts w:ascii="宋体" w:hAnsi="宋体" w:cs="宋体"/>
          <w:kern w:val="0"/>
          <w:sz w:val="24"/>
        </w:rPr>
      </w:pPr>
      <w:r>
        <w:rPr>
          <w:rFonts w:hint="eastAsia" w:ascii="仿宋_GB2312" w:eastAsia="仿宋_GB2312"/>
        </w:rPr>
        <w:t>从单位构成看，</w:t>
      </w:r>
      <w:r>
        <w:rPr>
          <w:rFonts w:hint="eastAsia" w:ascii="仿宋" w:hAnsi="仿宋" w:eastAsia="仿宋" w:cs="宋体"/>
          <w:color w:val="000000"/>
          <w:kern w:val="0"/>
          <w:sz w:val="32"/>
          <w:szCs w:val="32"/>
        </w:rPr>
        <w:t>博山区绿色产业发展服务中心部门</w:t>
      </w:r>
      <w:r>
        <w:rPr>
          <w:rFonts w:hint="eastAsia" w:ascii="仿宋" w:hAnsi="仿宋" w:eastAsia="仿宋" w:cs="宋体"/>
          <w:color w:val="000000"/>
          <w:kern w:val="0"/>
          <w:sz w:val="32"/>
          <w:szCs w:val="32"/>
          <w:lang w:eastAsia="zh-CN"/>
        </w:rPr>
        <w:t>决</w:t>
      </w:r>
      <w:r>
        <w:rPr>
          <w:rFonts w:hint="eastAsia" w:ascii="仿宋" w:hAnsi="仿宋" w:eastAsia="仿宋" w:cs="宋体"/>
          <w:color w:val="000000"/>
          <w:kern w:val="0"/>
          <w:sz w:val="32"/>
          <w:szCs w:val="32"/>
        </w:rPr>
        <w:t xml:space="preserve">算包括：本单位预算。 </w:t>
      </w:r>
    </w:p>
    <w:p>
      <w:pPr>
        <w:widowControl/>
        <w:ind w:firstLine="632" w:firstLineChars="200"/>
        <w:jc w:val="left"/>
        <w:rPr>
          <w:rFonts w:hint="eastAsia" w:eastAsia="仿宋"/>
          <w:b/>
          <w:sz w:val="30"/>
          <w:szCs w:val="30"/>
          <w:lang w:eastAsia="zh-CN"/>
        </w:rPr>
      </w:pPr>
      <w:r>
        <w:rPr>
          <w:rFonts w:hint="eastAsia" w:ascii="仿宋" w:hAnsi="仿宋" w:eastAsia="仿宋" w:cs="宋体"/>
          <w:color w:val="000000"/>
          <w:kern w:val="0"/>
          <w:sz w:val="32"/>
          <w:szCs w:val="32"/>
          <w:lang w:eastAsia="zh-CN"/>
        </w:rPr>
        <w:t>无</w:t>
      </w:r>
      <w:r>
        <w:rPr>
          <w:rFonts w:hint="eastAsia" w:ascii="仿宋" w:hAnsi="仿宋" w:eastAsia="仿宋" w:cs="宋体"/>
          <w:color w:val="000000"/>
          <w:kern w:val="0"/>
          <w:sz w:val="32"/>
          <w:szCs w:val="32"/>
        </w:rPr>
        <w:t xml:space="preserve">纳入博山区绿色产业发展服务中心 </w:t>
      </w:r>
      <w:r>
        <w:rPr>
          <w:color w:val="000000"/>
          <w:kern w:val="0"/>
          <w:sz w:val="32"/>
          <w:szCs w:val="32"/>
        </w:rPr>
        <w:t>202</w:t>
      </w:r>
      <w:r>
        <w:rPr>
          <w:rFonts w:hint="eastAsia"/>
          <w:color w:val="000000"/>
          <w:kern w:val="0"/>
          <w:sz w:val="32"/>
          <w:szCs w:val="32"/>
          <w:lang w:val="en-US" w:eastAsia="zh-CN"/>
        </w:rPr>
        <w:t>0</w:t>
      </w:r>
      <w:r>
        <w:rPr>
          <w:rFonts w:hint="eastAsia" w:ascii="仿宋" w:hAnsi="仿宋" w:eastAsia="仿宋" w:cs="宋体"/>
          <w:color w:val="000000"/>
          <w:kern w:val="0"/>
          <w:sz w:val="32"/>
          <w:szCs w:val="32"/>
        </w:rPr>
        <w:t>年</w:t>
      </w:r>
      <w:r>
        <w:rPr>
          <w:rFonts w:ascii="仿宋" w:hAnsi="仿宋" w:eastAsia="仿宋" w:cs="宋体"/>
          <w:color w:val="000000"/>
          <w:kern w:val="0"/>
          <w:sz w:val="32"/>
          <w:szCs w:val="32"/>
        </w:rPr>
        <w:t>部门</w:t>
      </w:r>
      <w:r>
        <w:rPr>
          <w:rFonts w:hint="eastAsia" w:ascii="仿宋" w:hAnsi="仿宋" w:eastAsia="仿宋" w:cs="宋体"/>
          <w:color w:val="000000"/>
          <w:kern w:val="0"/>
          <w:sz w:val="32"/>
          <w:szCs w:val="32"/>
          <w:lang w:eastAsia="zh-CN"/>
        </w:rPr>
        <w:t>决</w:t>
      </w:r>
      <w:r>
        <w:rPr>
          <w:rFonts w:hint="eastAsia" w:ascii="仿宋" w:hAnsi="仿宋" w:eastAsia="仿宋" w:cs="宋体"/>
          <w:color w:val="000000"/>
          <w:kern w:val="0"/>
          <w:sz w:val="32"/>
          <w:szCs w:val="32"/>
        </w:rPr>
        <w:t>算编制范围的</w:t>
      </w:r>
      <w:r>
        <w:rPr>
          <w:rFonts w:hint="eastAsia" w:ascii="仿宋" w:hAnsi="仿宋" w:eastAsia="仿宋" w:cs="宋体"/>
          <w:color w:val="000000"/>
          <w:kern w:val="0"/>
          <w:sz w:val="32"/>
          <w:szCs w:val="32"/>
          <w:lang w:eastAsia="zh-CN"/>
        </w:rPr>
        <w:t>二级</w:t>
      </w:r>
      <w:r>
        <w:rPr>
          <w:rFonts w:hint="eastAsia" w:ascii="仿宋" w:hAnsi="仿宋" w:eastAsia="仿宋" w:cs="宋体"/>
          <w:color w:val="000000"/>
          <w:kern w:val="0"/>
          <w:sz w:val="32"/>
          <w:szCs w:val="32"/>
        </w:rPr>
        <w:t>预算</w:t>
      </w:r>
      <w:r>
        <w:rPr>
          <w:rFonts w:ascii="仿宋" w:hAnsi="仿宋" w:eastAsia="仿宋" w:cs="宋体"/>
          <w:color w:val="000000"/>
          <w:kern w:val="0"/>
          <w:sz w:val="32"/>
          <w:szCs w:val="32"/>
        </w:rPr>
        <w:t>单位</w:t>
      </w:r>
      <w:r>
        <w:rPr>
          <w:rFonts w:hint="eastAsia" w:ascii="仿宋" w:hAnsi="仿宋" w:eastAsia="仿宋" w:cs="宋体"/>
          <w:color w:val="000000"/>
          <w:kern w:val="0"/>
          <w:sz w:val="32"/>
          <w:szCs w:val="32"/>
          <w:lang w:eastAsia="zh-CN"/>
        </w:rPr>
        <w:t>。</w:t>
      </w:r>
    </w:p>
    <w:p>
      <w:pPr>
        <w:adjustRightInd w:val="0"/>
        <w:snapToGrid w:val="0"/>
        <w:spacing w:line="580" w:lineRule="exact"/>
        <w:ind w:firstLine="632" w:firstLineChars="200"/>
        <w:jc w:val="left"/>
        <w:rPr>
          <w:rFonts w:ascii="文星简仿宋" w:eastAsia="文星简仿宋"/>
          <w:b/>
          <w:szCs w:val="32"/>
          <w:highlight w:val="yellow"/>
        </w:rPr>
      </w:pPr>
    </w:p>
    <w:p>
      <w:pPr>
        <w:adjustRightInd w:val="0"/>
        <w:snapToGrid w:val="0"/>
        <w:spacing w:line="580" w:lineRule="exact"/>
        <w:ind w:firstLine="592" w:firstLineChars="200"/>
        <w:jc w:val="left"/>
        <w:rPr>
          <w:rFonts w:ascii="文星简仿宋" w:eastAsia="文星简仿宋"/>
          <w:b/>
          <w:sz w:val="30"/>
          <w:szCs w:val="30"/>
          <w:highlight w:val="yellow"/>
        </w:rPr>
      </w:pPr>
    </w:p>
    <w:p>
      <w:pPr>
        <w:adjustRightInd w:val="0"/>
        <w:snapToGrid w:val="0"/>
        <w:spacing w:line="580" w:lineRule="exact"/>
        <w:ind w:firstLine="592" w:firstLineChars="200"/>
        <w:jc w:val="left"/>
        <w:rPr>
          <w:rFonts w:ascii="文星简仿宋" w:eastAsia="文星简仿宋"/>
          <w:b/>
          <w:sz w:val="30"/>
          <w:szCs w:val="30"/>
          <w:highlight w:val="yellow"/>
        </w:rPr>
      </w:pPr>
    </w:p>
    <w:p>
      <w:pPr>
        <w:adjustRightInd w:val="0"/>
        <w:snapToGrid w:val="0"/>
        <w:spacing w:line="580" w:lineRule="exact"/>
        <w:ind w:firstLine="592" w:firstLineChars="200"/>
        <w:jc w:val="left"/>
        <w:rPr>
          <w:rFonts w:ascii="文星简仿宋" w:eastAsia="文星简仿宋"/>
          <w:b/>
          <w:sz w:val="30"/>
          <w:szCs w:val="30"/>
          <w:highlight w:val="yellow"/>
        </w:rPr>
      </w:pPr>
    </w:p>
    <w:p>
      <w:pPr>
        <w:rPr>
          <w:rFonts w:ascii="方正小标宋简体" w:eastAsia="方正小标宋简体"/>
          <w:spacing w:val="60"/>
          <w:sz w:val="42"/>
        </w:rPr>
      </w:pPr>
    </w:p>
    <w:p>
      <w:pPr>
        <w:rPr>
          <w:rFonts w:ascii="方正小标宋简体" w:eastAsia="方正小标宋简体"/>
          <w:spacing w:val="60"/>
          <w:sz w:val="42"/>
        </w:rPr>
      </w:pPr>
    </w:p>
    <w:p>
      <w:pPr>
        <w:rPr>
          <w:rFonts w:ascii="方正小标宋简体" w:eastAsia="方正小标宋简体"/>
          <w:spacing w:val="60"/>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第二部分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r>
        <w:rPr>
          <w:rFonts w:hint="eastAsia" w:ascii="方正小标宋简体" w:eastAsia="方正小标宋简体"/>
          <w:spacing w:val="60"/>
          <w:sz w:val="48"/>
        </w:rPr>
        <w:t>2020年度单位决算表</w:t>
      </w:r>
    </w:p>
    <w:p>
      <w:pPr>
        <w:spacing w:line="520" w:lineRule="exact"/>
        <w:rPr>
          <w:rFonts w:ascii="仿宋_GB2312" w:eastAsia="仿宋_GB2312"/>
          <w:b/>
          <w:sz w:val="28"/>
          <w:szCs w:val="28"/>
          <w:highlight w:val="yellow"/>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收入支出决算总表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公开01表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highlight w:val="none"/>
        </w:rPr>
        <w:t>单位：</w:t>
      </w:r>
      <w:r>
        <w:rPr>
          <w:rFonts w:hint="eastAsia" w:ascii="楷体_GB2312" w:eastAsia="楷体_GB2312"/>
          <w:sz w:val="28"/>
          <w:szCs w:val="28"/>
          <w:highlight w:val="none"/>
          <w:lang w:eastAsia="zh-CN"/>
        </w:rPr>
        <w:t>博山区绿色产业发展服务中心</w:t>
      </w:r>
      <w:r>
        <w:rPr>
          <w:rFonts w:hint="eastAsia" w:ascii="楷体_GB2312" w:eastAsia="楷体_GB2312"/>
          <w:sz w:val="28"/>
          <w:szCs w:val="28"/>
          <w:highlight w:val="none"/>
          <w:lang w:val="en-US" w:eastAsia="zh-CN"/>
        </w:rPr>
        <w:t xml:space="preserve">            </w:t>
      </w:r>
      <w:r>
        <w:rPr>
          <w:rFonts w:hint="eastAsia" w:ascii="楷体_GB2312" w:eastAsia="楷体_GB2312"/>
          <w:sz w:val="28"/>
          <w:szCs w:val="28"/>
        </w:rPr>
        <w:t xml:space="preserve">      金额单位：万元</w:t>
      </w:r>
    </w:p>
    <w:tbl>
      <w:tblPr>
        <w:tblStyle w:val="9"/>
        <w:tblW w:w="0" w:type="auto"/>
        <w:tblInd w:w="0" w:type="dxa"/>
        <w:tblLayout w:type="fixed"/>
        <w:tblCellMar>
          <w:top w:w="0" w:type="dxa"/>
          <w:left w:w="108" w:type="dxa"/>
          <w:bottom w:w="0" w:type="dxa"/>
          <w:right w:w="108" w:type="dxa"/>
        </w:tblCellMar>
      </w:tblPr>
      <w:tblGrid>
        <w:gridCol w:w="3045"/>
        <w:gridCol w:w="667"/>
        <w:gridCol w:w="1022"/>
        <w:gridCol w:w="2287"/>
        <w:gridCol w:w="732"/>
        <w:gridCol w:w="1302"/>
      </w:tblGrid>
      <w:tr>
        <w:tblPrEx>
          <w:tblCellMar>
            <w:top w:w="0" w:type="dxa"/>
            <w:left w:w="108" w:type="dxa"/>
            <w:bottom w:w="0" w:type="dxa"/>
            <w:right w:w="108" w:type="dxa"/>
          </w:tblCellMar>
        </w:tblPrEx>
        <w:trPr>
          <w:trHeight w:val="329" w:hRule="exact"/>
        </w:trPr>
        <w:tc>
          <w:tcPr>
            <w:tcW w:w="47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收 入</w:t>
            </w:r>
          </w:p>
        </w:tc>
        <w:tc>
          <w:tcPr>
            <w:tcW w:w="4321"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支 出</w:t>
            </w:r>
          </w:p>
        </w:tc>
      </w:tr>
      <w:tr>
        <w:tblPrEx>
          <w:tblCellMar>
            <w:top w:w="0" w:type="dxa"/>
            <w:left w:w="108" w:type="dxa"/>
            <w:bottom w:w="0" w:type="dxa"/>
            <w:right w:w="108" w:type="dxa"/>
          </w:tblCellMar>
        </w:tblPrEx>
        <w:trPr>
          <w:trHeight w:val="37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项  目</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行次</w:t>
            </w:r>
          </w:p>
        </w:tc>
        <w:tc>
          <w:tcPr>
            <w:tcW w:w="102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决算数</w:t>
            </w:r>
          </w:p>
        </w:tc>
        <w:tc>
          <w:tcPr>
            <w:tcW w:w="228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项  目</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行次</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决算数</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栏  次</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102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228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栏  次</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130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一、一般公共预算财政拨款收入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309.49</w:t>
            </w: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一、一般公共服务支出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31</w:t>
            </w:r>
          </w:p>
        </w:tc>
        <w:tc>
          <w:tcPr>
            <w:tcW w:w="1302" w:type="dxa"/>
            <w:tcBorders>
              <w:top w:val="nil"/>
              <w:left w:val="nil"/>
              <w:bottom w:val="single" w:color="auto" w:sz="4" w:space="0"/>
              <w:right w:val="single" w:color="auto" w:sz="4" w:space="0"/>
            </w:tcBorders>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222.91</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二、政府性基金预算财政拨款收入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二、外交支出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32</w:t>
            </w:r>
          </w:p>
        </w:tc>
        <w:tc>
          <w:tcPr>
            <w:tcW w:w="130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34"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三、国有资本经营预算财政拨款收入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3</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三、国防支出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33</w:t>
            </w:r>
          </w:p>
        </w:tc>
        <w:tc>
          <w:tcPr>
            <w:tcW w:w="130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02"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四、上级补助收入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4</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四、公共安全支出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34</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五、事业收入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5</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五、教育支出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35</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六、经营收入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6</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六、科学技术支出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36</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七、附属单位上缴收入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7</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七、文化旅游体育与传媒支出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37</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八、其他收入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8</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八、社会保障和就业支出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38</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36.25</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9</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九、卫生健康支出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39</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17.15</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10</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十、节能环保支出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40</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11</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十一、城乡社区支出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41</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12</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十二、农林水支出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42</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13</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十三、交通运输支出</w:t>
            </w:r>
          </w:p>
        </w:tc>
        <w:tc>
          <w:tcPr>
            <w:tcW w:w="732" w:type="dxa"/>
            <w:tcBorders>
              <w:top w:val="nil"/>
              <w:left w:val="single" w:color="auto" w:sz="4" w:space="0"/>
              <w:bottom w:val="single" w:color="auto" w:sz="4" w:space="0"/>
              <w:right w:val="nil"/>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43</w:t>
            </w:r>
          </w:p>
        </w:tc>
        <w:tc>
          <w:tcPr>
            <w:tcW w:w="1302" w:type="dxa"/>
            <w:tcBorders>
              <w:top w:val="nil"/>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14</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十四、资源勘探工业信息等支出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44</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15</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十五、商业服务业等支出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45</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16</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十六、金融支出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46</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17</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十七、援助其他地区支出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47</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18</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十八、自然资源海洋气象等支出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48</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19</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十九、住房保障支出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49</w:t>
            </w:r>
          </w:p>
        </w:tc>
        <w:tc>
          <w:tcPr>
            <w:tcW w:w="1302" w:type="dxa"/>
            <w:tcBorders>
              <w:top w:val="nil"/>
              <w:left w:val="nil"/>
              <w:bottom w:val="single" w:color="auto" w:sz="4" w:space="0"/>
              <w:right w:val="single" w:color="auto" w:sz="4" w:space="0"/>
            </w:tcBorders>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21.82</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20</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二十、粮油物资储备支出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50</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21</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二十一、国有资本经营预算支出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51</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22</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二十二、灾害防治及应急管理支出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52</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23</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二十三、其他支出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53</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24</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二十四、债务还本支出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54</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二十五、债务付息支出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55</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二十六、抗疫特别国债安排的支出</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ascii="仿宋_GB2312" w:eastAsia="仿宋_GB2312"/>
                <w:sz w:val="18"/>
                <w:szCs w:val="18"/>
              </w:rPr>
              <w:t>56</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b/>
                <w:bCs/>
                <w:sz w:val="18"/>
                <w:szCs w:val="18"/>
              </w:rPr>
              <w:t>本年收入合计</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sz w:val="18"/>
                <w:szCs w:val="18"/>
              </w:rPr>
              <w:t>27</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309.49</w:t>
            </w:r>
          </w:p>
        </w:tc>
        <w:tc>
          <w:tcPr>
            <w:tcW w:w="2287"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b/>
                <w:bCs/>
                <w:kern w:val="2"/>
                <w:sz w:val="18"/>
                <w:szCs w:val="18"/>
                <w:lang w:val="en-US" w:eastAsia="zh-CN" w:bidi="ar-SA"/>
              </w:rPr>
            </w:pPr>
            <w:r>
              <w:rPr>
                <w:rFonts w:hint="eastAsia" w:ascii="仿宋_GB2312" w:eastAsia="仿宋_GB2312"/>
                <w:b/>
                <w:bCs/>
                <w:sz w:val="18"/>
                <w:szCs w:val="18"/>
              </w:rPr>
              <w:t>本年支出合计</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57</w:t>
            </w:r>
          </w:p>
        </w:tc>
        <w:tc>
          <w:tcPr>
            <w:tcW w:w="1302" w:type="dxa"/>
            <w:tcBorders>
              <w:top w:val="nil"/>
              <w:left w:val="nil"/>
              <w:bottom w:val="single" w:color="auto" w:sz="4" w:space="0"/>
              <w:right w:val="single" w:color="auto" w:sz="4" w:space="0"/>
            </w:tcBorders>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298.13</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使用非财政拨款结余</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结余分配</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58</w:t>
            </w:r>
          </w:p>
        </w:tc>
        <w:tc>
          <w:tcPr>
            <w:tcW w:w="1302"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年初结转和结余</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2287" w:type="dxa"/>
            <w:tcBorders>
              <w:top w:val="nil"/>
              <w:left w:val="nil"/>
              <w:bottom w:val="single" w:color="auto" w:sz="4" w:space="0"/>
              <w:right w:val="single" w:color="auto" w:sz="4" w:space="0"/>
            </w:tcBorders>
            <w:vAlign w:val="center"/>
          </w:tcPr>
          <w:p>
            <w:pPr>
              <w:spacing w:line="240" w:lineRule="exact"/>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年末结转和结余</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59</w:t>
            </w:r>
          </w:p>
        </w:tc>
        <w:tc>
          <w:tcPr>
            <w:tcW w:w="1302" w:type="dxa"/>
            <w:tcBorders>
              <w:top w:val="nil"/>
              <w:left w:val="nil"/>
              <w:bottom w:val="single" w:color="auto" w:sz="4" w:space="0"/>
              <w:right w:val="single" w:color="auto" w:sz="4" w:space="0"/>
            </w:tcBorders>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11.36</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309.49</w:t>
            </w:r>
          </w:p>
        </w:tc>
        <w:tc>
          <w:tcPr>
            <w:tcW w:w="2287"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b/>
                <w:bCs/>
                <w:sz w:val="18"/>
                <w:szCs w:val="18"/>
              </w:rPr>
              <w:t>总计</w:t>
            </w:r>
          </w:p>
        </w:tc>
        <w:tc>
          <w:tcPr>
            <w:tcW w:w="732" w:type="dxa"/>
            <w:tcBorders>
              <w:top w:val="nil"/>
              <w:left w:val="nil"/>
              <w:bottom w:val="single" w:color="auto" w:sz="4" w:space="0"/>
              <w:right w:val="single" w:color="auto" w:sz="4" w:space="0"/>
            </w:tcBorders>
            <w:vAlign w:val="center"/>
          </w:tcPr>
          <w:p>
            <w:pPr>
              <w:spacing w:line="240" w:lineRule="exact"/>
              <w:jc w:val="center"/>
              <w:rPr>
                <w:rFonts w:ascii="仿宋_GB2312" w:hAnsi="Times New Roman" w:eastAsia="仿宋_GB2312" w:cs="Times New Roman"/>
                <w:kern w:val="2"/>
                <w:sz w:val="18"/>
                <w:szCs w:val="18"/>
                <w:lang w:val="en-US" w:eastAsia="zh-CN" w:bidi="ar-SA"/>
              </w:rPr>
            </w:pPr>
            <w:r>
              <w:rPr>
                <w:rFonts w:hint="eastAsia" w:ascii="仿宋_GB2312" w:eastAsia="仿宋_GB2312"/>
                <w:sz w:val="18"/>
                <w:szCs w:val="18"/>
              </w:rPr>
              <w:t>60</w:t>
            </w:r>
          </w:p>
        </w:tc>
        <w:tc>
          <w:tcPr>
            <w:tcW w:w="1302" w:type="dxa"/>
            <w:tcBorders>
              <w:top w:val="nil"/>
              <w:left w:val="nil"/>
              <w:bottom w:val="single" w:color="auto" w:sz="4" w:space="0"/>
              <w:right w:val="single" w:color="auto" w:sz="4" w:space="0"/>
            </w:tcBorders>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309.49</w:t>
            </w:r>
          </w:p>
        </w:tc>
      </w:tr>
    </w:tbl>
    <w:p>
      <w:pPr>
        <w:ind w:firstLine="88" w:firstLineChars="50"/>
        <w:rPr>
          <w:rFonts w:ascii="楷体_GB2312" w:eastAsia="楷体_GB2312"/>
          <w:sz w:val="28"/>
          <w:szCs w:val="28"/>
        </w:rPr>
        <w:sectPr>
          <w:pgSz w:w="11906" w:h="16838"/>
          <w:pgMar w:top="1701" w:right="1531" w:bottom="1701" w:left="1531" w:header="0" w:footer="1418" w:gutter="0"/>
          <w:cols w:space="720" w:num="1"/>
          <w:docGrid w:type="linesAndChars" w:linePitch="610" w:charSpace="-849"/>
        </w:sectPr>
      </w:pPr>
      <w:r>
        <w:rPr>
          <w:rFonts w:hint="eastAsia" w:ascii="仿宋_GB2312" w:hAnsi="宋体" w:eastAsia="仿宋_GB2312"/>
          <w:sz w:val="18"/>
          <w:szCs w:val="18"/>
        </w:rPr>
        <w:t>注：1.本表反映</w:t>
      </w:r>
      <w:r>
        <w:rPr>
          <w:rFonts w:hint="eastAsia" w:ascii="仿宋_GB2312" w:hAnsi="宋体" w:eastAsia="仿宋_GB2312"/>
          <w:sz w:val="18"/>
          <w:szCs w:val="18"/>
          <w:highlight w:val="none"/>
        </w:rPr>
        <w:t>单位</w:t>
      </w:r>
      <w:r>
        <w:rPr>
          <w:rFonts w:hint="eastAsia" w:ascii="仿宋_GB2312" w:hAnsi="宋体" w:eastAsia="仿宋_GB2312"/>
          <w:sz w:val="18"/>
          <w:szCs w:val="18"/>
        </w:rPr>
        <w:t>本年度的总收支和年末结转结余情况。2.本套报表金额单位转换时可能存在尾数误差。</w:t>
      </w:r>
    </w:p>
    <w:p>
      <w:pPr>
        <w:jc w:val="center"/>
        <w:rPr>
          <w:rFonts w:hint="eastAsia" w:ascii="方正小标宋简体" w:eastAsia="方正小标宋简体"/>
          <w:sz w:val="44"/>
          <w:szCs w:val="44"/>
        </w:rPr>
      </w:pPr>
      <w:r>
        <w:rPr>
          <w:rFonts w:hint="eastAsia" w:ascii="方正小标宋简体" w:eastAsia="方正小标宋简体"/>
          <w:sz w:val="44"/>
          <w:szCs w:val="44"/>
        </w:rPr>
        <w:t>收入决算表</w:t>
      </w:r>
    </w:p>
    <w:p>
      <w:pPr>
        <w:wordWrap w:val="0"/>
        <w:spacing w:line="400" w:lineRule="exact"/>
        <w:jc w:val="right"/>
        <w:rPr>
          <w:rFonts w:ascii="楷体_GB2312" w:eastAsia="楷体_GB2312"/>
          <w:sz w:val="18"/>
          <w:szCs w:val="18"/>
        </w:rPr>
      </w:pPr>
      <w:r>
        <w:rPr>
          <w:rFonts w:hint="eastAsia" w:ascii="楷体_GB2312" w:eastAsia="楷体_GB2312"/>
          <w:sz w:val="18"/>
          <w:szCs w:val="18"/>
        </w:rPr>
        <w:t xml:space="preserve"> 公开02表 </w:t>
      </w:r>
    </w:p>
    <w:p>
      <w:pPr>
        <w:tabs>
          <w:tab w:val="left" w:pos="13467"/>
        </w:tabs>
        <w:wordWrap w:val="0"/>
        <w:spacing w:line="400" w:lineRule="exact"/>
        <w:ind w:right="107"/>
        <w:jc w:val="right"/>
        <w:rPr>
          <w:rFonts w:ascii="楷体_GB2312" w:eastAsia="楷体_GB2312"/>
          <w:sz w:val="18"/>
          <w:szCs w:val="18"/>
        </w:rPr>
      </w:pPr>
      <w:r>
        <w:rPr>
          <w:rFonts w:hint="eastAsia" w:ascii="楷体_GB2312" w:eastAsia="楷体_GB2312"/>
          <w:sz w:val="18"/>
          <w:szCs w:val="18"/>
          <w:highlight w:val="none"/>
        </w:rPr>
        <w:t>单位：</w:t>
      </w:r>
      <w:r>
        <w:rPr>
          <w:rFonts w:hint="eastAsia" w:ascii="楷体_GB2312" w:eastAsia="楷体_GB2312"/>
          <w:sz w:val="18"/>
          <w:szCs w:val="18"/>
          <w:highlight w:val="none"/>
          <w:lang w:eastAsia="zh-CN"/>
        </w:rPr>
        <w:t>博山区绿色产业发展服务中心</w:t>
      </w:r>
      <w:r>
        <w:rPr>
          <w:rFonts w:hint="eastAsia" w:ascii="楷体_GB2312" w:eastAsia="楷体_GB2312"/>
          <w:sz w:val="18"/>
          <w:szCs w:val="18"/>
          <w:highlight w:val="none"/>
          <w:lang w:val="en-US" w:eastAsia="zh-CN"/>
        </w:rPr>
        <w:t xml:space="preserve">                                  </w:t>
      </w:r>
      <w:r>
        <w:rPr>
          <w:rFonts w:hint="eastAsia" w:ascii="楷体_GB2312" w:eastAsia="楷体_GB2312"/>
          <w:sz w:val="18"/>
          <w:szCs w:val="18"/>
        </w:rPr>
        <w:t xml:space="preserve">             </w:t>
      </w:r>
      <w:r>
        <w:rPr>
          <w:rFonts w:ascii="楷体_GB2312" w:eastAsia="楷体_GB2312"/>
          <w:sz w:val="18"/>
          <w:szCs w:val="18"/>
        </w:rPr>
        <w:t xml:space="preserve"> </w:t>
      </w:r>
      <w:r>
        <w:rPr>
          <w:rFonts w:hint="eastAsia" w:ascii="楷体_GB2312" w:eastAsia="楷体_GB2312"/>
          <w:sz w:val="18"/>
          <w:szCs w:val="18"/>
        </w:rPr>
        <w:t>金额单位：万元</w:t>
      </w:r>
    </w:p>
    <w:tbl>
      <w:tblPr>
        <w:tblStyle w:val="9"/>
        <w:tblW w:w="0" w:type="auto"/>
        <w:jc w:val="center"/>
        <w:tblLayout w:type="fixed"/>
        <w:tblCellMar>
          <w:top w:w="0" w:type="dxa"/>
          <w:left w:w="108" w:type="dxa"/>
          <w:bottom w:w="0" w:type="dxa"/>
          <w:right w:w="108" w:type="dxa"/>
        </w:tblCellMar>
      </w:tblPr>
      <w:tblGrid>
        <w:gridCol w:w="1296"/>
        <w:gridCol w:w="2269"/>
        <w:gridCol w:w="1121"/>
        <w:gridCol w:w="1075"/>
        <w:gridCol w:w="1179"/>
        <w:gridCol w:w="1471"/>
        <w:gridCol w:w="1566"/>
        <w:gridCol w:w="1638"/>
        <w:gridCol w:w="1487"/>
      </w:tblGrid>
      <w:tr>
        <w:tblPrEx>
          <w:tblCellMar>
            <w:top w:w="0" w:type="dxa"/>
            <w:left w:w="108" w:type="dxa"/>
            <w:bottom w:w="0" w:type="dxa"/>
            <w:right w:w="108" w:type="dxa"/>
          </w:tblCellMar>
        </w:tblPrEx>
        <w:trPr>
          <w:trHeight w:val="170" w:hRule="atLeast"/>
          <w:jc w:val="center"/>
        </w:trPr>
        <w:tc>
          <w:tcPr>
            <w:tcW w:w="35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项       目</w:t>
            </w:r>
          </w:p>
        </w:tc>
        <w:tc>
          <w:tcPr>
            <w:tcW w:w="112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本年收入合计</w:t>
            </w:r>
          </w:p>
        </w:tc>
        <w:tc>
          <w:tcPr>
            <w:tcW w:w="107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财政拨款收入</w:t>
            </w:r>
          </w:p>
        </w:tc>
        <w:tc>
          <w:tcPr>
            <w:tcW w:w="117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上级补助收入</w:t>
            </w:r>
          </w:p>
        </w:tc>
        <w:tc>
          <w:tcPr>
            <w:tcW w:w="1471" w:type="dxa"/>
            <w:vMerge w:val="restart"/>
            <w:tcBorders>
              <w:top w:val="single" w:color="auto" w:sz="4" w:space="0"/>
              <w:left w:val="single" w:color="auto" w:sz="4" w:space="0"/>
              <w:right w:val="single" w:color="auto" w:sz="4" w:space="0"/>
            </w:tcBorders>
            <w:vAlign w:val="center"/>
          </w:tcPr>
          <w:p>
            <w:pPr>
              <w:widowControl/>
              <w:spacing w:line="300" w:lineRule="exact"/>
              <w:ind w:firstLine="126" w:firstLineChars="100"/>
              <w:rPr>
                <w:rFonts w:ascii="仿宋_GB2312" w:hAnsi="宋体" w:eastAsia="仿宋_GB2312" w:cs="宋体"/>
                <w:kern w:val="0"/>
                <w:sz w:val="13"/>
                <w:szCs w:val="13"/>
              </w:rPr>
            </w:pPr>
            <w:r>
              <w:rPr>
                <w:rFonts w:hint="eastAsia" w:ascii="仿宋_GB2312" w:hAnsi="宋体" w:eastAsia="仿宋_GB2312" w:cs="宋体"/>
                <w:kern w:val="0"/>
                <w:sz w:val="13"/>
                <w:szCs w:val="13"/>
              </w:rPr>
              <w:t>事业收入</w:t>
            </w:r>
          </w:p>
        </w:tc>
        <w:tc>
          <w:tcPr>
            <w:tcW w:w="156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经营收入</w:t>
            </w:r>
          </w:p>
        </w:tc>
        <w:tc>
          <w:tcPr>
            <w:tcW w:w="1638" w:type="dxa"/>
            <w:vMerge w:val="restart"/>
            <w:tcBorders>
              <w:top w:val="single" w:color="auto" w:sz="4" w:space="0"/>
              <w:left w:val="single" w:color="auto" w:sz="4" w:space="0"/>
              <w:right w:val="single" w:color="auto" w:sz="4" w:space="0"/>
            </w:tcBorders>
            <w:vAlign w:val="center"/>
          </w:tcPr>
          <w:p>
            <w:pPr>
              <w:widowControl/>
              <w:spacing w:line="300" w:lineRule="exact"/>
              <w:ind w:left="648" w:hanging="378" w:hangingChars="300"/>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附属单位上缴收入</w:t>
            </w:r>
          </w:p>
        </w:tc>
        <w:tc>
          <w:tcPr>
            <w:tcW w:w="148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其他收入</w:t>
            </w:r>
          </w:p>
        </w:tc>
      </w:tr>
      <w:tr>
        <w:tblPrEx>
          <w:tblCellMar>
            <w:top w:w="0" w:type="dxa"/>
            <w:left w:w="108" w:type="dxa"/>
            <w:bottom w:w="0" w:type="dxa"/>
            <w:right w:w="108" w:type="dxa"/>
          </w:tblCellMar>
        </w:tblPrEx>
        <w:trPr>
          <w:trHeight w:val="247"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功能分类科目编码</w:t>
            </w:r>
          </w:p>
        </w:tc>
        <w:tc>
          <w:tcPr>
            <w:tcW w:w="22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科目名称</w:t>
            </w:r>
          </w:p>
        </w:tc>
        <w:tc>
          <w:tcPr>
            <w:tcW w:w="1121"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p>
        </w:tc>
        <w:tc>
          <w:tcPr>
            <w:tcW w:w="1075"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p>
        </w:tc>
        <w:tc>
          <w:tcPr>
            <w:tcW w:w="1179"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p>
        </w:tc>
        <w:tc>
          <w:tcPr>
            <w:tcW w:w="1471" w:type="dxa"/>
            <w:vMerge w:val="continue"/>
            <w:tcBorders>
              <w:left w:val="single" w:color="auto" w:sz="4" w:space="0"/>
              <w:right w:val="single" w:color="auto" w:sz="4" w:space="0"/>
            </w:tcBorders>
            <w:vAlign w:val="center"/>
          </w:tcPr>
          <w:p>
            <w:pPr>
              <w:widowControl/>
              <w:spacing w:line="300" w:lineRule="exact"/>
              <w:ind w:firstLine="126" w:firstLineChars="100"/>
              <w:rPr>
                <w:rFonts w:ascii="仿宋_GB2312" w:hAnsi="宋体" w:eastAsia="仿宋_GB2312" w:cs="宋体"/>
                <w:kern w:val="0"/>
                <w:sz w:val="13"/>
                <w:szCs w:val="13"/>
              </w:rPr>
            </w:pPr>
          </w:p>
        </w:tc>
        <w:tc>
          <w:tcPr>
            <w:tcW w:w="1566"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p>
        </w:tc>
        <w:tc>
          <w:tcPr>
            <w:tcW w:w="1638" w:type="dxa"/>
            <w:vMerge w:val="continue"/>
            <w:tcBorders>
              <w:left w:val="single" w:color="auto" w:sz="4" w:space="0"/>
              <w:right w:val="single" w:color="auto" w:sz="4" w:space="0"/>
            </w:tcBorders>
            <w:vAlign w:val="center"/>
          </w:tcPr>
          <w:p>
            <w:pPr>
              <w:widowControl/>
              <w:spacing w:line="300" w:lineRule="exact"/>
              <w:ind w:left="648" w:hanging="378" w:hangingChars="300"/>
              <w:jc w:val="center"/>
              <w:rPr>
                <w:rFonts w:ascii="仿宋_GB2312" w:hAnsi="宋体" w:eastAsia="仿宋_GB2312" w:cs="宋体"/>
                <w:kern w:val="0"/>
                <w:sz w:val="13"/>
                <w:szCs w:val="13"/>
              </w:rPr>
            </w:pPr>
          </w:p>
        </w:tc>
        <w:tc>
          <w:tcPr>
            <w:tcW w:w="148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p>
        </w:tc>
      </w:tr>
      <w:tr>
        <w:tblPrEx>
          <w:tblCellMar>
            <w:top w:w="0" w:type="dxa"/>
            <w:left w:w="108" w:type="dxa"/>
            <w:bottom w:w="0" w:type="dxa"/>
            <w:right w:w="108" w:type="dxa"/>
          </w:tblCellMar>
        </w:tblPrEx>
        <w:trPr>
          <w:trHeight w:val="275" w:hRule="atLeast"/>
          <w:jc w:val="center"/>
        </w:trPr>
        <w:tc>
          <w:tcPr>
            <w:tcW w:w="35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栏 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1</w:t>
            </w:r>
          </w:p>
        </w:tc>
        <w:tc>
          <w:tcPr>
            <w:tcW w:w="10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2</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3</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4</w:t>
            </w:r>
          </w:p>
        </w:tc>
        <w:tc>
          <w:tcPr>
            <w:tcW w:w="15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6</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7</w:t>
            </w:r>
          </w:p>
        </w:tc>
      </w:tr>
      <w:tr>
        <w:tblPrEx>
          <w:tblCellMar>
            <w:top w:w="0" w:type="dxa"/>
            <w:left w:w="108" w:type="dxa"/>
            <w:bottom w:w="0" w:type="dxa"/>
            <w:right w:w="108" w:type="dxa"/>
          </w:tblCellMar>
        </w:tblPrEx>
        <w:trPr>
          <w:trHeight w:val="240" w:hRule="atLeast"/>
          <w:jc w:val="center"/>
        </w:trPr>
        <w:tc>
          <w:tcPr>
            <w:tcW w:w="35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rPr>
              <w:t>合 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309.49</w:t>
            </w:r>
          </w:p>
        </w:tc>
        <w:tc>
          <w:tcPr>
            <w:tcW w:w="107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309.49</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13"/>
                <w:szCs w:val="13"/>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13"/>
                <w:szCs w:val="13"/>
              </w:rPr>
            </w:pPr>
          </w:p>
        </w:tc>
        <w:tc>
          <w:tcPr>
            <w:tcW w:w="156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13"/>
                <w:szCs w:val="13"/>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3"/>
                <w:szCs w:val="13"/>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201</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一般公共服务支出</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234.27</w:t>
            </w:r>
          </w:p>
        </w:tc>
        <w:tc>
          <w:tcPr>
            <w:tcW w:w="10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234.27</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20104</w:t>
            </w:r>
          </w:p>
        </w:tc>
        <w:tc>
          <w:tcPr>
            <w:tcW w:w="2269" w:type="dxa"/>
            <w:tcBorders>
              <w:top w:val="nil"/>
              <w:left w:val="nil"/>
              <w:bottom w:val="single" w:color="auto" w:sz="4" w:space="0"/>
              <w:right w:val="single" w:color="auto" w:sz="4" w:space="0"/>
            </w:tcBorders>
            <w:shd w:val="clear" w:color="auto" w:fill="FFFFFF"/>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发展与改革事务</w:t>
            </w:r>
          </w:p>
        </w:tc>
        <w:tc>
          <w:tcPr>
            <w:tcW w:w="1121"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234.27</w:t>
            </w:r>
          </w:p>
        </w:tc>
        <w:tc>
          <w:tcPr>
            <w:tcW w:w="1075"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234.27</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2010450</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事业运行</w:t>
            </w:r>
          </w:p>
        </w:tc>
        <w:tc>
          <w:tcPr>
            <w:tcW w:w="1121"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234.27</w:t>
            </w:r>
          </w:p>
        </w:tc>
        <w:tc>
          <w:tcPr>
            <w:tcW w:w="1075"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234.27</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208</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社会保障和就业支出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36.25</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36.25</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20805</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行政事业单位养老支出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36.25</w:t>
            </w:r>
          </w:p>
        </w:tc>
        <w:tc>
          <w:tcPr>
            <w:tcW w:w="1075"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36.25</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2080520</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事业单位离退休</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12.87</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12.87</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2080505</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机关事业单位基本养老保险缴费支出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13.68</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13.68</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2080506</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机关事业单位职业年金缴费支出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9.7</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9.7</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210</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卫生健康支出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17.15</w:t>
            </w:r>
          </w:p>
        </w:tc>
        <w:tc>
          <w:tcPr>
            <w:tcW w:w="1075" w:type="dxa"/>
            <w:tcBorders>
              <w:top w:val="nil"/>
              <w:left w:val="nil"/>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17.15</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w:t>
            </w: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21011</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行政事业单位医疗</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17.15</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17.15</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2101102</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事业单位医疗</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10.22</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10.22</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2101103</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公务员医疗补助</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6.93</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6.93</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211</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住房保障支出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21.82</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21.82</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22102</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住房改革支出</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21.82</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21.82</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3" w:hRule="atLeast"/>
          <w:jc w:val="center"/>
        </w:trPr>
        <w:tc>
          <w:tcPr>
            <w:tcW w:w="129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2210201</w:t>
            </w:r>
          </w:p>
        </w:tc>
        <w:tc>
          <w:tcPr>
            <w:tcW w:w="226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住房公积金</w:t>
            </w:r>
          </w:p>
        </w:tc>
        <w:tc>
          <w:tcPr>
            <w:tcW w:w="112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21.82</w:t>
            </w:r>
          </w:p>
        </w:tc>
        <w:tc>
          <w:tcPr>
            <w:tcW w:w="1075"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21.82</w:t>
            </w:r>
          </w:p>
        </w:tc>
        <w:tc>
          <w:tcPr>
            <w:tcW w:w="1179"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71"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566"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638"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c>
          <w:tcPr>
            <w:tcW w:w="1487"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13"/>
                <w:szCs w:val="13"/>
              </w:rPr>
            </w:pPr>
          </w:p>
        </w:tc>
      </w:tr>
    </w:tbl>
    <w:p>
      <w:pPr>
        <w:ind w:firstLine="63" w:firstLineChars="50"/>
        <w:rPr>
          <w:rFonts w:ascii="仿宋_GB2312" w:hAnsi="宋体" w:eastAsia="仿宋_GB2312"/>
          <w:sz w:val="13"/>
          <w:szCs w:val="13"/>
        </w:rPr>
      </w:pPr>
      <w:r>
        <w:rPr>
          <w:rFonts w:hint="eastAsia" w:ascii="仿宋_GB2312" w:hAnsi="宋体" w:eastAsia="仿宋_GB2312"/>
          <w:sz w:val="13"/>
          <w:szCs w:val="13"/>
        </w:rPr>
        <w:t>注：本表反映</w:t>
      </w:r>
      <w:r>
        <w:rPr>
          <w:rFonts w:hint="eastAsia" w:ascii="仿宋_GB2312" w:hAnsi="宋体" w:eastAsia="仿宋_GB2312"/>
          <w:sz w:val="13"/>
          <w:szCs w:val="13"/>
          <w:highlight w:val="none"/>
        </w:rPr>
        <w:t>单位</w:t>
      </w:r>
      <w:r>
        <w:rPr>
          <w:rFonts w:hint="eastAsia" w:ascii="仿宋_GB2312" w:hAnsi="宋体" w:eastAsia="仿宋_GB2312"/>
          <w:sz w:val="13"/>
          <w:szCs w:val="13"/>
        </w:rPr>
        <w:t>本年度取得的各项收入情况。</w:t>
      </w:r>
    </w:p>
    <w:p>
      <w:pPr>
        <w:jc w:val="center"/>
        <w:rPr>
          <w:rFonts w:ascii="方正小标宋简体" w:eastAsia="方正小标宋简体"/>
          <w:sz w:val="44"/>
          <w:szCs w:val="44"/>
        </w:rPr>
      </w:pPr>
      <w:r>
        <w:rPr>
          <w:rFonts w:hint="eastAsia" w:ascii="方正小标宋简体" w:eastAsia="方正小标宋简体"/>
          <w:sz w:val="44"/>
          <w:szCs w:val="44"/>
        </w:rPr>
        <w:t>支出决算表</w:t>
      </w:r>
    </w:p>
    <w:p>
      <w:pPr>
        <w:spacing w:line="400" w:lineRule="exact"/>
        <w:jc w:val="right"/>
        <w:rPr>
          <w:rFonts w:ascii="楷体_GB2312" w:eastAsia="楷体_GB2312"/>
          <w:sz w:val="15"/>
          <w:szCs w:val="15"/>
        </w:rPr>
      </w:pPr>
      <w:r>
        <w:rPr>
          <w:rFonts w:hint="eastAsia" w:ascii="楷体_GB2312" w:eastAsia="楷体_GB2312"/>
          <w:sz w:val="15"/>
          <w:szCs w:val="15"/>
        </w:rPr>
        <w:t xml:space="preserve">                                                                                   公开03表</w:t>
      </w:r>
    </w:p>
    <w:p>
      <w:pPr>
        <w:wordWrap w:val="0"/>
        <w:spacing w:line="400" w:lineRule="exact"/>
        <w:ind w:firstLine="73" w:firstLineChars="50"/>
        <w:jc w:val="right"/>
        <w:rPr>
          <w:rFonts w:ascii="楷体_GB2312" w:eastAsia="楷体_GB2312"/>
          <w:sz w:val="15"/>
          <w:szCs w:val="15"/>
        </w:rPr>
      </w:pPr>
      <w:r>
        <w:rPr>
          <w:rFonts w:hint="eastAsia" w:ascii="楷体_GB2312" w:eastAsia="楷体_GB2312"/>
          <w:sz w:val="15"/>
          <w:szCs w:val="15"/>
          <w:highlight w:val="none"/>
        </w:rPr>
        <w:t>单位：</w:t>
      </w:r>
      <w:r>
        <w:rPr>
          <w:rFonts w:hint="eastAsia" w:ascii="楷体_GB2312" w:eastAsia="楷体_GB2312"/>
          <w:sz w:val="15"/>
          <w:szCs w:val="15"/>
          <w:highlight w:val="none"/>
          <w:lang w:eastAsia="zh-CN"/>
        </w:rPr>
        <w:t>博山区绿色产业发展服务中心</w:t>
      </w:r>
      <w:r>
        <w:rPr>
          <w:rFonts w:hint="eastAsia" w:ascii="楷体_GB2312" w:eastAsia="楷体_GB2312"/>
          <w:sz w:val="15"/>
          <w:szCs w:val="15"/>
        </w:rPr>
        <w:t xml:space="preserve">         </w:t>
      </w:r>
      <w:r>
        <w:rPr>
          <w:rFonts w:hint="eastAsia" w:ascii="楷体_GB2312" w:eastAsia="楷体_GB2312"/>
          <w:sz w:val="15"/>
          <w:szCs w:val="15"/>
          <w:lang w:val="en-US" w:eastAsia="zh-CN"/>
        </w:rPr>
        <w:t xml:space="preserve">                                                                                   </w:t>
      </w:r>
      <w:r>
        <w:rPr>
          <w:rFonts w:hint="eastAsia" w:ascii="楷体_GB2312" w:eastAsia="楷体_GB2312"/>
          <w:sz w:val="15"/>
          <w:szCs w:val="15"/>
        </w:rPr>
        <w:t xml:space="preserve">                                         金额单位：万元</w:t>
      </w:r>
    </w:p>
    <w:tbl>
      <w:tblPr>
        <w:tblStyle w:val="9"/>
        <w:tblW w:w="0" w:type="auto"/>
        <w:jc w:val="center"/>
        <w:tblLayout w:type="fixed"/>
        <w:tblCellMar>
          <w:top w:w="0" w:type="dxa"/>
          <w:left w:w="108" w:type="dxa"/>
          <w:bottom w:w="0" w:type="dxa"/>
          <w:right w:w="108" w:type="dxa"/>
        </w:tblCellMar>
      </w:tblPr>
      <w:tblGrid>
        <w:gridCol w:w="1344"/>
        <w:gridCol w:w="57"/>
        <w:gridCol w:w="2211"/>
        <w:gridCol w:w="1262"/>
        <w:gridCol w:w="1250"/>
        <w:gridCol w:w="1650"/>
        <w:gridCol w:w="1600"/>
        <w:gridCol w:w="1863"/>
        <w:gridCol w:w="1887"/>
      </w:tblGrid>
      <w:tr>
        <w:tblPrEx>
          <w:tblCellMar>
            <w:top w:w="0" w:type="dxa"/>
            <w:left w:w="108" w:type="dxa"/>
            <w:bottom w:w="0" w:type="dxa"/>
            <w:right w:w="108" w:type="dxa"/>
          </w:tblCellMar>
        </w:tblPrEx>
        <w:trPr>
          <w:trHeight w:val="225" w:hRule="atLeast"/>
          <w:jc w:val="center"/>
        </w:trPr>
        <w:tc>
          <w:tcPr>
            <w:tcW w:w="361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项       目</w:t>
            </w:r>
          </w:p>
        </w:tc>
        <w:tc>
          <w:tcPr>
            <w:tcW w:w="126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本年支出合计</w:t>
            </w:r>
          </w:p>
        </w:tc>
        <w:tc>
          <w:tcPr>
            <w:tcW w:w="125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基本支出</w:t>
            </w:r>
          </w:p>
        </w:tc>
        <w:tc>
          <w:tcPr>
            <w:tcW w:w="165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项目支出</w:t>
            </w:r>
          </w:p>
        </w:tc>
        <w:tc>
          <w:tcPr>
            <w:tcW w:w="160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上缴上级支出</w:t>
            </w:r>
          </w:p>
        </w:tc>
        <w:tc>
          <w:tcPr>
            <w:tcW w:w="18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经营支出    </w:t>
            </w:r>
          </w:p>
        </w:tc>
        <w:tc>
          <w:tcPr>
            <w:tcW w:w="188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对附属单位</w:t>
            </w:r>
          </w:p>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补助支出</w:t>
            </w:r>
          </w:p>
        </w:tc>
      </w:tr>
      <w:tr>
        <w:tblPrEx>
          <w:tblCellMar>
            <w:top w:w="0" w:type="dxa"/>
            <w:left w:w="108" w:type="dxa"/>
            <w:bottom w:w="0" w:type="dxa"/>
            <w:right w:w="108" w:type="dxa"/>
          </w:tblCellMar>
        </w:tblPrEx>
        <w:trPr>
          <w:trHeight w:val="250" w:hRule="atLeast"/>
          <w:jc w:val="center"/>
        </w:trPr>
        <w:tc>
          <w:tcPr>
            <w:tcW w:w="140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功能分类科目编码</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科目名称</w:t>
            </w:r>
          </w:p>
        </w:tc>
        <w:tc>
          <w:tcPr>
            <w:tcW w:w="126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25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65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60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8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887"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361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栏  次</w:t>
            </w:r>
          </w:p>
        </w:tc>
        <w:tc>
          <w:tcPr>
            <w:tcW w:w="12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w:t>
            </w:r>
          </w:p>
        </w:tc>
        <w:tc>
          <w:tcPr>
            <w:tcW w:w="12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w:t>
            </w:r>
          </w:p>
        </w:tc>
        <w:tc>
          <w:tcPr>
            <w:tcW w:w="16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w:t>
            </w:r>
          </w:p>
        </w:tc>
        <w:tc>
          <w:tcPr>
            <w:tcW w:w="16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w:t>
            </w:r>
          </w:p>
        </w:tc>
        <w:tc>
          <w:tcPr>
            <w:tcW w:w="18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5</w:t>
            </w:r>
          </w:p>
        </w:tc>
        <w:tc>
          <w:tcPr>
            <w:tcW w:w="188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6</w:t>
            </w:r>
          </w:p>
        </w:tc>
      </w:tr>
      <w:tr>
        <w:tblPrEx>
          <w:tblCellMar>
            <w:top w:w="0" w:type="dxa"/>
            <w:left w:w="108" w:type="dxa"/>
            <w:bottom w:w="0" w:type="dxa"/>
            <w:right w:w="108" w:type="dxa"/>
          </w:tblCellMar>
        </w:tblPrEx>
        <w:trPr>
          <w:trHeight w:val="23" w:hRule="atLeast"/>
          <w:jc w:val="center"/>
        </w:trPr>
        <w:tc>
          <w:tcPr>
            <w:tcW w:w="361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合  计</w:t>
            </w:r>
          </w:p>
        </w:tc>
        <w:tc>
          <w:tcPr>
            <w:tcW w:w="1262"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298.13</w:t>
            </w:r>
          </w:p>
        </w:tc>
        <w:tc>
          <w:tcPr>
            <w:tcW w:w="1250"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298.13</w:t>
            </w:r>
          </w:p>
        </w:tc>
        <w:tc>
          <w:tcPr>
            <w:tcW w:w="16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6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8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c>
          <w:tcPr>
            <w:tcW w:w="188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single" w:color="auto" w:sz="4" w:space="0"/>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一般公共服务支出</w:t>
            </w:r>
          </w:p>
        </w:tc>
        <w:tc>
          <w:tcPr>
            <w:tcW w:w="1262" w:type="dxa"/>
            <w:tcBorders>
              <w:top w:val="single" w:color="auto" w:sz="4" w:space="0"/>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222.91</w:t>
            </w:r>
          </w:p>
        </w:tc>
        <w:tc>
          <w:tcPr>
            <w:tcW w:w="1250" w:type="dxa"/>
            <w:tcBorders>
              <w:top w:val="single" w:color="auto" w:sz="4" w:space="0"/>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222.91.</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20104</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发展与改革事物</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222.91</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222.91</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2010450</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事业运行</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222.91</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222.91</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ind w:right="90"/>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208</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社会保障和就业支出</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36.25</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36.25</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20805</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行政事业单位养老支出</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36.25</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36.25</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2080502</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事业单位离退休</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12.87</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12.87</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2080505</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机关事业单位基本养老保险缴费支出</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13.68</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13.68</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2080506</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机关事业单位职业年金缴费支出</w:t>
            </w:r>
          </w:p>
        </w:tc>
        <w:tc>
          <w:tcPr>
            <w:tcW w:w="1262" w:type="dxa"/>
            <w:tcBorders>
              <w:top w:val="nil"/>
              <w:left w:val="nil"/>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9.7</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9.7</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210</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卫生健康支出</w:t>
            </w:r>
          </w:p>
        </w:tc>
        <w:tc>
          <w:tcPr>
            <w:tcW w:w="1262" w:type="dxa"/>
            <w:tcBorders>
              <w:top w:val="nil"/>
              <w:left w:val="nil"/>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17.15</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17.15</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21011</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行政事业单位医疗</w:t>
            </w:r>
          </w:p>
        </w:tc>
        <w:tc>
          <w:tcPr>
            <w:tcW w:w="1262" w:type="dxa"/>
            <w:tcBorders>
              <w:top w:val="nil"/>
              <w:left w:val="nil"/>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17.15</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17.15</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2101102</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事业单位医疗</w:t>
            </w:r>
          </w:p>
        </w:tc>
        <w:tc>
          <w:tcPr>
            <w:tcW w:w="1262" w:type="dxa"/>
            <w:tcBorders>
              <w:top w:val="nil"/>
              <w:left w:val="nil"/>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10.22</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10.22</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2101103</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公务员医疗补助</w:t>
            </w:r>
          </w:p>
        </w:tc>
        <w:tc>
          <w:tcPr>
            <w:tcW w:w="1262" w:type="dxa"/>
            <w:tcBorders>
              <w:top w:val="nil"/>
              <w:left w:val="nil"/>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6.93</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6.93</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221</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住房保障支出</w:t>
            </w:r>
          </w:p>
        </w:tc>
        <w:tc>
          <w:tcPr>
            <w:tcW w:w="1262" w:type="dxa"/>
            <w:tcBorders>
              <w:top w:val="nil"/>
              <w:left w:val="nil"/>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21.82</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21.82</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22102</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住房改革支出</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21.82</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21.82</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3"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2210201</w:t>
            </w:r>
          </w:p>
        </w:tc>
        <w:tc>
          <w:tcPr>
            <w:tcW w:w="2268" w:type="dxa"/>
            <w:gridSpan w:val="2"/>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住房公积金</w:t>
            </w:r>
          </w:p>
        </w:tc>
        <w:tc>
          <w:tcPr>
            <w:tcW w:w="1262" w:type="dxa"/>
            <w:tcBorders>
              <w:top w:val="nil"/>
              <w:left w:val="nil"/>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21.82</w:t>
            </w:r>
          </w:p>
        </w:tc>
        <w:tc>
          <w:tcPr>
            <w:tcW w:w="1250" w:type="dxa"/>
            <w:tcBorders>
              <w:top w:val="nil"/>
              <w:left w:val="single" w:color="auto" w:sz="4" w:space="0"/>
              <w:bottom w:val="single" w:color="auto" w:sz="4" w:space="0"/>
              <w:right w:val="nil"/>
            </w:tcBorders>
            <w:vAlign w:val="center"/>
          </w:tcPr>
          <w:p>
            <w:pPr>
              <w:widowControl/>
              <w:spacing w:line="300" w:lineRule="exact"/>
              <w:jc w:val="left"/>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21.82</w:t>
            </w:r>
          </w:p>
        </w:tc>
        <w:tc>
          <w:tcPr>
            <w:tcW w:w="1650"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600"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6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88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bl>
    <w:p>
      <w:pPr>
        <w:ind w:firstLine="108" w:firstLineChars="50"/>
        <w:rPr>
          <w:rFonts w:ascii="仿宋_GB2312" w:hAnsi="宋体" w:eastAsia="仿宋_GB2312"/>
          <w:sz w:val="22"/>
          <w:szCs w:val="22"/>
        </w:rPr>
      </w:pPr>
      <w:r>
        <w:rPr>
          <w:rFonts w:hint="eastAsia" w:ascii="仿宋_GB2312" w:hAnsi="宋体" w:eastAsia="仿宋_GB2312"/>
          <w:sz w:val="22"/>
          <w:szCs w:val="22"/>
        </w:rPr>
        <w:t>注：本表反映</w:t>
      </w:r>
      <w:r>
        <w:rPr>
          <w:rFonts w:hint="eastAsia" w:ascii="仿宋_GB2312" w:hAnsi="宋体" w:eastAsia="仿宋_GB2312"/>
          <w:sz w:val="22"/>
          <w:szCs w:val="22"/>
          <w:highlight w:val="none"/>
        </w:rPr>
        <w:t>单位</w:t>
      </w:r>
      <w:r>
        <w:rPr>
          <w:rFonts w:hint="eastAsia" w:ascii="仿宋_GB2312" w:hAnsi="宋体" w:eastAsia="仿宋_GB2312"/>
          <w:sz w:val="22"/>
          <w:szCs w:val="22"/>
        </w:rPr>
        <w:t>本年度各项支出情况。</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财政拨款收入支出决算总表</w:t>
      </w:r>
    </w:p>
    <w:p>
      <w:pPr>
        <w:spacing w:line="400" w:lineRule="exact"/>
        <w:jc w:val="right"/>
        <w:rPr>
          <w:rFonts w:ascii="楷体_GB2312" w:eastAsia="楷体_GB2312"/>
          <w:sz w:val="15"/>
          <w:szCs w:val="15"/>
        </w:rPr>
      </w:pPr>
      <w:r>
        <w:rPr>
          <w:rFonts w:hint="eastAsia" w:ascii="楷体_GB2312" w:eastAsia="楷体_GB2312"/>
          <w:sz w:val="15"/>
          <w:szCs w:val="15"/>
        </w:rPr>
        <w:t xml:space="preserve">    公开04表</w:t>
      </w:r>
    </w:p>
    <w:p>
      <w:pPr>
        <w:spacing w:line="400" w:lineRule="exact"/>
        <w:jc w:val="left"/>
        <w:rPr>
          <w:rFonts w:ascii="楷体_GB2312" w:eastAsia="楷体_GB2312"/>
          <w:sz w:val="15"/>
          <w:szCs w:val="15"/>
        </w:rPr>
      </w:pPr>
      <w:r>
        <w:rPr>
          <w:rFonts w:hint="eastAsia" w:ascii="楷体_GB2312" w:eastAsia="楷体_GB2312"/>
          <w:sz w:val="15"/>
          <w:szCs w:val="15"/>
          <w:highlight w:val="none"/>
        </w:rPr>
        <w:t>单位</w:t>
      </w:r>
      <w:r>
        <w:rPr>
          <w:rFonts w:hint="eastAsia" w:ascii="楷体_GB2312" w:eastAsia="楷体_GB2312"/>
          <w:sz w:val="15"/>
          <w:szCs w:val="15"/>
          <w:highlight w:val="none"/>
          <w:lang w:eastAsia="zh-CN"/>
        </w:rPr>
        <w:t>：博山区绿色产业发展服务中心</w:t>
      </w:r>
      <w:r>
        <w:rPr>
          <w:rFonts w:hint="eastAsia" w:ascii="楷体_GB2312" w:eastAsia="楷体_GB2312"/>
          <w:sz w:val="15"/>
          <w:szCs w:val="15"/>
          <w:highlight w:val="none"/>
          <w:lang w:val="en-US" w:eastAsia="zh-CN"/>
        </w:rPr>
        <w:t xml:space="preserve">      </w:t>
      </w:r>
      <w:r>
        <w:rPr>
          <w:rFonts w:hint="eastAsia" w:ascii="楷体_GB2312" w:eastAsia="楷体_GB2312"/>
          <w:sz w:val="15"/>
          <w:szCs w:val="15"/>
        </w:rPr>
        <w:t xml:space="preserve">             </w:t>
      </w:r>
      <w:r>
        <w:rPr>
          <w:rFonts w:hint="eastAsia" w:ascii="楷体_GB2312" w:eastAsia="楷体_GB2312"/>
          <w:sz w:val="15"/>
          <w:szCs w:val="15"/>
          <w:lang w:val="en-US" w:eastAsia="zh-CN"/>
        </w:rPr>
        <w:t xml:space="preserve">                                                                                      </w:t>
      </w:r>
      <w:r>
        <w:rPr>
          <w:rFonts w:hint="eastAsia" w:ascii="楷体_GB2312" w:eastAsia="楷体_GB2312"/>
          <w:sz w:val="15"/>
          <w:szCs w:val="15"/>
        </w:rPr>
        <w:t xml:space="preserve">                               金额单位：万元</w:t>
      </w:r>
    </w:p>
    <w:tbl>
      <w:tblPr>
        <w:tblStyle w:val="9"/>
        <w:tblW w:w="150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06"/>
        <w:gridCol w:w="500"/>
        <w:gridCol w:w="2488"/>
        <w:gridCol w:w="2462"/>
        <w:gridCol w:w="386"/>
        <w:gridCol w:w="1699"/>
        <w:gridCol w:w="1700"/>
        <w:gridCol w:w="1700"/>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blHeader/>
          <w:jc w:val="center"/>
        </w:trPr>
        <w:tc>
          <w:tcPr>
            <w:tcW w:w="5394" w:type="dxa"/>
            <w:gridSpan w:val="3"/>
            <w:tcBorders>
              <w:top w:val="single" w:color="auto" w:sz="4" w:space="0"/>
              <w:bottom w:val="single" w:color="auto" w:sz="4" w:space="0"/>
              <w:right w:val="nil"/>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收 入</w:t>
            </w:r>
          </w:p>
        </w:tc>
        <w:tc>
          <w:tcPr>
            <w:tcW w:w="9647" w:type="dxa"/>
            <w:gridSpan w:val="6"/>
            <w:tcBorders>
              <w:top w:val="single" w:color="auto" w:sz="4" w:space="0"/>
              <w:left w:val="nil"/>
              <w:bottom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blHeader/>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项   目</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行次</w:t>
            </w:r>
          </w:p>
        </w:tc>
        <w:tc>
          <w:tcPr>
            <w:tcW w:w="2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金额</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项    目</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行次</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合计</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一般公共预算</w:t>
            </w:r>
          </w:p>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财政拨款</w:t>
            </w:r>
          </w:p>
        </w:tc>
        <w:tc>
          <w:tcPr>
            <w:tcW w:w="1700" w:type="dxa"/>
            <w:tcBorders>
              <w:top w:val="single" w:color="auto" w:sz="4" w:space="0"/>
              <w:left w:val="single" w:color="auto" w:sz="4" w:space="0"/>
              <w:bottom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政府性基金</w:t>
            </w:r>
          </w:p>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预算财政拨款</w:t>
            </w:r>
          </w:p>
        </w:tc>
        <w:tc>
          <w:tcPr>
            <w:tcW w:w="1700" w:type="dxa"/>
            <w:tcBorders>
              <w:top w:val="single" w:color="auto" w:sz="4" w:space="0"/>
              <w:left w:val="single" w:color="auto" w:sz="4" w:space="0"/>
              <w:bottom w:val="single" w:color="auto" w:sz="4" w:space="0"/>
            </w:tcBorders>
            <w:shd w:val="clear" w:color="auto" w:fill="FFFFFF"/>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国有资本经营预算财政拨款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ind w:firstLine="876" w:firstLineChars="600"/>
              <w:rPr>
                <w:rFonts w:ascii="仿宋_GB2312" w:hAnsi="宋体" w:eastAsia="仿宋_GB2312" w:cs="宋体"/>
                <w:kern w:val="0"/>
                <w:sz w:val="15"/>
                <w:szCs w:val="15"/>
              </w:rPr>
            </w:pPr>
            <w:r>
              <w:rPr>
                <w:rFonts w:hint="eastAsia" w:ascii="仿宋_GB2312" w:hAnsi="宋体" w:eastAsia="仿宋_GB2312" w:cs="宋体"/>
                <w:kern w:val="0"/>
                <w:sz w:val="15"/>
                <w:szCs w:val="15"/>
              </w:rPr>
              <w:t>栏  次</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栏  次</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w:t>
            </w: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一、一般公共预算财政拨款</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309.49</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一、一般公共服务支出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33</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二、政府性基金预算财政拨款</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二、外交支出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34</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三、国有资本经营预算财政拨款</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三、国防支出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四、公共安全支出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五、教育支出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六、科学技术支出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七、文化旅游体育与传媒支出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39</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righ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八、社会保障和就业支出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40</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36.25</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36.25</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9</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九、卫生健康支出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41</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17.15</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17.15</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十、节能环保支出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42</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11</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十一、城乡社区支出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43</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十二、农林水支出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44</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13</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十三、交通运输支出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14</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十四、资源勘探工业信息等支出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十五、商业服务业等支出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16</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十六、金融支出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17</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十七、援助其他地区支出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49</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18</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十八、自然资源海洋气象等支出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50</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19</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十九、住房保障支出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51</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二十、粮油物资储备支出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52</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21</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二十一、国有资本经营预算支出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53</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22</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二十二、灾害防治及应急管理支出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54</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23</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二十三、其他支出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24</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二十四、债务还本支出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25</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二十五、债务付息支出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rPr>
            </w:pP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26</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二十六、抗疫特别国债安排的支出</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15"/>
                <w:szCs w:val="15"/>
              </w:rPr>
            </w:pPr>
          </w:p>
        </w:tc>
        <w:tc>
          <w:tcPr>
            <w:tcW w:w="1700" w:type="dxa"/>
            <w:tcBorders>
              <w:top w:val="single" w:color="auto" w:sz="4" w:space="0"/>
              <w:left w:val="single" w:color="auto" w:sz="4" w:space="0"/>
              <w:bottom w:val="single" w:color="auto" w:sz="4" w:space="0"/>
            </w:tcBorders>
          </w:tcPr>
          <w:p>
            <w:pPr>
              <w:widowControl/>
              <w:spacing w:line="300" w:lineRule="exact"/>
              <w:jc w:val="center"/>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kern w:val="0"/>
                <w:sz w:val="15"/>
                <w:szCs w:val="15"/>
              </w:rPr>
            </w:pPr>
            <w:r>
              <w:rPr>
                <w:rFonts w:hint="eastAsia" w:ascii="仿宋_GB2312" w:hAnsi="宋体" w:eastAsia="仿宋_GB2312" w:cs="宋体"/>
                <w:b/>
                <w:kern w:val="0"/>
                <w:sz w:val="15"/>
                <w:szCs w:val="15"/>
              </w:rPr>
              <w:t>本年收入合计</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27</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both"/>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309.49</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kern w:val="0"/>
                <w:sz w:val="15"/>
                <w:szCs w:val="15"/>
                <w:lang w:val="en-US" w:eastAsia="zh-CN" w:bidi="ar-SA"/>
              </w:rPr>
            </w:pPr>
            <w:r>
              <w:rPr>
                <w:rFonts w:hint="eastAsia" w:ascii="仿宋_GB2312" w:hAnsi="宋体" w:eastAsia="仿宋_GB2312" w:cs="宋体"/>
                <w:b/>
                <w:kern w:val="0"/>
                <w:sz w:val="15"/>
                <w:szCs w:val="15"/>
              </w:rPr>
              <w:t>本年支出合计</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59</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298.13</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298.13</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left"/>
              <w:rPr>
                <w:rFonts w:ascii="仿宋_GB2312" w:hAnsi="宋体" w:eastAsia="仿宋_GB2312"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kern w:val="0"/>
                <w:sz w:val="15"/>
                <w:szCs w:val="15"/>
              </w:rPr>
            </w:pPr>
            <w:r>
              <w:rPr>
                <w:rFonts w:hint="eastAsia" w:ascii="仿宋_GB2312" w:hAnsi="宋体" w:eastAsia="仿宋_GB2312" w:cs="宋体"/>
                <w:kern w:val="0"/>
                <w:sz w:val="15"/>
                <w:szCs w:val="15"/>
              </w:rPr>
              <w:t>年初财政拨款结转和结余</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28</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年末财政拨款结转和结余</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60</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11.36</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11.36</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lef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ind w:firstLine="292" w:firstLineChars="200"/>
              <w:rPr>
                <w:rFonts w:ascii="仿宋_GB2312" w:hAnsi="宋体" w:eastAsia="仿宋_GB2312" w:cs="宋体"/>
                <w:kern w:val="0"/>
                <w:sz w:val="15"/>
                <w:szCs w:val="15"/>
              </w:rPr>
            </w:pPr>
            <w:r>
              <w:rPr>
                <w:rFonts w:hint="eastAsia" w:ascii="仿宋_GB2312" w:hAnsi="宋体" w:eastAsia="仿宋_GB2312" w:cs="宋体"/>
                <w:kern w:val="0"/>
                <w:sz w:val="15"/>
                <w:szCs w:val="15"/>
              </w:rPr>
              <w:t>一般公共预算财政拨款</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29</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61</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lef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 政府性基金预算财政拨款</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62</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lef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  国有资本经营预算财政拨款</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31</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left"/>
              <w:rPr>
                <w:rFonts w:ascii="仿宋_GB2312" w:hAnsi="宋体" w:eastAsia="仿宋_GB2312" w:cs="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406"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bCs/>
                <w:kern w:val="0"/>
                <w:sz w:val="15"/>
                <w:szCs w:val="15"/>
              </w:rPr>
            </w:pPr>
            <w:r>
              <w:rPr>
                <w:rFonts w:hint="eastAsia" w:ascii="仿宋_GB2312" w:hAnsi="宋体" w:eastAsia="仿宋_GB2312" w:cs="宋体"/>
                <w:b/>
                <w:kern w:val="0"/>
                <w:sz w:val="15"/>
                <w:szCs w:val="15"/>
              </w:rPr>
              <w:t>总计</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spacing w:line="300" w:lineRule="exact"/>
              <w:ind w:leftChars="0"/>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32</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both"/>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309.49</w:t>
            </w:r>
          </w:p>
        </w:tc>
        <w:tc>
          <w:tcPr>
            <w:tcW w:w="24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bCs/>
                <w:kern w:val="0"/>
                <w:sz w:val="15"/>
                <w:szCs w:val="15"/>
              </w:rPr>
            </w:pPr>
            <w:r>
              <w:rPr>
                <w:rFonts w:hint="eastAsia" w:ascii="仿宋_GB2312" w:hAnsi="宋体" w:eastAsia="仿宋_GB2312" w:cs="宋体"/>
                <w:b/>
                <w:kern w:val="0"/>
                <w:sz w:val="15"/>
                <w:szCs w:val="15"/>
              </w:rPr>
              <w:t>总计</w:t>
            </w:r>
          </w:p>
        </w:tc>
        <w:tc>
          <w:tcPr>
            <w:tcW w:w="3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64</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309.49</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309.49</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c>
          <w:tcPr>
            <w:tcW w:w="1700" w:type="dxa"/>
            <w:tcBorders>
              <w:top w:val="single" w:color="auto" w:sz="4" w:space="0"/>
              <w:left w:val="single" w:color="auto" w:sz="4" w:space="0"/>
              <w:bottom w:val="single" w:color="auto" w:sz="4" w:space="0"/>
            </w:tcBorders>
          </w:tcPr>
          <w:p>
            <w:pPr>
              <w:widowControl/>
              <w:spacing w:line="300" w:lineRule="exact"/>
              <w:jc w:val="left"/>
              <w:rPr>
                <w:rFonts w:ascii="仿宋_GB2312" w:hAnsi="宋体" w:eastAsia="仿宋_GB2312" w:cs="宋体"/>
                <w:b/>
                <w:bCs/>
                <w:kern w:val="0"/>
                <w:sz w:val="15"/>
                <w:szCs w:val="15"/>
              </w:rPr>
            </w:pPr>
          </w:p>
        </w:tc>
      </w:tr>
    </w:tbl>
    <w:p>
      <w:pPr>
        <w:ind w:firstLine="108" w:firstLineChars="50"/>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szCs w:val="22"/>
        </w:rPr>
        <w:t>注：本表反映</w:t>
      </w:r>
      <w:r>
        <w:rPr>
          <w:rFonts w:hint="eastAsia" w:ascii="仿宋_GB2312" w:hAnsi="宋体" w:eastAsia="仿宋_GB2312"/>
          <w:sz w:val="22"/>
          <w:szCs w:val="22"/>
          <w:highlight w:val="none"/>
        </w:rPr>
        <w:t>单位</w:t>
      </w:r>
      <w:r>
        <w:rPr>
          <w:rFonts w:hint="eastAsia" w:ascii="仿宋_GB2312" w:hAnsi="宋体" w:eastAsia="仿宋_GB2312"/>
          <w:sz w:val="22"/>
          <w:szCs w:val="22"/>
        </w:rPr>
        <w:t>本年度一般公共预算财政拨款、政府性基金预算财政拨款和国有资本经营预算财政拨款的总收支和年末结转结余情况。</w:t>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一般公共预算财政拨款支出决算表</w:t>
      </w:r>
    </w:p>
    <w:p>
      <w:pPr>
        <w:spacing w:line="400" w:lineRule="exact"/>
        <w:jc w:val="right"/>
        <w:rPr>
          <w:rFonts w:ascii="楷体_GB2312" w:eastAsia="楷体_GB2312"/>
          <w:sz w:val="15"/>
          <w:szCs w:val="15"/>
        </w:rPr>
      </w:pPr>
      <w:r>
        <w:rPr>
          <w:rFonts w:hint="eastAsia" w:ascii="楷体_GB2312" w:eastAsia="楷体_GB2312"/>
          <w:sz w:val="15"/>
          <w:szCs w:val="15"/>
        </w:rPr>
        <w:t>公开05表</w:t>
      </w:r>
    </w:p>
    <w:p>
      <w:pPr>
        <w:wordWrap w:val="0"/>
        <w:spacing w:line="400" w:lineRule="exact"/>
        <w:ind w:firstLine="73" w:firstLineChars="50"/>
        <w:jc w:val="right"/>
        <w:rPr>
          <w:rFonts w:ascii="楷体_GB2312" w:eastAsia="楷体_GB2312"/>
          <w:sz w:val="15"/>
          <w:szCs w:val="15"/>
        </w:rPr>
      </w:pPr>
      <w:r>
        <w:rPr>
          <w:rFonts w:hint="eastAsia" w:ascii="楷体_GB2312" w:eastAsia="楷体_GB2312"/>
          <w:sz w:val="15"/>
          <w:szCs w:val="15"/>
          <w:highlight w:val="none"/>
        </w:rPr>
        <w:t>单位：</w:t>
      </w:r>
      <w:r>
        <w:rPr>
          <w:rFonts w:hint="eastAsia" w:ascii="楷体_GB2312" w:eastAsia="楷体_GB2312"/>
          <w:sz w:val="15"/>
          <w:szCs w:val="15"/>
          <w:highlight w:val="none"/>
          <w:lang w:eastAsia="zh-CN"/>
        </w:rPr>
        <w:t>博山区绿色产业发展服务中心</w:t>
      </w:r>
      <w:r>
        <w:rPr>
          <w:rFonts w:hint="eastAsia" w:ascii="楷体_GB2312" w:eastAsia="楷体_GB2312"/>
          <w:sz w:val="15"/>
          <w:szCs w:val="15"/>
        </w:rPr>
        <w:t xml:space="preserve">            </w:t>
      </w:r>
      <w:r>
        <w:rPr>
          <w:rFonts w:hint="eastAsia" w:ascii="楷体_GB2312" w:eastAsia="楷体_GB2312"/>
          <w:sz w:val="15"/>
          <w:szCs w:val="15"/>
          <w:lang w:val="en-US" w:eastAsia="zh-CN"/>
        </w:rPr>
        <w:t xml:space="preserve">                                                                                      </w:t>
      </w:r>
      <w:r>
        <w:rPr>
          <w:rFonts w:hint="eastAsia" w:ascii="楷体_GB2312" w:eastAsia="楷体_GB2312"/>
          <w:sz w:val="15"/>
          <w:szCs w:val="15"/>
        </w:rPr>
        <w:t xml:space="preserve">               </w:t>
      </w:r>
      <w:r>
        <w:rPr>
          <w:rFonts w:ascii="楷体_GB2312" w:eastAsia="楷体_GB2312"/>
          <w:sz w:val="15"/>
          <w:szCs w:val="15"/>
        </w:rPr>
        <w:t xml:space="preserve">  </w:t>
      </w:r>
      <w:r>
        <w:rPr>
          <w:rFonts w:hint="eastAsia" w:ascii="楷体_GB2312" w:eastAsia="楷体_GB2312"/>
          <w:sz w:val="15"/>
          <w:szCs w:val="15"/>
        </w:rPr>
        <w:t xml:space="preserve">                 金额单位：万元</w:t>
      </w:r>
    </w:p>
    <w:tbl>
      <w:tblPr>
        <w:tblStyle w:val="9"/>
        <w:tblW w:w="0" w:type="auto"/>
        <w:jc w:val="center"/>
        <w:tblLayout w:type="fixed"/>
        <w:tblCellMar>
          <w:top w:w="0" w:type="dxa"/>
          <w:left w:w="108" w:type="dxa"/>
          <w:bottom w:w="0" w:type="dxa"/>
          <w:right w:w="108" w:type="dxa"/>
        </w:tblCellMar>
      </w:tblPr>
      <w:tblGrid>
        <w:gridCol w:w="1701"/>
        <w:gridCol w:w="3170"/>
        <w:gridCol w:w="2783"/>
        <w:gridCol w:w="2978"/>
        <w:gridCol w:w="2520"/>
      </w:tblGrid>
      <w:tr>
        <w:tblPrEx>
          <w:tblCellMar>
            <w:top w:w="0" w:type="dxa"/>
            <w:left w:w="108" w:type="dxa"/>
            <w:bottom w:w="0" w:type="dxa"/>
            <w:right w:w="108" w:type="dxa"/>
          </w:tblCellMar>
        </w:tblPrEx>
        <w:trPr>
          <w:trHeight w:val="283"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本年支出</w:t>
            </w:r>
          </w:p>
        </w:tc>
      </w:tr>
      <w:tr>
        <w:tblPrEx>
          <w:tblCellMar>
            <w:top w:w="0" w:type="dxa"/>
            <w:left w:w="108" w:type="dxa"/>
            <w:bottom w:w="0" w:type="dxa"/>
            <w:right w:w="108" w:type="dxa"/>
          </w:tblCellMar>
        </w:tblPrEx>
        <w:trPr>
          <w:trHeight w:val="283" w:hRule="exac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功能分类</w:t>
            </w:r>
          </w:p>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科目编码</w:t>
            </w:r>
          </w:p>
        </w:tc>
        <w:tc>
          <w:tcPr>
            <w:tcW w:w="3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项目支出</w:t>
            </w:r>
          </w:p>
        </w:tc>
      </w:tr>
      <w:tr>
        <w:tblPrEx>
          <w:tblCellMar>
            <w:top w:w="0" w:type="dxa"/>
            <w:left w:w="108" w:type="dxa"/>
            <w:bottom w:w="0" w:type="dxa"/>
            <w:right w:w="108" w:type="dxa"/>
          </w:tblCellMar>
        </w:tblPrEx>
        <w:trPr>
          <w:trHeight w:val="283"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w:t>
            </w:r>
          </w:p>
        </w:tc>
      </w:tr>
      <w:tr>
        <w:tblPrEx>
          <w:tblCellMar>
            <w:top w:w="0" w:type="dxa"/>
            <w:left w:w="108" w:type="dxa"/>
            <w:bottom w:w="0" w:type="dxa"/>
            <w:right w:w="108" w:type="dxa"/>
          </w:tblCellMar>
        </w:tblPrEx>
        <w:trPr>
          <w:trHeight w:val="283"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rPr>
              <w:t>合  计</w:t>
            </w:r>
          </w:p>
        </w:tc>
        <w:tc>
          <w:tcPr>
            <w:tcW w:w="2783" w:type="dxa"/>
            <w:tcBorders>
              <w:top w:val="nil"/>
              <w:left w:val="nil"/>
              <w:bottom w:val="single" w:color="auto" w:sz="4" w:space="0"/>
              <w:right w:val="single" w:color="auto" w:sz="4" w:space="0"/>
            </w:tcBorders>
            <w:vAlign w:val="center"/>
          </w:tcPr>
          <w:p>
            <w:pPr>
              <w:widowControl/>
              <w:spacing w:line="300" w:lineRule="exact"/>
              <w:jc w:val="both"/>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298.13</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298.13</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201</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一般公共服务支出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20104</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发展与改革事物</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2010450</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事业运行</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29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222.91</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208</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社会保障和就业支出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36.25</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36.25</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20805</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行政事业单位养老支出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36.25</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36.25</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2080502</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事业单位离退休</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12.87</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12.87</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2080505</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机关事业单位基本养老保险缴费支出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13.68</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13.68</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2080506</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机关事业单位职业年金缴费支出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9.7</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9.7</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210</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卫生健康支出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17.15</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17.15</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21011</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行政事业单位医疗</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17.15</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17.15</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2101102</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事业单位医疗</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10.22</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10.22</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2101103</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公务员医疗补助</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6.93</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6.93</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221</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住房保障支出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22102</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住房改革支出</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blPrEx>
          <w:tblCellMar>
            <w:top w:w="0" w:type="dxa"/>
            <w:left w:w="108" w:type="dxa"/>
            <w:bottom w:w="0" w:type="dxa"/>
            <w:right w:w="108" w:type="dxa"/>
          </w:tblCellMar>
        </w:tblPrEx>
        <w:trPr>
          <w:trHeight w:val="283"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2210201</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eastAsia="zh-CN"/>
              </w:rPr>
              <w:t>住房公积金</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21.82</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bl>
    <w:p>
      <w:pPr>
        <w:spacing w:line="400" w:lineRule="exact"/>
        <w:ind w:firstLine="108" w:firstLineChars="50"/>
        <w:jc w:val="left"/>
        <w:rPr>
          <w:rFonts w:ascii="仿宋_GB2312" w:hAnsi="宋体" w:eastAsia="仿宋_GB2312"/>
          <w:sz w:val="22"/>
          <w:szCs w:val="22"/>
        </w:rPr>
      </w:pPr>
      <w:r>
        <w:rPr>
          <w:rFonts w:hint="eastAsia" w:ascii="仿宋_GB2312" w:hAnsi="宋体" w:eastAsia="仿宋_GB2312"/>
          <w:sz w:val="22"/>
          <w:szCs w:val="22"/>
        </w:rPr>
        <w:t>注：本表反映</w:t>
      </w:r>
      <w:r>
        <w:rPr>
          <w:rFonts w:hint="eastAsia" w:ascii="仿宋_GB2312" w:hAnsi="宋体" w:eastAsia="仿宋_GB2312"/>
          <w:sz w:val="22"/>
          <w:szCs w:val="22"/>
          <w:highlight w:val="none"/>
        </w:rPr>
        <w:t>单位</w:t>
      </w:r>
      <w:r>
        <w:rPr>
          <w:rFonts w:hint="eastAsia" w:ascii="仿宋_GB2312" w:hAnsi="宋体" w:eastAsia="仿宋_GB2312"/>
          <w:sz w:val="22"/>
          <w:szCs w:val="22"/>
        </w:rPr>
        <w:t>本年度一般公共预算财政拨款支出情况。</w:t>
      </w:r>
    </w:p>
    <w:p>
      <w:pPr>
        <w:spacing w:line="400" w:lineRule="exact"/>
        <w:jc w:val="left"/>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公开06表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highlight w:val="none"/>
        </w:rPr>
        <w:t>单位：</w:t>
      </w:r>
      <w:r>
        <w:rPr>
          <w:rFonts w:hint="eastAsia" w:ascii="楷体_GB2312" w:eastAsia="楷体_GB2312"/>
          <w:sz w:val="28"/>
          <w:szCs w:val="28"/>
          <w:highlight w:val="none"/>
          <w:lang w:eastAsia="zh-CN"/>
        </w:rPr>
        <w:t>博山区绿色产业发展服务中心</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9"/>
        <w:tblW w:w="0" w:type="auto"/>
        <w:jc w:val="center"/>
        <w:tblLayout w:type="fixed"/>
        <w:tblCellMar>
          <w:top w:w="0" w:type="dxa"/>
          <w:left w:w="108" w:type="dxa"/>
          <w:bottom w:w="0" w:type="dxa"/>
          <w:right w:w="108" w:type="dxa"/>
        </w:tblCellMar>
      </w:tblPr>
      <w:tblGrid>
        <w:gridCol w:w="1008"/>
        <w:gridCol w:w="3023"/>
        <w:gridCol w:w="847"/>
        <w:gridCol w:w="1138"/>
        <w:gridCol w:w="1984"/>
        <w:gridCol w:w="833"/>
        <w:gridCol w:w="1010"/>
        <w:gridCol w:w="2551"/>
        <w:gridCol w:w="881"/>
      </w:tblGrid>
      <w:tr>
        <w:tblPrEx>
          <w:tblCellMar>
            <w:top w:w="0" w:type="dxa"/>
            <w:left w:w="108" w:type="dxa"/>
            <w:bottom w:w="0" w:type="dxa"/>
            <w:right w:w="108" w:type="dxa"/>
          </w:tblCellMar>
        </w:tblPrEx>
        <w:trPr>
          <w:trHeight w:val="369" w:hRule="atLeast"/>
          <w:tblHeader/>
          <w:jc w:val="center"/>
        </w:trPr>
        <w:tc>
          <w:tcPr>
            <w:tcW w:w="4878" w:type="dxa"/>
            <w:gridSpan w:val="3"/>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397" w:type="dxa"/>
            <w:gridSpan w:val="6"/>
            <w:tcBorders>
              <w:top w:val="single" w:color="auto" w:sz="8" w:space="0"/>
              <w:left w:val="nil"/>
              <w:bottom w:val="single" w:color="auto" w:sz="4" w:space="0"/>
              <w:right w:val="single" w:color="000000"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CellMar>
            <w:top w:w="0" w:type="dxa"/>
            <w:left w:w="108" w:type="dxa"/>
            <w:bottom w:w="0" w:type="dxa"/>
            <w:right w:w="108" w:type="dxa"/>
          </w:tblCellMar>
        </w:tblPrEx>
        <w:trPr>
          <w:trHeight w:val="300" w:hRule="atLeast"/>
          <w:tblHeader/>
          <w:jc w:val="center"/>
        </w:trPr>
        <w:tc>
          <w:tcPr>
            <w:tcW w:w="1008"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 科目编码</w:t>
            </w:r>
          </w:p>
        </w:tc>
        <w:tc>
          <w:tcPr>
            <w:tcW w:w="30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4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13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198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3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01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81" w:type="dxa"/>
            <w:vMerge w:val="restart"/>
            <w:tcBorders>
              <w:top w:val="nil"/>
              <w:left w:val="single" w:color="auto" w:sz="4" w:space="0"/>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r>
      <w:tr>
        <w:tblPrEx>
          <w:tblCellMar>
            <w:top w:w="0" w:type="dxa"/>
            <w:left w:w="108" w:type="dxa"/>
            <w:bottom w:w="0" w:type="dxa"/>
            <w:right w:w="108" w:type="dxa"/>
          </w:tblCellMar>
        </w:tblPrEx>
        <w:trPr>
          <w:trHeight w:val="300" w:hRule="atLeast"/>
          <w:tblHeader/>
          <w:jc w:val="center"/>
        </w:trPr>
        <w:tc>
          <w:tcPr>
            <w:tcW w:w="1008"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30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84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13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98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83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01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25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881" w:type="dxa"/>
            <w:vMerge w:val="continue"/>
            <w:tcBorders>
              <w:top w:val="nil"/>
              <w:left w:val="single" w:color="auto" w:sz="4" w:space="0"/>
              <w:bottom w:val="single" w:color="auto" w:sz="4" w:space="0"/>
              <w:right w:val="single" w:color="auto" w:sz="8" w:space="0"/>
            </w:tcBorders>
            <w:vAlign w:val="center"/>
          </w:tcPr>
          <w:p>
            <w:pPr>
              <w:widowControl/>
              <w:spacing w:line="30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847" w:type="dxa"/>
            <w:tcBorders>
              <w:top w:val="nil"/>
              <w:left w:val="nil"/>
              <w:bottom w:val="single" w:color="auto" w:sz="4" w:space="0"/>
              <w:right w:val="single" w:color="auto" w:sz="4" w:space="0"/>
            </w:tcBorders>
            <w:vAlign w:val="center"/>
          </w:tcPr>
          <w:p>
            <w:pPr>
              <w:widowControl/>
              <w:spacing w:line="300" w:lineRule="exac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269.27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15.9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201.17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3.16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4.25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13.68</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9.7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0.2</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10.22</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7.41</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6.93</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21.82</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12.96</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12.86</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0.5</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1.84</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代缴社会保险费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0.72</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0.1</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2.07</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lang w:val="en-US" w:eastAsia="zh-CN" w:bidi="ar-SA"/>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4031" w:type="dxa"/>
            <w:gridSpan w:val="2"/>
            <w:tcBorders>
              <w:top w:val="single" w:color="auto" w:sz="4" w:space="0"/>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人员经费合计</w:t>
            </w:r>
          </w:p>
        </w:tc>
        <w:tc>
          <w:tcPr>
            <w:tcW w:w="847" w:type="dxa"/>
            <w:tcBorders>
              <w:top w:val="nil"/>
              <w:left w:val="nil"/>
              <w:bottom w:val="single" w:color="auto" w:sz="8"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282.23</w:t>
            </w:r>
          </w:p>
        </w:tc>
        <w:tc>
          <w:tcPr>
            <w:tcW w:w="7516" w:type="dxa"/>
            <w:gridSpan w:val="5"/>
            <w:tcBorders>
              <w:top w:val="single" w:color="auto" w:sz="4" w:space="0"/>
              <w:left w:val="nil"/>
              <w:bottom w:val="single" w:color="auto" w:sz="8"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公用经费合计</w:t>
            </w:r>
          </w:p>
        </w:tc>
        <w:tc>
          <w:tcPr>
            <w:tcW w:w="881" w:type="dxa"/>
            <w:tcBorders>
              <w:top w:val="nil"/>
              <w:left w:val="nil"/>
              <w:bottom w:val="single" w:color="auto" w:sz="8" w:space="0"/>
              <w:right w:val="single" w:color="auto" w:sz="8"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15.9</w:t>
            </w:r>
          </w:p>
        </w:tc>
      </w:tr>
    </w:tbl>
    <w:p>
      <w:pPr>
        <w:spacing w:line="400" w:lineRule="exact"/>
        <w:ind w:firstLine="108" w:firstLineChars="50"/>
        <w:jc w:val="left"/>
        <w:rPr>
          <w:rFonts w:ascii="仿宋_GB2312" w:hAnsi="宋体" w:eastAsia="仿宋_GB2312"/>
          <w:sz w:val="22"/>
          <w:szCs w:val="22"/>
        </w:rPr>
      </w:pPr>
      <w:r>
        <w:rPr>
          <w:rFonts w:hint="eastAsia" w:ascii="仿宋_GB2312" w:hAnsi="宋体" w:eastAsia="仿宋_GB2312"/>
          <w:sz w:val="22"/>
          <w:szCs w:val="22"/>
        </w:rPr>
        <w:t>注:本表反映</w:t>
      </w:r>
      <w:r>
        <w:rPr>
          <w:rFonts w:hint="eastAsia" w:ascii="仿宋_GB2312" w:hAnsi="宋体" w:eastAsia="仿宋_GB2312"/>
          <w:sz w:val="22"/>
          <w:szCs w:val="22"/>
          <w:highlight w:val="none"/>
        </w:rPr>
        <w:t>单位</w:t>
      </w:r>
      <w:r>
        <w:rPr>
          <w:rFonts w:hint="eastAsia" w:ascii="仿宋_GB2312" w:hAnsi="宋体" w:eastAsia="仿宋_GB2312"/>
          <w:sz w:val="22"/>
          <w:szCs w:val="22"/>
        </w:rPr>
        <w:t>本年度一般公共预算财政拨款基本支出明细情况。</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highlight w:val="none"/>
        </w:rPr>
        <w:t>单位：</w:t>
      </w:r>
      <w:r>
        <w:rPr>
          <w:rFonts w:hint="eastAsia" w:ascii="楷体_GB2312" w:eastAsia="楷体_GB2312"/>
          <w:sz w:val="28"/>
          <w:szCs w:val="28"/>
          <w:highlight w:val="none"/>
          <w:lang w:eastAsia="zh-CN"/>
        </w:rPr>
        <w:t>博山区绿色产业发展服务中心</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9"/>
        <w:tblW w:w="0" w:type="auto"/>
        <w:jc w:val="center"/>
        <w:tblLayout w:type="fixed"/>
        <w:tblCellMar>
          <w:top w:w="0" w:type="dxa"/>
          <w:left w:w="108" w:type="dxa"/>
          <w:bottom w:w="0" w:type="dxa"/>
          <w:right w:w="108" w:type="dxa"/>
        </w:tblCellMar>
      </w:tblPr>
      <w:tblGrid>
        <w:gridCol w:w="1179"/>
        <w:gridCol w:w="1195"/>
        <w:gridCol w:w="1180"/>
        <w:gridCol w:w="1180"/>
        <w:gridCol w:w="1272"/>
        <w:gridCol w:w="878"/>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63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878" w:type="dxa"/>
            <w:vMerge w:val="restart"/>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szCs w:val="22"/>
              </w:rPr>
            </w:pPr>
          </w:p>
        </w:tc>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27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878" w:type="dxa"/>
            <w:vMerge w:val="continue"/>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left"/>
              <w:rPr>
                <w:rFonts w:ascii="仿宋_GB2312" w:hAnsi="宋体" w:eastAsia="仿宋_GB2312" w:cs="宋体"/>
                <w:kern w:val="0"/>
                <w:sz w:val="22"/>
                <w:szCs w:val="22"/>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szCs w:val="22"/>
              </w:rPr>
            </w:pPr>
          </w:p>
        </w:tc>
        <w:tc>
          <w:tcPr>
            <w:tcW w:w="11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szCs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72"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878" w:type="dxa"/>
            <w:tcBorders>
              <w:top w:val="nil"/>
              <w:left w:val="nil"/>
              <w:bottom w:val="single" w:color="auto" w:sz="8"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rPr>
              <w:t>2.9</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　</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rPr>
              <w:t>2.3</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　</w:t>
            </w:r>
          </w:p>
        </w:tc>
        <w:tc>
          <w:tcPr>
            <w:tcW w:w="1272"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rPr>
              <w:t>2.3</w:t>
            </w:r>
          </w:p>
        </w:tc>
        <w:tc>
          <w:tcPr>
            <w:tcW w:w="878" w:type="dxa"/>
            <w:tcBorders>
              <w:top w:val="nil"/>
              <w:left w:val="nil"/>
              <w:bottom w:val="single" w:color="auto" w:sz="8" w:space="0"/>
              <w:right w:val="single" w:color="000000" w:sz="8" w:space="0"/>
            </w:tcBorders>
            <w:shd w:val="clear" w:color="auto" w:fill="auto"/>
            <w:vAlign w:val="center"/>
          </w:tcPr>
          <w:p>
            <w:pPr>
              <w:widowControl/>
              <w:spacing w:line="300" w:lineRule="exact"/>
              <w:jc w:val="left"/>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rPr>
              <w:t>0.6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left"/>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rPr>
              <w:t>1.84</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left"/>
              <w:rPr>
                <w:rFonts w:ascii="仿宋_GB2312" w:hAnsi="宋体" w:eastAsia="仿宋_GB2312" w:cs="宋体"/>
                <w:kern w:val="0"/>
                <w:sz w:val="22"/>
                <w:szCs w:val="22"/>
                <w:lang w:val="en-US" w:eastAsia="zh-CN" w:bidi="ar-SA"/>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　</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　</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rPr>
              <w:t>1.84</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　</w:t>
            </w:r>
          </w:p>
        </w:tc>
      </w:tr>
    </w:tbl>
    <w:p>
      <w:pPr>
        <w:spacing w:line="360" w:lineRule="exact"/>
        <w:ind w:firstLine="108" w:firstLineChars="50"/>
        <w:rPr>
          <w:rFonts w:ascii="仿宋_GB2312" w:hAnsi="宋体" w:eastAsia="仿宋_GB2312"/>
          <w:sz w:val="22"/>
          <w:szCs w:val="22"/>
        </w:rPr>
      </w:pPr>
      <w:r>
        <w:rPr>
          <w:rFonts w:hint="eastAsia" w:ascii="仿宋_GB2312" w:hAnsi="宋体" w:eastAsia="仿宋_GB2312"/>
          <w:sz w:val="22"/>
          <w:szCs w:val="22"/>
        </w:rPr>
        <w:t>注：本表反</w:t>
      </w:r>
      <w:r>
        <w:rPr>
          <w:rFonts w:hint="eastAsia" w:ascii="仿宋_GB2312" w:hAnsi="宋体" w:eastAsia="仿宋_GB2312"/>
          <w:sz w:val="22"/>
          <w:szCs w:val="22"/>
          <w:highlight w:val="none"/>
        </w:rPr>
        <w:t>映单位</w:t>
      </w:r>
      <w:r>
        <w:rPr>
          <w:rFonts w:hint="eastAsia" w:ascii="仿宋_GB2312" w:hAnsi="宋体" w:eastAsia="仿宋_GB2312"/>
          <w:sz w:val="22"/>
          <w:szCs w:val="22"/>
        </w:rPr>
        <w:t>本年度“三公”经费支出预决算情况。其中，预算数为“三公”经费年初预算数；决算数是包括当年一般公共预算财政拨款和以前年度结转资金安排的实际支出。</w:t>
      </w:r>
    </w:p>
    <w:p>
      <w:pPr>
        <w:spacing w:line="440" w:lineRule="exact"/>
        <w:ind w:firstLine="108" w:firstLineChars="50"/>
        <w:rPr>
          <w:rFonts w:ascii="仿宋_GB2312" w:hAnsi="宋体" w:eastAsia="仿宋_GB2312"/>
          <w:sz w:val="22"/>
          <w:szCs w:val="22"/>
          <w:highlight w:val="yellow"/>
        </w:rPr>
      </w:pPr>
    </w:p>
    <w:p>
      <w:pPr>
        <w:ind w:firstLine="108" w:firstLineChars="50"/>
        <w:rPr>
          <w:rFonts w:ascii="仿宋_GB2312" w:hAnsi="宋体" w:eastAsia="仿宋_GB2312"/>
          <w:sz w:val="22"/>
          <w:szCs w:val="22"/>
        </w:r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highlight w:val="none"/>
        </w:rPr>
        <w:t>单位</w:t>
      </w:r>
      <w:r>
        <w:rPr>
          <w:rFonts w:hint="eastAsia" w:ascii="楷体_GB2312" w:eastAsia="楷体_GB2312"/>
          <w:sz w:val="28"/>
          <w:szCs w:val="28"/>
        </w:rPr>
        <w:t>：</w:t>
      </w:r>
      <w:r>
        <w:rPr>
          <w:rFonts w:hint="eastAsia" w:ascii="楷体_GB2312" w:eastAsia="楷体_GB2312"/>
          <w:sz w:val="28"/>
          <w:szCs w:val="28"/>
          <w:lang w:eastAsia="zh-CN"/>
        </w:rPr>
        <w:t>博山区绿色产业发展服务中心</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金额单位：万元</w:t>
      </w:r>
    </w:p>
    <w:tbl>
      <w:tblPr>
        <w:tblStyle w:val="9"/>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ind w:firstLine="138" w:firstLineChars="50"/>
        <w:rPr>
          <w:rFonts w:ascii="仿宋_GB2312" w:hAnsi="宋体" w:eastAsia="仿宋_GB2312"/>
          <w:sz w:val="22"/>
          <w:szCs w:val="22"/>
        </w:rPr>
      </w:pPr>
      <w:r>
        <w:rPr>
          <w:rFonts w:hint="eastAsia" w:ascii="仿宋_GB2312" w:eastAsia="仿宋_GB2312"/>
          <w:b/>
          <w:sz w:val="28"/>
          <w:szCs w:val="28"/>
          <w:highlight w:val="none"/>
        </w:rPr>
        <w:t>本单位没有政府性基金收入，也没有使用政府性基金安排的支出，故本表无数据</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国有资本经营预算财政拨款支出决算表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公开09表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highlight w:val="none"/>
        </w:rPr>
        <w:t>单位：</w:t>
      </w:r>
      <w:r>
        <w:rPr>
          <w:rFonts w:hint="eastAsia" w:ascii="楷体_GB2312" w:eastAsia="楷体_GB2312"/>
          <w:sz w:val="28"/>
          <w:szCs w:val="28"/>
          <w:lang w:eastAsia="zh-CN"/>
        </w:rPr>
        <w:t>博山区绿色产业发展服务中心</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9"/>
        <w:tblW w:w="0" w:type="auto"/>
        <w:jc w:val="center"/>
        <w:tblLayout w:type="fixed"/>
        <w:tblCellMar>
          <w:top w:w="0" w:type="dxa"/>
          <w:left w:w="108" w:type="dxa"/>
          <w:bottom w:w="0" w:type="dxa"/>
          <w:right w:w="108" w:type="dxa"/>
        </w:tblCellMar>
      </w:tblPr>
      <w:tblGrid>
        <w:gridCol w:w="1701"/>
        <w:gridCol w:w="3170"/>
        <w:gridCol w:w="2783"/>
        <w:gridCol w:w="2978"/>
        <w:gridCol w:w="2520"/>
      </w:tblGrid>
      <w:tr>
        <w:tblPrEx>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spacing w:line="400" w:lineRule="exact"/>
        <w:ind w:firstLine="138" w:firstLineChars="50"/>
        <w:jc w:val="left"/>
        <w:rPr>
          <w:rFonts w:ascii="仿宋_GB2312" w:hAnsi="宋体" w:eastAsia="仿宋_GB2312"/>
          <w:sz w:val="22"/>
          <w:szCs w:val="22"/>
          <w:highlight w:val="none"/>
        </w:rPr>
      </w:pPr>
      <w:r>
        <w:rPr>
          <w:rFonts w:hint="eastAsia" w:ascii="仿宋_GB2312" w:eastAsia="仿宋_GB2312"/>
          <w:b/>
          <w:sz w:val="28"/>
          <w:szCs w:val="28"/>
          <w:highlight w:val="none"/>
        </w:rPr>
        <w:t>本单位没有使用国有资本经营预算安排的支出，故本表无数据。</w:t>
      </w:r>
    </w:p>
    <w:p>
      <w:pPr>
        <w:spacing w:line="400" w:lineRule="exact"/>
        <w:jc w:val="left"/>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第三部分</w:t>
      </w: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2020年度单位决算情况说明</w:t>
      </w:r>
    </w:p>
    <w:p>
      <w:pPr>
        <w:numPr>
          <w:ilvl w:val="0"/>
          <w:numId w:val="2"/>
        </w:numPr>
        <w:spacing w:line="580" w:lineRule="exact"/>
        <w:ind w:firstLine="640" w:firstLineChars="200"/>
        <w:rPr>
          <w:rFonts w:hint="eastAsia" w:ascii="黑体" w:hAnsi="黑体" w:eastAsia="黑体"/>
          <w:szCs w:val="32"/>
        </w:rPr>
      </w:pPr>
      <w:r>
        <w:rPr>
          <w:rFonts w:hint="eastAsia" w:ascii="黑体" w:hAnsi="黑体" w:eastAsia="黑体"/>
          <w:szCs w:val="32"/>
        </w:rPr>
        <w:t>收入支出决算总体情况说明</w:t>
      </w:r>
    </w:p>
    <w:p>
      <w:pPr>
        <w:snapToGrid w:val="0"/>
        <w:spacing w:line="520" w:lineRule="exact"/>
        <w:ind w:firstLine="640" w:firstLineChars="200"/>
        <w:rPr>
          <w:rFonts w:ascii="仿宋_GB2312" w:eastAsia="仿宋_GB2312"/>
          <w:b/>
          <w:szCs w:val="32"/>
        </w:rPr>
      </w:pPr>
      <w:r>
        <w:rPr>
          <w:rFonts w:hint="eastAsia" w:ascii="仿宋_GB2312" w:eastAsia="仿宋_GB2312"/>
          <w:szCs w:val="32"/>
        </w:rPr>
        <w:t>2020年度收、支总计</w:t>
      </w:r>
      <w:r>
        <w:rPr>
          <w:rFonts w:hint="eastAsia" w:ascii="仿宋_GB2312" w:eastAsia="仿宋_GB2312"/>
          <w:szCs w:val="32"/>
          <w:lang w:val="en-US" w:eastAsia="zh-CN"/>
        </w:rPr>
        <w:t>309.49</w:t>
      </w:r>
      <w:r>
        <w:rPr>
          <w:rFonts w:hint="eastAsia" w:ascii="仿宋_GB2312" w:eastAsia="仿宋_GB2312"/>
          <w:szCs w:val="32"/>
        </w:rPr>
        <w:t>万元。与2019年度相比，收、支总计各增加</w:t>
      </w:r>
      <w:r>
        <w:rPr>
          <w:rFonts w:hint="eastAsia" w:ascii="仿宋_GB2312" w:eastAsia="仿宋_GB2312"/>
          <w:szCs w:val="32"/>
          <w:lang w:val="en-US" w:eastAsia="zh-CN"/>
        </w:rPr>
        <w:t>118.33</w:t>
      </w:r>
      <w:r>
        <w:rPr>
          <w:rFonts w:hint="eastAsia" w:ascii="仿宋_GB2312" w:eastAsia="仿宋_GB2312"/>
          <w:szCs w:val="32"/>
        </w:rPr>
        <w:t>万元，增长</w:t>
      </w:r>
      <w:r>
        <w:rPr>
          <w:rFonts w:hint="eastAsia" w:ascii="仿宋_GB2312" w:eastAsia="仿宋_GB2312"/>
          <w:szCs w:val="32"/>
          <w:lang w:val="en-US" w:eastAsia="zh-CN"/>
        </w:rPr>
        <w:t>61.9</w:t>
      </w:r>
      <w:r>
        <w:rPr>
          <w:rFonts w:hint="eastAsia" w:ascii="仿宋_GB2312" w:eastAsia="仿宋_GB2312"/>
          <w:szCs w:val="32"/>
        </w:rPr>
        <w:t>%。主要是</w:t>
      </w:r>
      <w:r>
        <w:rPr>
          <w:rFonts w:hint="eastAsia" w:ascii="仿宋_GB2312" w:hAnsi="仿宋" w:eastAsia="仿宋_GB2312" w:cs="仿宋"/>
          <w:color w:val="000000"/>
          <w:sz w:val="32"/>
          <w:szCs w:val="32"/>
        </w:rPr>
        <w:t>2020年增加11人，人员工资、社会保障等收入</w:t>
      </w: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rPr>
        <w:t>增加</w:t>
      </w:r>
      <w:r>
        <w:rPr>
          <w:rFonts w:hint="eastAsia" w:ascii="仿宋_GB2312" w:hAnsi="仿宋" w:eastAsia="仿宋_GB2312" w:cs="仿宋"/>
          <w:color w:val="000000"/>
          <w:sz w:val="32"/>
          <w:szCs w:val="32"/>
          <w:lang w:eastAsia="zh-CN"/>
        </w:rPr>
        <w:t>。</w:t>
      </w:r>
    </w:p>
    <w:p>
      <w:pPr>
        <w:spacing w:line="580" w:lineRule="exact"/>
        <w:ind w:firstLine="562" w:firstLineChars="200"/>
        <w:jc w:val="center"/>
        <w:rPr>
          <w:rFonts w:hint="eastAsia" w:ascii="仿宋_GB2312" w:eastAsia="仿宋_GB2312"/>
          <w:b/>
          <w:sz w:val="28"/>
          <w:szCs w:val="28"/>
          <w:lang w:eastAsia="zh-CN"/>
        </w:rPr>
      </w:pPr>
      <w:r>
        <w:rPr>
          <w:rFonts w:hint="eastAsia" w:ascii="仿宋_GB2312" w:eastAsia="仿宋_GB2312"/>
          <w:b/>
          <w:sz w:val="28"/>
          <w:szCs w:val="28"/>
          <w:lang w:eastAsia="zh-CN"/>
        </w:rPr>
        <w:t>收入支出决算总体情况变动表</w:t>
      </w:r>
    </w:p>
    <w:p>
      <w:pPr>
        <w:spacing w:line="580" w:lineRule="exact"/>
        <w:ind w:firstLine="562" w:firstLineChars="200"/>
        <w:rPr>
          <w:rFonts w:hint="default" w:ascii="仿宋_GB2312" w:eastAsia="仿宋_GB2312"/>
          <w:b/>
          <w:sz w:val="28"/>
          <w:szCs w:val="28"/>
          <w:lang w:val="en-US" w:eastAsia="zh-CN"/>
        </w:rPr>
      </w:pPr>
      <w:r>
        <w:rPr>
          <w:rFonts w:hint="eastAsia" w:ascii="仿宋_GB2312" w:eastAsia="仿宋_GB2312"/>
          <w:b/>
          <w:sz w:val="28"/>
          <w:szCs w:val="28"/>
          <w:lang w:val="en-US" w:eastAsia="zh-CN"/>
        </w:rPr>
        <w:t xml:space="preserve">                                    单位：万元</w:t>
      </w:r>
    </w:p>
    <w:p>
      <w:pPr>
        <w:numPr>
          <w:ilvl w:val="0"/>
          <w:numId w:val="0"/>
        </w:numPr>
        <w:spacing w:line="580" w:lineRule="exact"/>
        <w:rPr>
          <w:rFonts w:hint="eastAsia" w:ascii="黑体" w:hAnsi="黑体" w:eastAsia="黑体"/>
          <w:szCs w:val="32"/>
        </w:rPr>
      </w:pPr>
      <w:r>
        <w:drawing>
          <wp:anchor distT="0" distB="0" distL="114300" distR="114300" simplePos="0" relativeHeight="251659264" behindDoc="0" locked="0" layoutInCell="1" allowOverlap="1">
            <wp:simplePos x="0" y="0"/>
            <wp:positionH relativeFrom="column">
              <wp:posOffset>876935</wp:posOffset>
            </wp:positionH>
            <wp:positionV relativeFrom="paragraph">
              <wp:posOffset>133985</wp:posOffset>
            </wp:positionV>
            <wp:extent cx="3406775" cy="1758315"/>
            <wp:effectExtent l="4445" t="4445" r="17780" b="889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numPr>
          <w:ilvl w:val="0"/>
          <w:numId w:val="0"/>
        </w:numPr>
        <w:spacing w:line="580" w:lineRule="exact"/>
        <w:rPr>
          <w:rFonts w:hint="eastAsia" w:ascii="黑体" w:hAnsi="黑体" w:eastAsia="黑体"/>
          <w:szCs w:val="32"/>
        </w:rPr>
      </w:pPr>
    </w:p>
    <w:p>
      <w:pPr>
        <w:numPr>
          <w:ilvl w:val="0"/>
          <w:numId w:val="0"/>
        </w:numPr>
        <w:spacing w:line="580" w:lineRule="exact"/>
        <w:rPr>
          <w:rFonts w:hint="eastAsia" w:ascii="黑体" w:hAnsi="黑体" w:eastAsia="黑体"/>
          <w:szCs w:val="32"/>
        </w:rPr>
      </w:pPr>
    </w:p>
    <w:p>
      <w:pPr>
        <w:numPr>
          <w:ilvl w:val="0"/>
          <w:numId w:val="0"/>
        </w:numPr>
        <w:spacing w:line="580" w:lineRule="exact"/>
        <w:rPr>
          <w:rFonts w:hint="eastAsia" w:ascii="黑体" w:hAnsi="黑体" w:eastAsia="黑体"/>
          <w:szCs w:val="32"/>
        </w:rPr>
      </w:pPr>
    </w:p>
    <w:p>
      <w:pPr>
        <w:numPr>
          <w:ilvl w:val="0"/>
          <w:numId w:val="0"/>
        </w:numPr>
        <w:spacing w:line="580" w:lineRule="exact"/>
        <w:rPr>
          <w:rFonts w:hint="eastAsia" w:ascii="黑体" w:hAnsi="黑体" w:eastAsia="黑体"/>
          <w:szCs w:val="32"/>
        </w:rPr>
      </w:pPr>
    </w:p>
    <w:p>
      <w:pPr>
        <w:numPr>
          <w:ilvl w:val="0"/>
          <w:numId w:val="0"/>
        </w:numPr>
        <w:spacing w:line="580" w:lineRule="exact"/>
        <w:rPr>
          <w:rFonts w:hint="eastAsia" w:ascii="黑体" w:hAnsi="黑体" w:eastAsia="黑体"/>
          <w:szCs w:val="32"/>
        </w:rPr>
      </w:pPr>
    </w:p>
    <w:p>
      <w:pPr>
        <w:spacing w:line="580" w:lineRule="exact"/>
        <w:ind w:firstLine="640" w:firstLineChars="200"/>
        <w:rPr>
          <w:rFonts w:ascii="黑体" w:hAnsi="黑体" w:eastAsia="黑体"/>
          <w:szCs w:val="32"/>
        </w:rPr>
      </w:pPr>
      <w:r>
        <w:rPr>
          <w:rFonts w:hint="eastAsia" w:ascii="黑体" w:hAnsi="黑体" w:eastAsia="黑体"/>
          <w:szCs w:val="32"/>
        </w:rPr>
        <w:t>二、收入决算情况说明</w:t>
      </w:r>
    </w:p>
    <w:p>
      <w:pPr>
        <w:spacing w:line="580" w:lineRule="exact"/>
        <w:ind w:firstLine="640" w:firstLineChars="200"/>
        <w:rPr>
          <w:rFonts w:hint="eastAsia" w:ascii="楷体_GB2312" w:eastAsia="楷体_GB2312"/>
          <w:szCs w:val="32"/>
          <w:highlight w:val="none"/>
        </w:rPr>
      </w:pPr>
      <w:r>
        <w:rPr>
          <w:rFonts w:hint="eastAsia" w:ascii="楷体_GB2312" w:eastAsia="楷体_GB2312"/>
          <w:szCs w:val="32"/>
          <w:highlight w:val="none"/>
        </w:rPr>
        <w:t>（一）收入决算结构情况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本年收入合计</w:t>
      </w:r>
      <w:r>
        <w:rPr>
          <w:rFonts w:hint="eastAsia" w:ascii="仿宋_GB2312" w:eastAsia="仿宋_GB2312"/>
          <w:szCs w:val="32"/>
          <w:lang w:val="en-US" w:eastAsia="zh-CN"/>
        </w:rPr>
        <w:t>309.49</w:t>
      </w:r>
      <w:r>
        <w:rPr>
          <w:rFonts w:hint="eastAsia" w:ascii="仿宋_GB2312" w:eastAsia="仿宋_GB2312"/>
          <w:szCs w:val="32"/>
        </w:rPr>
        <w:t>万元，其中：财政拨款收入</w:t>
      </w:r>
      <w:r>
        <w:rPr>
          <w:rFonts w:hint="eastAsia" w:ascii="仿宋_GB2312" w:eastAsia="仿宋_GB2312"/>
          <w:szCs w:val="32"/>
          <w:lang w:val="en-US" w:eastAsia="zh-CN"/>
        </w:rPr>
        <w:t>309.49</w:t>
      </w:r>
      <w:r>
        <w:rPr>
          <w:rFonts w:hint="eastAsia" w:ascii="仿宋_GB2312" w:eastAsia="仿宋_GB2312"/>
          <w:szCs w:val="32"/>
        </w:rPr>
        <w:t>万元，占</w:t>
      </w:r>
      <w:r>
        <w:rPr>
          <w:rFonts w:hint="eastAsia" w:ascii="仿宋_GB2312" w:eastAsia="仿宋_GB2312"/>
          <w:szCs w:val="32"/>
          <w:lang w:val="en-US" w:eastAsia="zh-CN"/>
        </w:rPr>
        <w:t>100</w:t>
      </w:r>
      <w:r>
        <w:rPr>
          <w:rFonts w:hint="eastAsia" w:ascii="仿宋_GB2312" w:eastAsia="仿宋_GB2312"/>
          <w:szCs w:val="32"/>
        </w:rPr>
        <w:t>%；上级补助收入</w:t>
      </w:r>
      <w:r>
        <w:rPr>
          <w:rFonts w:hint="eastAsia" w:ascii="仿宋_GB2312" w:eastAsia="仿宋_GB2312"/>
          <w:szCs w:val="32"/>
          <w:lang w:val="en-US" w:eastAsia="zh-CN"/>
        </w:rPr>
        <w:t>0</w:t>
      </w:r>
      <w:r>
        <w:rPr>
          <w:rFonts w:hint="eastAsia" w:ascii="仿宋_GB2312" w:eastAsia="仿宋_GB2312"/>
          <w:szCs w:val="32"/>
        </w:rPr>
        <w:t>万元，占</w:t>
      </w:r>
      <w:r>
        <w:rPr>
          <w:rFonts w:hint="eastAsia" w:ascii="仿宋_GB2312" w:eastAsia="仿宋_GB2312"/>
          <w:szCs w:val="32"/>
          <w:lang w:val="en-US" w:eastAsia="zh-CN"/>
        </w:rPr>
        <w:t>0</w:t>
      </w:r>
      <w:r>
        <w:rPr>
          <w:rFonts w:hint="eastAsia" w:ascii="仿宋_GB2312" w:eastAsia="仿宋_GB2312"/>
          <w:szCs w:val="32"/>
        </w:rPr>
        <w:t>%；……其他收入</w:t>
      </w:r>
      <w:r>
        <w:rPr>
          <w:rFonts w:hint="eastAsia" w:ascii="仿宋_GB2312" w:eastAsia="仿宋_GB2312"/>
          <w:szCs w:val="32"/>
          <w:lang w:val="en-US" w:eastAsia="zh-CN"/>
        </w:rPr>
        <w:t>0</w:t>
      </w:r>
      <w:r>
        <w:rPr>
          <w:rFonts w:hint="eastAsia" w:ascii="仿宋_GB2312" w:eastAsia="仿宋_GB2312"/>
          <w:szCs w:val="32"/>
        </w:rPr>
        <w:t>万元，占</w:t>
      </w:r>
      <w:r>
        <w:rPr>
          <w:rFonts w:hint="eastAsia" w:ascii="仿宋_GB2312" w:eastAsia="仿宋_GB2312"/>
          <w:szCs w:val="32"/>
          <w:lang w:val="en-US" w:eastAsia="zh-CN"/>
        </w:rPr>
        <w:t>0</w:t>
      </w:r>
      <w:r>
        <w:rPr>
          <w:rFonts w:hint="eastAsia" w:ascii="仿宋_GB2312" w:eastAsia="仿宋_GB2312"/>
          <w:szCs w:val="32"/>
        </w:rPr>
        <w:t>%。</w:t>
      </w:r>
    </w:p>
    <w:p>
      <w:pPr>
        <w:spacing w:line="580" w:lineRule="exact"/>
        <w:ind w:firstLine="640" w:firstLineChars="200"/>
        <w:jc w:val="center"/>
        <w:rPr>
          <w:rFonts w:hint="default" w:ascii="仿宋_GB2312" w:eastAsia="仿宋_GB2312"/>
          <w:szCs w:val="32"/>
          <w:lang w:val="en-US" w:eastAsia="zh-CN"/>
        </w:rPr>
      </w:pPr>
      <w:r>
        <w:rPr>
          <w:rFonts w:hint="eastAsia" w:ascii="仿宋_GB2312" w:eastAsia="仿宋_GB2312"/>
          <w:szCs w:val="32"/>
          <w:lang w:val="en-US" w:eastAsia="zh-CN"/>
        </w:rPr>
        <w:t>2020年本年收入决算结构图</w:t>
      </w:r>
    </w:p>
    <w:p>
      <w:pPr>
        <w:spacing w:line="580" w:lineRule="exact"/>
        <w:ind w:firstLine="643" w:firstLineChars="200"/>
        <w:rPr>
          <w:rFonts w:hint="eastAsia" w:ascii="楷体_GB2312" w:eastAsia="楷体_GB2312"/>
          <w:szCs w:val="32"/>
          <w:highlight w:val="yellow"/>
        </w:rPr>
      </w:pPr>
      <w:r>
        <w:rPr>
          <w:rFonts w:ascii="仿宋_GB2312" w:eastAsia="仿宋_GB2312"/>
          <w:b/>
          <w:szCs w:val="32"/>
        </w:rPr>
        <w:pict>
          <v:shape id="_x0000_s1026" o:spid="_x0000_s1026" o:spt="75" type="#_x0000_t75" style="position:absolute;left:0pt;margin-left:118.5pt;margin-top:24.75pt;height:134.6pt;width:210.35pt;mso-wrap-distance-bottom:0pt;mso-wrap-distance-left:9pt;mso-wrap-distance-right:9pt;mso-wrap-distance-top:0pt;z-index:251660288;mso-width-relative:page;mso-height-relative:page;" o:ole="t" filled="f" o:preferrelative="t" stroked="f" coordsize="21600,21600">
            <v:path/>
            <v:fill on="f" focussize="0,0"/>
            <v:stroke on="f"/>
            <v:imagedata r:id="rId9" o:title=""/>
            <o:lock v:ext="edit" aspectratio="t"/>
            <w10:wrap type="square" side="right"/>
          </v:shape>
          <o:OLEObject Type="Embed" ProgID="MSGraph.Chart.8" ShapeID="_x0000_s1026" DrawAspect="Content" ObjectID="_1468075725" r:id="rId8">
            <o:LockedField>false</o:LockedField>
          </o:OLEObject>
        </w:pict>
      </w:r>
    </w:p>
    <w:p>
      <w:pPr>
        <w:spacing w:line="580" w:lineRule="exact"/>
        <w:ind w:firstLine="640" w:firstLineChars="200"/>
        <w:rPr>
          <w:rFonts w:hint="eastAsia" w:ascii="楷体_GB2312" w:eastAsia="楷体_GB2312"/>
          <w:szCs w:val="32"/>
          <w:highlight w:val="yellow"/>
        </w:rPr>
      </w:pPr>
    </w:p>
    <w:p>
      <w:pPr>
        <w:spacing w:line="580" w:lineRule="exact"/>
        <w:ind w:firstLine="640" w:firstLineChars="200"/>
        <w:rPr>
          <w:rFonts w:hint="eastAsia" w:ascii="楷体_GB2312" w:eastAsia="楷体_GB2312"/>
          <w:szCs w:val="32"/>
          <w:highlight w:val="yellow"/>
        </w:rPr>
      </w:pPr>
    </w:p>
    <w:p>
      <w:pPr>
        <w:spacing w:line="580" w:lineRule="exact"/>
        <w:rPr>
          <w:rFonts w:hint="eastAsia" w:ascii="楷体_GB2312" w:eastAsia="楷体_GB2312"/>
          <w:szCs w:val="32"/>
          <w:highlight w:val="yellow"/>
        </w:rPr>
      </w:pPr>
    </w:p>
    <w:p>
      <w:pPr>
        <w:numPr>
          <w:ilvl w:val="0"/>
          <w:numId w:val="3"/>
        </w:numPr>
        <w:spacing w:line="580" w:lineRule="exact"/>
        <w:ind w:firstLine="640" w:firstLineChars="200"/>
        <w:rPr>
          <w:rFonts w:hint="eastAsia" w:ascii="楷体_GB2312" w:eastAsia="楷体_GB2312"/>
          <w:szCs w:val="32"/>
          <w:highlight w:val="none"/>
        </w:rPr>
      </w:pPr>
      <w:r>
        <w:rPr>
          <w:rFonts w:hint="eastAsia" w:ascii="楷体_GB2312" w:eastAsia="楷体_GB2312"/>
          <w:szCs w:val="32"/>
          <w:highlight w:val="none"/>
        </w:rPr>
        <w:t>收入决算具体情况</w:t>
      </w:r>
    </w:p>
    <w:p>
      <w:pPr>
        <w:snapToGrid w:val="0"/>
        <w:spacing w:line="520" w:lineRule="exact"/>
        <w:ind w:firstLine="640" w:firstLineChars="200"/>
        <w:rPr>
          <w:rFonts w:ascii="仿宋_GB2312" w:eastAsia="仿宋_GB2312"/>
          <w:szCs w:val="32"/>
          <w:highlight w:val="yellow"/>
        </w:rPr>
      </w:pPr>
      <w:r>
        <w:rPr>
          <w:rFonts w:hint="eastAsia" w:ascii="仿宋_GB2312" w:eastAsia="仿宋_GB2312"/>
          <w:szCs w:val="32"/>
          <w:highlight w:val="none"/>
        </w:rPr>
        <w:t>1、财政拨款收入</w:t>
      </w:r>
      <w:r>
        <w:rPr>
          <w:rFonts w:hint="eastAsia" w:ascii="仿宋_GB2312" w:eastAsia="仿宋_GB2312"/>
          <w:szCs w:val="32"/>
          <w:highlight w:val="none"/>
          <w:lang w:val="en-US" w:eastAsia="zh-CN"/>
        </w:rPr>
        <w:t>309.49</w:t>
      </w:r>
      <w:r>
        <w:rPr>
          <w:rFonts w:hint="eastAsia" w:ascii="仿宋_GB2312" w:eastAsia="仿宋_GB2312"/>
          <w:szCs w:val="32"/>
          <w:highlight w:val="none"/>
        </w:rPr>
        <w:t>万元。与2019年度相比，增加</w:t>
      </w:r>
      <w:r>
        <w:rPr>
          <w:rFonts w:hint="eastAsia" w:ascii="仿宋_GB2312" w:eastAsia="仿宋_GB2312"/>
          <w:szCs w:val="32"/>
          <w:highlight w:val="none"/>
          <w:lang w:val="en-US" w:eastAsia="zh-CN"/>
        </w:rPr>
        <w:t>118.33</w:t>
      </w:r>
      <w:r>
        <w:rPr>
          <w:rFonts w:hint="eastAsia" w:ascii="仿宋_GB2312" w:eastAsia="仿宋_GB2312"/>
          <w:szCs w:val="32"/>
          <w:highlight w:val="none"/>
        </w:rPr>
        <w:t>万元，增长</w:t>
      </w:r>
      <w:r>
        <w:rPr>
          <w:rFonts w:hint="eastAsia" w:ascii="仿宋_GB2312" w:eastAsia="仿宋_GB2312"/>
          <w:szCs w:val="32"/>
          <w:highlight w:val="none"/>
          <w:lang w:val="en-US" w:eastAsia="zh-CN"/>
        </w:rPr>
        <w:t>61.9</w:t>
      </w:r>
      <w:r>
        <w:rPr>
          <w:rFonts w:hint="eastAsia" w:ascii="仿宋_GB2312" w:eastAsia="仿宋_GB2312"/>
          <w:szCs w:val="32"/>
          <w:highlight w:val="none"/>
        </w:rPr>
        <w:t>%。主要是</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人员工资、社会保障等收入增加</w:t>
      </w:r>
      <w:r>
        <w:rPr>
          <w:rFonts w:hint="eastAsia" w:ascii="仿宋_GB2312" w:hAnsi="仿宋" w:eastAsia="仿宋_GB2312" w:cs="仿宋"/>
          <w:color w:val="000000"/>
          <w:sz w:val="32"/>
          <w:szCs w:val="32"/>
          <w:lang w:eastAsia="zh-CN"/>
        </w:rPr>
        <w:t>。</w:t>
      </w:r>
    </w:p>
    <w:p>
      <w:pPr>
        <w:spacing w:line="58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2、上级补助收入</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ascii="仿宋_GB2312" w:eastAsia="仿宋_GB2312"/>
          <w:szCs w:val="32"/>
          <w:highlight w:val="none"/>
        </w:rPr>
      </w:pPr>
      <w:r>
        <w:rPr>
          <w:rFonts w:hint="eastAsia" w:ascii="仿宋_GB2312" w:eastAsia="仿宋_GB2312"/>
          <w:szCs w:val="32"/>
          <w:highlight w:val="none"/>
        </w:rPr>
        <w:t>3、事业收入</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r>
        <w:rPr>
          <w:rFonts w:hint="eastAsia" w:ascii="仿宋_GB2312" w:eastAsia="仿宋_GB2312"/>
          <w:szCs w:val="32"/>
          <w:highlight w:val="none"/>
        </w:rPr>
        <w:t>。</w:t>
      </w:r>
    </w:p>
    <w:p>
      <w:pPr>
        <w:spacing w:line="58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4、经营收入</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5、附属单位上缴收入</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hint="default" w:ascii="楷体_GB2312" w:eastAsia="楷体_GB2312"/>
          <w:szCs w:val="32"/>
          <w:highlight w:val="yellow"/>
          <w:lang w:val="en-US" w:eastAsia="zh-CN"/>
        </w:rPr>
      </w:pPr>
      <w:r>
        <w:rPr>
          <w:rFonts w:hint="eastAsia" w:ascii="仿宋_GB2312" w:eastAsia="仿宋_GB2312"/>
          <w:szCs w:val="32"/>
          <w:highlight w:val="none"/>
        </w:rPr>
        <w:t>6、其他收入</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ascii="黑体" w:hAnsi="黑体" w:eastAsia="黑体"/>
          <w:szCs w:val="32"/>
        </w:rPr>
      </w:pPr>
      <w:r>
        <w:rPr>
          <w:rFonts w:hint="eastAsia" w:ascii="黑体" w:hAnsi="黑体" w:eastAsia="黑体"/>
          <w:szCs w:val="32"/>
        </w:rPr>
        <w:t>三、支出决算情况说明</w:t>
      </w:r>
    </w:p>
    <w:p>
      <w:pPr>
        <w:spacing w:line="580" w:lineRule="exact"/>
        <w:ind w:firstLine="640" w:firstLineChars="200"/>
        <w:rPr>
          <w:rFonts w:hint="eastAsia" w:ascii="楷体_GB2312" w:eastAsia="楷体_GB2312"/>
          <w:szCs w:val="32"/>
          <w:highlight w:val="none"/>
        </w:rPr>
      </w:pPr>
      <w:r>
        <w:rPr>
          <w:rFonts w:hint="eastAsia" w:ascii="楷体_GB2312" w:eastAsia="楷体_GB2312"/>
          <w:szCs w:val="32"/>
          <w:highlight w:val="none"/>
        </w:rPr>
        <w:t>（一）支出决算结构情况</w:t>
      </w:r>
    </w:p>
    <w:p>
      <w:pPr>
        <w:spacing w:line="580" w:lineRule="exact"/>
        <w:ind w:firstLine="640" w:firstLineChars="200"/>
        <w:rPr>
          <w:rFonts w:ascii="仿宋_GB2312" w:eastAsia="仿宋_GB2312"/>
          <w:szCs w:val="32"/>
        </w:rPr>
      </w:pPr>
      <w:r>
        <w:rPr>
          <w:rFonts w:hint="eastAsia" w:ascii="仿宋_GB2312" w:eastAsia="仿宋_GB2312"/>
          <w:szCs w:val="32"/>
        </w:rPr>
        <w:t>本年支出合计</w:t>
      </w:r>
      <w:r>
        <w:rPr>
          <w:rFonts w:hint="eastAsia" w:ascii="仿宋_GB2312" w:eastAsia="仿宋_GB2312"/>
          <w:szCs w:val="32"/>
          <w:lang w:val="en-US" w:eastAsia="zh-CN"/>
        </w:rPr>
        <w:t>298.13</w:t>
      </w:r>
      <w:r>
        <w:rPr>
          <w:rFonts w:hint="eastAsia" w:ascii="仿宋_GB2312" w:eastAsia="仿宋_GB2312"/>
          <w:szCs w:val="32"/>
        </w:rPr>
        <w:t>万元，其中：基本支出</w:t>
      </w:r>
      <w:r>
        <w:rPr>
          <w:rFonts w:hint="eastAsia" w:ascii="仿宋_GB2312" w:eastAsia="仿宋_GB2312"/>
          <w:szCs w:val="32"/>
          <w:lang w:val="en-US" w:eastAsia="zh-CN"/>
        </w:rPr>
        <w:t>298.13</w:t>
      </w:r>
      <w:r>
        <w:rPr>
          <w:rFonts w:hint="eastAsia" w:ascii="仿宋_GB2312" w:eastAsia="仿宋_GB2312"/>
          <w:szCs w:val="32"/>
        </w:rPr>
        <w:t>万元，占</w:t>
      </w:r>
      <w:r>
        <w:rPr>
          <w:rFonts w:hint="eastAsia" w:ascii="仿宋_GB2312" w:eastAsia="仿宋_GB2312"/>
          <w:szCs w:val="32"/>
          <w:lang w:val="en-US" w:eastAsia="zh-CN"/>
        </w:rPr>
        <w:t>100</w:t>
      </w:r>
      <w:r>
        <w:rPr>
          <w:rFonts w:hint="eastAsia" w:ascii="仿宋_GB2312" w:eastAsia="仿宋_GB2312"/>
          <w:szCs w:val="32"/>
        </w:rPr>
        <w:t>%；项目支出万元，占</w:t>
      </w:r>
      <w:r>
        <w:rPr>
          <w:rFonts w:hint="eastAsia" w:ascii="仿宋_GB2312" w:eastAsia="仿宋_GB2312"/>
          <w:szCs w:val="32"/>
          <w:lang w:val="en-US" w:eastAsia="zh-CN"/>
        </w:rPr>
        <w:t>0</w:t>
      </w:r>
      <w:r>
        <w:rPr>
          <w:rFonts w:hint="eastAsia" w:ascii="仿宋_GB2312" w:eastAsia="仿宋_GB2312"/>
          <w:szCs w:val="32"/>
        </w:rPr>
        <w:t>%；……对附属单位补助支出</w:t>
      </w:r>
      <w:r>
        <w:rPr>
          <w:rFonts w:hint="eastAsia" w:ascii="仿宋_GB2312" w:eastAsia="仿宋_GB2312"/>
          <w:szCs w:val="32"/>
          <w:lang w:val="en-US" w:eastAsia="zh-CN"/>
        </w:rPr>
        <w:t>0</w:t>
      </w:r>
      <w:r>
        <w:rPr>
          <w:rFonts w:hint="eastAsia" w:ascii="仿宋_GB2312" w:eastAsia="仿宋_GB2312"/>
          <w:szCs w:val="32"/>
        </w:rPr>
        <w:t>万元，占</w:t>
      </w:r>
      <w:r>
        <w:rPr>
          <w:rFonts w:hint="eastAsia" w:ascii="仿宋_GB2312" w:eastAsia="仿宋_GB2312"/>
          <w:szCs w:val="32"/>
          <w:lang w:val="en-US" w:eastAsia="zh-CN"/>
        </w:rPr>
        <w:t>0</w:t>
      </w:r>
      <w:r>
        <w:rPr>
          <w:rFonts w:hint="eastAsia" w:ascii="仿宋_GB2312" w:eastAsia="仿宋_GB2312"/>
          <w:szCs w:val="32"/>
        </w:rPr>
        <w:t>%。</w:t>
      </w:r>
    </w:p>
    <w:p>
      <w:pPr>
        <w:spacing w:line="580" w:lineRule="exact"/>
        <w:jc w:val="center"/>
        <w:rPr>
          <w:rFonts w:hint="default" w:ascii="仿宋_GB2312" w:eastAsia="仿宋_GB2312"/>
          <w:b/>
          <w:szCs w:val="32"/>
          <w:lang w:val="en-US" w:eastAsia="zh-CN"/>
        </w:rPr>
      </w:pPr>
      <w:r>
        <w:rPr>
          <w:rFonts w:hint="eastAsia" w:ascii="仿宋_GB2312" w:eastAsia="仿宋_GB2312"/>
          <w:b/>
          <w:szCs w:val="32"/>
          <w:lang w:val="en-US" w:eastAsia="zh-CN"/>
        </w:rPr>
        <w:t>2020年本年决算支出结构图</w:t>
      </w:r>
    </w:p>
    <w:p>
      <w:pPr>
        <w:spacing w:line="580" w:lineRule="exact"/>
        <w:ind w:firstLine="640" w:firstLineChars="200"/>
        <w:rPr>
          <w:rFonts w:hint="eastAsia" w:ascii="楷体_GB2312" w:eastAsia="楷体_GB2312"/>
          <w:szCs w:val="32"/>
          <w:highlight w:val="yellow"/>
        </w:rPr>
      </w:pPr>
    </w:p>
    <w:p>
      <w:pPr>
        <w:spacing w:line="580" w:lineRule="exact"/>
        <w:ind w:firstLine="640" w:firstLineChars="200"/>
        <w:rPr>
          <w:rFonts w:hint="eastAsia" w:ascii="楷体_GB2312" w:eastAsia="楷体_GB2312"/>
          <w:szCs w:val="32"/>
          <w:highlight w:val="yellow"/>
        </w:rPr>
      </w:pPr>
    </w:p>
    <w:p>
      <w:pPr>
        <w:spacing w:line="580" w:lineRule="exact"/>
        <w:ind w:firstLine="640" w:firstLineChars="200"/>
        <w:rPr>
          <w:rFonts w:hint="eastAsia" w:ascii="楷体_GB2312" w:eastAsia="楷体_GB2312"/>
          <w:szCs w:val="32"/>
          <w:highlight w:val="yellow"/>
        </w:rPr>
      </w:pPr>
    </w:p>
    <w:p>
      <w:pPr>
        <w:spacing w:line="580" w:lineRule="exact"/>
        <w:ind w:firstLine="640" w:firstLineChars="200"/>
        <w:rPr>
          <w:rFonts w:hint="eastAsia" w:ascii="楷体_GB2312" w:eastAsia="楷体_GB2312"/>
          <w:szCs w:val="32"/>
          <w:highlight w:val="yellow"/>
        </w:rPr>
      </w:pPr>
    </w:p>
    <w:p>
      <w:pPr>
        <w:spacing w:line="580" w:lineRule="exact"/>
        <w:ind w:firstLine="640" w:firstLineChars="200"/>
        <w:rPr>
          <w:rFonts w:hint="eastAsia" w:ascii="楷体_GB2312" w:eastAsia="楷体_GB2312"/>
          <w:szCs w:val="32"/>
          <w:highlight w:val="yellow"/>
        </w:rPr>
      </w:pPr>
      <w:r>
        <w:pict>
          <v:shape id="_x0000_s1027" o:spid="_x0000_s1027" o:spt="75" type="#_x0000_t75" style="position:absolute;left:0pt;margin-left:122.6pt;margin-top:-49.4pt;height:129.9pt;width:166.8pt;mso-wrap-distance-bottom:0pt;mso-wrap-distance-left:9pt;mso-wrap-distance-right:9pt;mso-wrap-distance-top:0pt;z-index:251661312;mso-width-relative:page;mso-height-relative:page;" o:ole="t" filled="f" o:preferrelative="t" stroked="f" coordsize="21600,21600">
            <v:path/>
            <v:fill on="f" focussize="0,0"/>
            <v:stroke on="f"/>
            <v:imagedata r:id="rId11" o:title=""/>
            <o:lock v:ext="edit" aspectratio="t"/>
            <w10:wrap type="square"/>
          </v:shape>
          <o:OLEObject Type="Embed" ProgID="MSGraph.Chart.8" ShapeID="_x0000_s1027" DrawAspect="Content" ObjectID="_1468075726" r:id="rId10">
            <o:LockedField>false</o:LockedField>
          </o:OLEObject>
        </w:pict>
      </w:r>
    </w:p>
    <w:p>
      <w:pPr>
        <w:spacing w:line="580" w:lineRule="exact"/>
        <w:ind w:firstLine="640" w:firstLineChars="200"/>
        <w:rPr>
          <w:rFonts w:hint="eastAsia" w:ascii="楷体_GB2312" w:eastAsia="楷体_GB2312"/>
          <w:szCs w:val="32"/>
          <w:highlight w:val="yellow"/>
        </w:rPr>
      </w:pPr>
    </w:p>
    <w:p>
      <w:pPr>
        <w:spacing w:line="580" w:lineRule="exact"/>
        <w:rPr>
          <w:rFonts w:hint="eastAsia" w:ascii="楷体_GB2312" w:eastAsia="楷体_GB2312"/>
          <w:szCs w:val="32"/>
          <w:highlight w:val="yellow"/>
        </w:rPr>
      </w:pPr>
    </w:p>
    <w:p>
      <w:pPr>
        <w:spacing w:line="580" w:lineRule="exact"/>
        <w:ind w:firstLine="640" w:firstLineChars="200"/>
        <w:rPr>
          <w:rFonts w:ascii="楷体_GB2312" w:eastAsia="楷体_GB2312"/>
          <w:szCs w:val="32"/>
          <w:highlight w:val="none"/>
        </w:rPr>
      </w:pPr>
      <w:r>
        <w:rPr>
          <w:rFonts w:hint="eastAsia" w:ascii="楷体_GB2312" w:eastAsia="楷体_GB2312"/>
          <w:szCs w:val="32"/>
          <w:highlight w:val="none"/>
        </w:rPr>
        <w:t>（二）支出决算具体情况</w:t>
      </w:r>
    </w:p>
    <w:p>
      <w:pPr>
        <w:snapToGrid w:val="0"/>
        <w:spacing w:line="52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1、基本支出</w:t>
      </w:r>
      <w:r>
        <w:rPr>
          <w:rFonts w:hint="eastAsia" w:ascii="仿宋_GB2312" w:eastAsia="仿宋_GB2312"/>
          <w:szCs w:val="32"/>
          <w:highlight w:val="none"/>
          <w:lang w:val="en-US" w:eastAsia="zh-CN"/>
        </w:rPr>
        <w:t>298.13</w:t>
      </w:r>
      <w:r>
        <w:rPr>
          <w:rFonts w:hint="eastAsia" w:ascii="仿宋_GB2312" w:eastAsia="仿宋_GB2312"/>
          <w:szCs w:val="32"/>
          <w:highlight w:val="none"/>
        </w:rPr>
        <w:t>万元。与2019年度相比，增加</w:t>
      </w:r>
      <w:r>
        <w:rPr>
          <w:rFonts w:hint="eastAsia" w:ascii="仿宋_GB2312" w:eastAsia="仿宋_GB2312"/>
          <w:szCs w:val="32"/>
          <w:highlight w:val="none"/>
          <w:lang w:val="en-US" w:eastAsia="zh-CN"/>
        </w:rPr>
        <w:t>106.97</w:t>
      </w:r>
      <w:r>
        <w:rPr>
          <w:rFonts w:hint="eastAsia" w:ascii="仿宋_GB2312" w:eastAsia="仿宋_GB2312"/>
          <w:szCs w:val="32"/>
          <w:highlight w:val="none"/>
        </w:rPr>
        <w:t>万元，增长</w:t>
      </w:r>
      <w:r>
        <w:rPr>
          <w:rFonts w:hint="eastAsia" w:ascii="仿宋_GB2312" w:eastAsia="仿宋_GB2312"/>
          <w:szCs w:val="32"/>
          <w:highlight w:val="none"/>
          <w:lang w:val="en-US" w:eastAsia="zh-CN"/>
        </w:rPr>
        <w:t>55.96</w:t>
      </w:r>
      <w:r>
        <w:rPr>
          <w:rFonts w:hint="eastAsia" w:ascii="仿宋_GB2312" w:eastAsia="仿宋_GB2312"/>
          <w:szCs w:val="32"/>
          <w:highlight w:val="none"/>
        </w:rPr>
        <w:t>%。主要</w:t>
      </w:r>
      <w:r>
        <w:rPr>
          <w:rFonts w:hint="eastAsia" w:ascii="仿宋_GB2312" w:eastAsia="仿宋_GB2312"/>
          <w:szCs w:val="32"/>
          <w:highlight w:val="none"/>
          <w:lang w:eastAsia="zh-CN"/>
        </w:rPr>
        <w:t>是</w:t>
      </w:r>
      <w:r>
        <w:rPr>
          <w:rFonts w:hint="eastAsia" w:ascii="仿宋_GB2312" w:hAnsi="仿宋" w:eastAsia="仿宋_GB2312" w:cs="仿宋"/>
          <w:color w:val="000000"/>
          <w:sz w:val="32"/>
          <w:szCs w:val="32"/>
          <w:highlight w:val="none"/>
        </w:rPr>
        <w:t>2020年增加11人，人员工资、社会保障等</w:t>
      </w:r>
      <w:r>
        <w:rPr>
          <w:rFonts w:hint="eastAsia" w:ascii="仿宋_GB2312" w:hAnsi="仿宋" w:eastAsia="仿宋_GB2312" w:cs="仿宋"/>
          <w:color w:val="000000"/>
          <w:sz w:val="32"/>
          <w:szCs w:val="32"/>
          <w:highlight w:val="none"/>
          <w:lang w:eastAsia="zh-CN"/>
        </w:rPr>
        <w:t>支出</w:t>
      </w:r>
      <w:r>
        <w:rPr>
          <w:rFonts w:hint="eastAsia" w:ascii="仿宋_GB2312" w:hAnsi="仿宋" w:eastAsia="仿宋_GB2312" w:cs="仿宋"/>
          <w:color w:val="000000"/>
          <w:sz w:val="32"/>
          <w:szCs w:val="32"/>
          <w:highlight w:val="none"/>
        </w:rPr>
        <w:t>增加</w:t>
      </w:r>
      <w:r>
        <w:rPr>
          <w:rFonts w:hint="eastAsia" w:ascii="仿宋_GB2312" w:hAnsi="仿宋" w:eastAsia="仿宋_GB2312" w:cs="仿宋"/>
          <w:color w:val="000000"/>
          <w:sz w:val="32"/>
          <w:szCs w:val="32"/>
          <w:highlight w:val="none"/>
          <w:lang w:eastAsia="zh-CN"/>
        </w:rPr>
        <w:t>。</w:t>
      </w:r>
    </w:p>
    <w:p>
      <w:pPr>
        <w:spacing w:line="580" w:lineRule="exact"/>
        <w:ind w:firstLine="640" w:firstLineChars="200"/>
        <w:rPr>
          <w:rFonts w:ascii="仿宋_GB2312" w:eastAsia="仿宋_GB2312"/>
          <w:szCs w:val="32"/>
          <w:highlight w:val="none"/>
        </w:rPr>
      </w:pPr>
      <w:r>
        <w:rPr>
          <w:rFonts w:hint="eastAsia" w:ascii="仿宋_GB2312" w:eastAsia="仿宋_GB2312"/>
          <w:szCs w:val="32"/>
          <w:highlight w:val="none"/>
        </w:rPr>
        <w:t>2、项目支出</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r>
        <w:rPr>
          <w:rFonts w:hint="eastAsia" w:ascii="仿宋_GB2312" w:eastAsia="仿宋_GB2312"/>
          <w:szCs w:val="32"/>
          <w:highlight w:val="none"/>
        </w:rPr>
        <w:t>。</w:t>
      </w:r>
    </w:p>
    <w:p>
      <w:pPr>
        <w:spacing w:line="58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3、上缴上级支出</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4、经营支出</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hint="eastAsia" w:ascii="仿宋_GB2312" w:eastAsia="仿宋_GB2312"/>
          <w:szCs w:val="32"/>
          <w:highlight w:val="none"/>
          <w:lang w:eastAsia="zh-CN"/>
        </w:rPr>
      </w:pPr>
      <w:r>
        <w:rPr>
          <w:rFonts w:hint="eastAsia" w:ascii="仿宋_GB2312" w:eastAsia="仿宋_GB2312"/>
          <w:szCs w:val="32"/>
          <w:highlight w:val="none"/>
        </w:rPr>
        <w:t>5、对附属单位补助支出</w:t>
      </w:r>
      <w:r>
        <w:rPr>
          <w:rFonts w:hint="eastAsia" w:ascii="仿宋_GB2312" w:eastAsia="仿宋_GB2312"/>
          <w:szCs w:val="32"/>
          <w:highlight w:val="none"/>
          <w:lang w:val="en-US" w:eastAsia="zh-CN"/>
        </w:rPr>
        <w:t>0</w:t>
      </w:r>
      <w:r>
        <w:rPr>
          <w:rFonts w:hint="eastAsia" w:ascii="仿宋_GB2312" w:eastAsia="仿宋_GB2312"/>
          <w:szCs w:val="32"/>
          <w:highlight w:val="none"/>
        </w:rPr>
        <w:t>万元。与2019年度相</w:t>
      </w:r>
      <w:r>
        <w:rPr>
          <w:rFonts w:hint="eastAsia" w:ascii="仿宋_GB2312" w:eastAsia="仿宋_GB2312"/>
          <w:szCs w:val="32"/>
          <w:highlight w:val="none"/>
          <w:lang w:eastAsia="zh-CN"/>
        </w:rPr>
        <w:t>同</w:t>
      </w:r>
    </w:p>
    <w:p>
      <w:pPr>
        <w:spacing w:line="580" w:lineRule="exact"/>
        <w:ind w:firstLine="640" w:firstLineChars="200"/>
        <w:rPr>
          <w:rFonts w:ascii="黑体" w:hAnsi="黑体" w:eastAsia="黑体"/>
          <w:szCs w:val="32"/>
        </w:rPr>
      </w:pPr>
      <w:r>
        <w:rPr>
          <w:rFonts w:hint="eastAsia" w:ascii="黑体" w:hAnsi="黑体" w:eastAsia="黑体"/>
          <w:szCs w:val="32"/>
        </w:rPr>
        <w:t>四、财政拨款收入支出决算总体情况说明</w:t>
      </w:r>
    </w:p>
    <w:p>
      <w:pPr>
        <w:snapToGrid w:val="0"/>
        <w:spacing w:line="520" w:lineRule="exact"/>
        <w:ind w:firstLine="640" w:firstLineChars="200"/>
        <w:rPr>
          <w:rFonts w:ascii="仿宋_GB2312" w:eastAsia="仿宋_GB2312"/>
          <w:szCs w:val="32"/>
        </w:rPr>
      </w:pPr>
      <w:r>
        <w:rPr>
          <w:rFonts w:hint="eastAsia" w:ascii="仿宋_GB2312" w:eastAsia="仿宋_GB2312"/>
          <w:szCs w:val="32"/>
        </w:rPr>
        <w:t>2020年度财政拨款收、支总计</w:t>
      </w:r>
      <w:r>
        <w:rPr>
          <w:rFonts w:hint="eastAsia" w:ascii="仿宋_GB2312" w:eastAsia="仿宋_GB2312"/>
          <w:szCs w:val="32"/>
          <w:lang w:val="en-US" w:eastAsia="zh-CN"/>
        </w:rPr>
        <w:t>309.49</w:t>
      </w:r>
      <w:r>
        <w:rPr>
          <w:rFonts w:hint="eastAsia" w:ascii="仿宋_GB2312" w:eastAsia="仿宋_GB2312"/>
          <w:szCs w:val="32"/>
        </w:rPr>
        <w:t>万元。与2019年度相比，财政拨款收、支总计各增加</w:t>
      </w:r>
      <w:r>
        <w:rPr>
          <w:rFonts w:hint="eastAsia" w:ascii="仿宋_GB2312" w:eastAsia="仿宋_GB2312"/>
          <w:szCs w:val="32"/>
          <w:lang w:val="en-US" w:eastAsia="zh-CN"/>
        </w:rPr>
        <w:t>118.33</w:t>
      </w:r>
      <w:r>
        <w:rPr>
          <w:rFonts w:hint="eastAsia" w:ascii="仿宋_GB2312" w:eastAsia="仿宋_GB2312"/>
          <w:szCs w:val="32"/>
        </w:rPr>
        <w:t>万元，增长</w:t>
      </w:r>
      <w:r>
        <w:rPr>
          <w:rFonts w:hint="eastAsia" w:ascii="仿宋_GB2312" w:eastAsia="仿宋_GB2312"/>
          <w:szCs w:val="32"/>
          <w:lang w:val="en-US" w:eastAsia="zh-CN"/>
        </w:rPr>
        <w:t>61.9</w:t>
      </w:r>
      <w:r>
        <w:rPr>
          <w:rFonts w:hint="eastAsia" w:ascii="仿宋_GB2312" w:eastAsia="仿宋_GB2312"/>
          <w:szCs w:val="32"/>
        </w:rPr>
        <w:t>%。主要是</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人员工资、社会保障等收入</w:t>
      </w: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rPr>
        <w:t>增加</w:t>
      </w:r>
      <w:r>
        <w:rPr>
          <w:rFonts w:hint="eastAsia" w:ascii="仿宋_GB2312" w:eastAsia="仿宋_GB2312"/>
          <w:szCs w:val="32"/>
        </w:rPr>
        <w:t>。</w:t>
      </w:r>
    </w:p>
    <w:p>
      <w:pPr>
        <w:spacing w:line="580" w:lineRule="exact"/>
        <w:ind w:firstLine="200"/>
        <w:jc w:val="center"/>
        <w:rPr>
          <w:rFonts w:hint="eastAsia" w:ascii="仿宋_GB2312" w:eastAsia="仿宋_GB2312"/>
          <w:b/>
          <w:sz w:val="28"/>
          <w:szCs w:val="28"/>
          <w:lang w:val="en-US" w:eastAsia="zh-CN"/>
        </w:rPr>
      </w:pPr>
      <w:r>
        <w:rPr>
          <w:rFonts w:hint="eastAsia" w:ascii="仿宋_GB2312" w:eastAsia="仿宋_GB2312"/>
          <w:b/>
          <w:sz w:val="28"/>
          <w:szCs w:val="28"/>
          <w:lang w:val="en-US" w:eastAsia="zh-CN"/>
        </w:rPr>
        <w:t>财政拨款收入支出决算总体情况变动表</w:t>
      </w:r>
    </w:p>
    <w:p>
      <w:pPr>
        <w:spacing w:line="580" w:lineRule="exact"/>
        <w:ind w:firstLine="200"/>
        <w:jc w:val="center"/>
        <w:rPr>
          <w:rFonts w:hint="eastAsia" w:ascii="仿宋_GB2312" w:eastAsia="仿宋_GB2312"/>
          <w:b/>
          <w:sz w:val="28"/>
          <w:szCs w:val="28"/>
          <w:lang w:eastAsia="zh-CN"/>
        </w:rPr>
      </w:pP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单位：万元</w:t>
      </w:r>
    </w:p>
    <w:p>
      <w:pPr>
        <w:spacing w:line="580" w:lineRule="exact"/>
        <w:ind w:firstLine="640" w:firstLineChars="200"/>
        <w:rPr>
          <w:rFonts w:hint="eastAsia" w:ascii="黑体" w:hAnsi="黑体" w:eastAsia="黑体"/>
          <w:szCs w:val="32"/>
        </w:rPr>
      </w:pPr>
      <w:r>
        <w:drawing>
          <wp:anchor distT="0" distB="0" distL="114300" distR="114300" simplePos="0" relativeHeight="251662336" behindDoc="0" locked="0" layoutInCell="1" allowOverlap="1">
            <wp:simplePos x="0" y="0"/>
            <wp:positionH relativeFrom="column">
              <wp:posOffset>942340</wp:posOffset>
            </wp:positionH>
            <wp:positionV relativeFrom="paragraph">
              <wp:posOffset>110490</wp:posOffset>
            </wp:positionV>
            <wp:extent cx="3557905" cy="1624330"/>
            <wp:effectExtent l="4445" t="4445" r="19050" b="952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80" w:lineRule="exact"/>
        <w:ind w:firstLine="640" w:firstLineChars="200"/>
        <w:rPr>
          <w:rFonts w:hint="eastAsia" w:ascii="黑体" w:hAnsi="黑体" w:eastAsia="黑体"/>
          <w:szCs w:val="32"/>
        </w:rPr>
      </w:pPr>
    </w:p>
    <w:p>
      <w:pPr>
        <w:spacing w:line="580" w:lineRule="exact"/>
        <w:ind w:firstLine="640" w:firstLineChars="200"/>
        <w:rPr>
          <w:rFonts w:hint="eastAsia" w:ascii="黑体" w:hAnsi="黑体" w:eastAsia="黑体"/>
          <w:szCs w:val="32"/>
        </w:rPr>
      </w:pPr>
    </w:p>
    <w:p>
      <w:pPr>
        <w:spacing w:line="580" w:lineRule="exact"/>
        <w:ind w:firstLine="640" w:firstLineChars="200"/>
        <w:rPr>
          <w:rFonts w:hint="eastAsia" w:ascii="黑体" w:hAnsi="黑体" w:eastAsia="黑体"/>
          <w:szCs w:val="32"/>
        </w:rPr>
      </w:pPr>
    </w:p>
    <w:p>
      <w:pPr>
        <w:spacing w:line="580" w:lineRule="exact"/>
        <w:rPr>
          <w:rFonts w:hint="eastAsia" w:ascii="黑体" w:hAnsi="黑体" w:eastAsia="黑体"/>
          <w:szCs w:val="32"/>
        </w:rPr>
      </w:pPr>
    </w:p>
    <w:p>
      <w:pPr>
        <w:spacing w:line="580" w:lineRule="exact"/>
        <w:ind w:firstLine="640" w:firstLineChars="200"/>
        <w:rPr>
          <w:rFonts w:ascii="黑体" w:hAnsi="黑体" w:eastAsia="黑体"/>
          <w:szCs w:val="32"/>
        </w:rPr>
      </w:pPr>
      <w:r>
        <w:rPr>
          <w:rFonts w:hint="eastAsia" w:ascii="黑体" w:hAnsi="黑体" w:eastAsia="黑体"/>
          <w:szCs w:val="32"/>
        </w:rPr>
        <w:t>五、一般公共预算财政拨款支出决算情况说明</w:t>
      </w:r>
    </w:p>
    <w:p>
      <w:pPr>
        <w:spacing w:line="580" w:lineRule="exact"/>
        <w:ind w:firstLine="640" w:firstLineChars="200"/>
        <w:rPr>
          <w:rFonts w:ascii="楷体_GB2312" w:eastAsia="楷体_GB2312"/>
          <w:szCs w:val="32"/>
        </w:rPr>
      </w:pPr>
      <w:r>
        <w:rPr>
          <w:rFonts w:hint="eastAsia" w:ascii="楷体_GB2312" w:eastAsia="楷体_GB2312"/>
          <w:szCs w:val="32"/>
        </w:rPr>
        <w:t>（一）一般公共预算财政拨款支出决算总体情况</w:t>
      </w:r>
    </w:p>
    <w:p>
      <w:pPr>
        <w:snapToGrid w:val="0"/>
        <w:spacing w:line="520" w:lineRule="exact"/>
        <w:ind w:firstLine="640" w:firstLineChars="200"/>
        <w:rPr>
          <w:rFonts w:hint="eastAsia" w:ascii="仿宋_GB2312" w:eastAsia="仿宋_GB2312"/>
          <w:szCs w:val="32"/>
        </w:rPr>
      </w:pPr>
      <w:r>
        <w:rPr>
          <w:rFonts w:hint="eastAsia" w:ascii="仿宋_GB2312" w:eastAsia="仿宋_GB2312"/>
          <w:szCs w:val="32"/>
        </w:rPr>
        <w:t>2020年度一般公共预算财政拨款支出</w:t>
      </w:r>
      <w:r>
        <w:rPr>
          <w:rFonts w:hint="eastAsia" w:ascii="仿宋_GB2312" w:eastAsia="仿宋_GB2312"/>
          <w:szCs w:val="32"/>
          <w:lang w:val="en-US" w:eastAsia="zh-CN"/>
        </w:rPr>
        <w:t>309.49</w:t>
      </w:r>
      <w:r>
        <w:rPr>
          <w:rFonts w:hint="eastAsia" w:ascii="仿宋_GB2312" w:eastAsia="仿宋_GB2312"/>
          <w:szCs w:val="32"/>
        </w:rPr>
        <w:t>万元，占本年支出合计的%。与2019年度相比，一般公共预算财政拨款支出增加</w:t>
      </w:r>
      <w:r>
        <w:rPr>
          <w:rFonts w:hint="eastAsia" w:ascii="仿宋_GB2312" w:eastAsia="仿宋_GB2312"/>
          <w:szCs w:val="32"/>
          <w:lang w:val="en-US" w:eastAsia="zh-CN"/>
        </w:rPr>
        <w:t>118.33</w:t>
      </w:r>
      <w:r>
        <w:rPr>
          <w:rFonts w:hint="eastAsia" w:ascii="仿宋_GB2312" w:eastAsia="仿宋_GB2312"/>
          <w:szCs w:val="32"/>
        </w:rPr>
        <w:t>万元，增长</w:t>
      </w:r>
      <w:r>
        <w:rPr>
          <w:rFonts w:hint="eastAsia" w:ascii="仿宋_GB2312" w:eastAsia="仿宋_GB2312"/>
          <w:szCs w:val="32"/>
          <w:lang w:val="en-US" w:eastAsia="zh-CN"/>
        </w:rPr>
        <w:t>61.9</w:t>
      </w:r>
      <w:r>
        <w:rPr>
          <w:rFonts w:hint="eastAsia" w:ascii="仿宋_GB2312" w:eastAsia="仿宋_GB2312"/>
          <w:szCs w:val="32"/>
        </w:rPr>
        <w:t>%。主要是</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人员工资、社会保障等</w:t>
      </w: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rPr>
        <w:t>增加</w:t>
      </w:r>
      <w:r>
        <w:rPr>
          <w:rFonts w:hint="eastAsia" w:ascii="仿宋_GB2312" w:eastAsia="仿宋_GB2312"/>
          <w:szCs w:val="32"/>
        </w:rPr>
        <w:t>。</w:t>
      </w:r>
    </w:p>
    <w:p>
      <w:pPr>
        <w:snapToGrid w:val="0"/>
        <w:spacing w:line="520" w:lineRule="exact"/>
        <w:ind w:firstLine="560" w:firstLineChars="200"/>
        <w:jc w:val="center"/>
        <w:rPr>
          <w:rFonts w:hint="eastAsia" w:ascii="仿宋_GB2312" w:eastAsia="仿宋_GB2312"/>
          <w:sz w:val="28"/>
          <w:szCs w:val="28"/>
          <w:lang w:eastAsia="zh-CN"/>
        </w:rPr>
      </w:pPr>
      <w:r>
        <w:rPr>
          <w:rFonts w:hint="eastAsia" w:ascii="仿宋_GB2312" w:eastAsia="仿宋_GB2312"/>
          <w:sz w:val="28"/>
          <w:szCs w:val="28"/>
          <w:lang w:eastAsia="zh-CN"/>
        </w:rPr>
        <w:t>一般公共预算财政拨款支出决算情况变动表</w:t>
      </w:r>
    </w:p>
    <w:p>
      <w:pPr>
        <w:snapToGrid w:val="0"/>
        <w:spacing w:line="520" w:lineRule="exact"/>
        <w:ind w:firstLine="560" w:firstLineChars="200"/>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单位：万元</w:t>
      </w:r>
    </w:p>
    <w:p>
      <w:pPr>
        <w:spacing w:line="580" w:lineRule="exact"/>
        <w:ind w:firstLine="640" w:firstLineChars="200"/>
        <w:rPr>
          <w:rFonts w:hint="eastAsia" w:ascii="楷体_GB2312" w:eastAsia="楷体_GB2312"/>
          <w:szCs w:val="32"/>
        </w:rPr>
      </w:pPr>
      <w:r>
        <w:drawing>
          <wp:anchor distT="0" distB="0" distL="114300" distR="114300" simplePos="0" relativeHeight="251663360" behindDoc="0" locked="0" layoutInCell="1" allowOverlap="1">
            <wp:simplePos x="0" y="0"/>
            <wp:positionH relativeFrom="column">
              <wp:posOffset>718185</wp:posOffset>
            </wp:positionH>
            <wp:positionV relativeFrom="paragraph">
              <wp:posOffset>50800</wp:posOffset>
            </wp:positionV>
            <wp:extent cx="3977005" cy="1941830"/>
            <wp:effectExtent l="4445" t="4445" r="19050" b="15875"/>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rPr>
          <w:rFonts w:hint="eastAsia" w:ascii="楷体_GB2312" w:eastAsia="楷体_GB2312"/>
          <w:szCs w:val="32"/>
        </w:rPr>
      </w:pPr>
    </w:p>
    <w:p>
      <w:pPr>
        <w:spacing w:line="580" w:lineRule="exact"/>
        <w:ind w:firstLine="640" w:firstLineChars="200"/>
        <w:rPr>
          <w:rFonts w:ascii="楷体_GB2312" w:eastAsia="楷体_GB2312"/>
          <w:szCs w:val="32"/>
        </w:rPr>
      </w:pPr>
      <w:r>
        <w:rPr>
          <w:rFonts w:hint="eastAsia" w:ascii="楷体_GB2312" w:eastAsia="楷体_GB2312"/>
          <w:szCs w:val="32"/>
        </w:rPr>
        <w:t>（二）一般公共预算财政拨款支出决算结构情况</w:t>
      </w:r>
    </w:p>
    <w:p>
      <w:pPr>
        <w:spacing w:line="580" w:lineRule="exact"/>
        <w:ind w:firstLine="640" w:firstLineChars="200"/>
        <w:rPr>
          <w:rFonts w:ascii="仿宋_GB2312" w:eastAsia="仿宋_GB2312"/>
          <w:szCs w:val="32"/>
        </w:rPr>
      </w:pPr>
      <w:r>
        <w:rPr>
          <w:rFonts w:hint="eastAsia" w:ascii="仿宋_GB2312" w:eastAsia="仿宋_GB2312"/>
          <w:szCs w:val="32"/>
        </w:rPr>
        <w:t>2020年度一般公共预算财政拨款支出</w:t>
      </w:r>
      <w:r>
        <w:rPr>
          <w:rFonts w:hint="eastAsia" w:ascii="仿宋_GB2312" w:eastAsia="仿宋_GB2312"/>
          <w:szCs w:val="32"/>
          <w:lang w:val="en-US" w:eastAsia="zh-CN"/>
        </w:rPr>
        <w:t>309.49</w:t>
      </w:r>
      <w:r>
        <w:rPr>
          <w:rFonts w:hint="eastAsia" w:ascii="仿宋_GB2312" w:eastAsia="仿宋_GB2312"/>
          <w:szCs w:val="32"/>
        </w:rPr>
        <w:t>万元，主要用于以下方面：一般公共服务（类）支出</w:t>
      </w:r>
      <w:r>
        <w:rPr>
          <w:rFonts w:hint="eastAsia" w:ascii="仿宋_GB2312" w:eastAsia="仿宋_GB2312"/>
          <w:szCs w:val="32"/>
          <w:lang w:val="en-US" w:eastAsia="zh-CN"/>
        </w:rPr>
        <w:t>234.27</w:t>
      </w:r>
      <w:r>
        <w:rPr>
          <w:rFonts w:hint="eastAsia" w:ascii="仿宋_GB2312" w:eastAsia="仿宋_GB2312"/>
          <w:szCs w:val="32"/>
        </w:rPr>
        <w:t>万元，占</w:t>
      </w:r>
      <w:r>
        <w:rPr>
          <w:rFonts w:hint="eastAsia" w:ascii="仿宋_GB2312" w:eastAsia="仿宋_GB2312"/>
          <w:szCs w:val="32"/>
          <w:lang w:val="en-US" w:eastAsia="zh-CN"/>
        </w:rPr>
        <w:t>75.7</w:t>
      </w:r>
      <w:r>
        <w:rPr>
          <w:rFonts w:hint="eastAsia" w:ascii="仿宋_GB2312" w:eastAsia="仿宋_GB2312"/>
          <w:szCs w:val="32"/>
        </w:rPr>
        <w:t>%；</w:t>
      </w:r>
      <w:r>
        <w:rPr>
          <w:rFonts w:hint="eastAsia" w:ascii="仿宋_GB2312" w:eastAsia="仿宋_GB2312"/>
          <w:szCs w:val="32"/>
          <w:lang w:eastAsia="zh-CN"/>
        </w:rPr>
        <w:t>社会保障和就业</w:t>
      </w:r>
      <w:r>
        <w:rPr>
          <w:rFonts w:hint="eastAsia" w:ascii="仿宋_GB2312" w:eastAsia="仿宋_GB2312"/>
          <w:szCs w:val="32"/>
        </w:rPr>
        <w:t>（类）支出</w:t>
      </w:r>
      <w:r>
        <w:rPr>
          <w:rFonts w:hint="eastAsia" w:ascii="仿宋_GB2312" w:eastAsia="仿宋_GB2312"/>
          <w:szCs w:val="32"/>
          <w:lang w:val="en-US" w:eastAsia="zh-CN"/>
        </w:rPr>
        <w:t>36.25</w:t>
      </w:r>
      <w:r>
        <w:rPr>
          <w:rFonts w:hint="eastAsia" w:ascii="仿宋_GB2312" w:eastAsia="仿宋_GB2312"/>
          <w:szCs w:val="32"/>
        </w:rPr>
        <w:t>万元，占</w:t>
      </w:r>
      <w:r>
        <w:rPr>
          <w:rFonts w:hint="eastAsia" w:ascii="仿宋_GB2312" w:eastAsia="仿宋_GB2312"/>
          <w:szCs w:val="32"/>
          <w:lang w:val="en-US" w:eastAsia="zh-CN"/>
        </w:rPr>
        <w:t>11.71</w:t>
      </w:r>
      <w:r>
        <w:rPr>
          <w:rFonts w:hint="eastAsia" w:ascii="仿宋_GB2312" w:eastAsia="仿宋_GB2312"/>
          <w:szCs w:val="32"/>
        </w:rPr>
        <w:t>%</w:t>
      </w:r>
      <w:r>
        <w:rPr>
          <w:rFonts w:hint="eastAsia" w:ascii="仿宋_GB2312" w:eastAsia="仿宋_GB2312"/>
          <w:szCs w:val="32"/>
          <w:lang w:val="en-US" w:eastAsia="zh-CN"/>
        </w:rPr>
        <w:t>；卫生健康（类）支出17.15万元，占5.54%；住房保障（类）支出21.82万元，占7.05%。</w:t>
      </w:r>
    </w:p>
    <w:p>
      <w:pPr>
        <w:spacing w:line="580" w:lineRule="exact"/>
        <w:jc w:val="center"/>
        <w:rPr>
          <w:rFonts w:hint="eastAsia" w:ascii="仿宋_GB2312" w:eastAsia="楷体_GB2312"/>
          <w:b/>
          <w:sz w:val="28"/>
          <w:szCs w:val="28"/>
          <w:lang w:eastAsia="zh-CN"/>
        </w:rPr>
      </w:pPr>
      <w:r>
        <w:rPr>
          <w:rFonts w:hint="eastAsia" w:ascii="楷体_GB2312" w:eastAsia="楷体_GB2312"/>
          <w:sz w:val="28"/>
          <w:szCs w:val="28"/>
        </w:rPr>
        <w:t>一般公共预算财政拨款支出决算结构</w:t>
      </w:r>
      <w:r>
        <w:rPr>
          <w:rFonts w:hint="eastAsia" w:ascii="楷体_GB2312" w:eastAsia="楷体_GB2312"/>
          <w:sz w:val="28"/>
          <w:szCs w:val="28"/>
          <w:lang w:eastAsia="zh-CN"/>
        </w:rPr>
        <w:t>图</w:t>
      </w:r>
    </w:p>
    <w:p>
      <w:pPr>
        <w:spacing w:line="580" w:lineRule="exact"/>
        <w:ind w:firstLine="640" w:firstLineChars="200"/>
        <w:rPr>
          <w:rFonts w:hint="eastAsia" w:ascii="楷体_GB2312" w:eastAsia="楷体_GB2312"/>
          <w:szCs w:val="32"/>
        </w:rPr>
      </w:pPr>
      <w:r>
        <w:pict>
          <v:shape id="_x0000_s1028" o:spid="_x0000_s1028" o:spt="75" type="#_x0000_t75" style="position:absolute;left:0pt;margin-left:105.7pt;margin-top:7.5pt;height:129.85pt;width:218.1pt;mso-wrap-distance-bottom:0pt;mso-wrap-distance-left:9pt;mso-wrap-distance-right:9pt;mso-wrap-distance-top:0pt;z-index:251664384;mso-width-relative:page;mso-height-relative:page;" o:ole="t" fillcolor="#FFFFFF" filled="t" o:preferrelative="t" stroked="t" coordsize="21600,21600">
            <v:path/>
            <v:fill on="t" color2="#FFFFFF" focussize="0,0"/>
            <v:stroke color="#FFFFFF" joinstyle="miter"/>
            <v:imagedata r:id="rId15" o:title=""/>
            <o:lock v:ext="edit" aspectratio="t"/>
            <w10:wrap type="square"/>
          </v:shape>
          <o:OLEObject Type="Embed" ProgID="MSGraph.Chart.8" ShapeID="_x0000_s1028" DrawAspect="Content" ObjectID="_1468075727" r:id="rId14">
            <o:LockedField>false</o:LockedField>
          </o:OLEObject>
        </w:pict>
      </w:r>
    </w:p>
    <w:p>
      <w:pPr>
        <w:spacing w:line="580" w:lineRule="exact"/>
        <w:ind w:firstLine="640" w:firstLineChars="200"/>
        <w:rPr>
          <w:rFonts w:hint="eastAsia" w:ascii="楷体_GB2312" w:eastAsia="楷体_GB2312"/>
          <w:szCs w:val="32"/>
        </w:rPr>
      </w:pPr>
    </w:p>
    <w:p>
      <w:pPr>
        <w:spacing w:line="580" w:lineRule="exact"/>
        <w:rPr>
          <w:rFonts w:hint="eastAsia" w:ascii="楷体_GB2312" w:eastAsia="楷体_GB2312"/>
          <w:szCs w:val="32"/>
        </w:rPr>
      </w:pPr>
    </w:p>
    <w:p>
      <w:pPr>
        <w:spacing w:line="580" w:lineRule="exact"/>
        <w:ind w:firstLine="640" w:firstLineChars="200"/>
        <w:rPr>
          <w:rFonts w:ascii="楷体_GB2312" w:eastAsia="楷体_GB2312"/>
          <w:szCs w:val="32"/>
        </w:rPr>
      </w:pPr>
      <w:r>
        <w:rPr>
          <w:rFonts w:hint="eastAsia" w:ascii="楷体_GB2312" w:eastAsia="楷体_GB2312"/>
          <w:szCs w:val="32"/>
        </w:rPr>
        <w:t>（三）一般公共预算财政拨款支出决算具体情况</w:t>
      </w:r>
    </w:p>
    <w:p>
      <w:pPr>
        <w:snapToGrid w:val="0"/>
        <w:spacing w:line="520" w:lineRule="exact"/>
        <w:ind w:firstLine="640" w:firstLineChars="200"/>
        <w:rPr>
          <w:rFonts w:ascii="仿宋_GB2312" w:eastAsia="仿宋_GB2312"/>
          <w:szCs w:val="32"/>
        </w:rPr>
      </w:pPr>
      <w:r>
        <w:rPr>
          <w:rFonts w:hint="eastAsia" w:ascii="仿宋_GB2312" w:eastAsia="仿宋_GB2312"/>
          <w:szCs w:val="32"/>
        </w:rPr>
        <w:t>2020年度一般公共预算财政拨款支出年初预算为</w:t>
      </w:r>
      <w:r>
        <w:rPr>
          <w:rFonts w:hint="eastAsia" w:ascii="仿宋_GB2312" w:eastAsia="仿宋_GB2312"/>
          <w:szCs w:val="32"/>
          <w:lang w:val="en-US" w:eastAsia="zh-CN"/>
        </w:rPr>
        <w:t>195.35</w:t>
      </w:r>
      <w:r>
        <w:rPr>
          <w:rFonts w:hint="eastAsia" w:ascii="仿宋_GB2312" w:eastAsia="仿宋_GB2312"/>
          <w:szCs w:val="32"/>
        </w:rPr>
        <w:t>万元，支出决算为</w:t>
      </w:r>
      <w:r>
        <w:rPr>
          <w:rFonts w:hint="eastAsia" w:ascii="仿宋_GB2312" w:eastAsia="仿宋_GB2312"/>
          <w:szCs w:val="32"/>
          <w:lang w:val="en-US" w:eastAsia="zh-CN"/>
        </w:rPr>
        <w:t>298.13</w:t>
      </w:r>
      <w:r>
        <w:rPr>
          <w:rFonts w:hint="eastAsia" w:ascii="仿宋_GB2312" w:eastAsia="仿宋_GB2312"/>
          <w:szCs w:val="32"/>
        </w:rPr>
        <w:t>万元，完成年初预算的</w:t>
      </w:r>
      <w:r>
        <w:rPr>
          <w:rFonts w:hint="eastAsia" w:ascii="仿宋_GB2312" w:eastAsia="仿宋_GB2312"/>
          <w:szCs w:val="32"/>
          <w:lang w:val="en-US" w:eastAsia="zh-CN"/>
        </w:rPr>
        <w:t>152.61</w:t>
      </w:r>
      <w:r>
        <w:rPr>
          <w:rFonts w:hint="eastAsia" w:ascii="仿宋_GB2312" w:eastAsia="仿宋_GB2312"/>
          <w:szCs w:val="32"/>
        </w:rPr>
        <w:t>%。决算数大于年初预算数的主要原因</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人员工资、社会保障等</w:t>
      </w: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rPr>
        <w:t>增加</w:t>
      </w:r>
      <w:r>
        <w:rPr>
          <w:rFonts w:hint="eastAsia" w:ascii="仿宋_GB2312" w:eastAsia="仿宋_GB2312"/>
          <w:szCs w:val="32"/>
        </w:rPr>
        <w:t>。</w:t>
      </w:r>
    </w:p>
    <w:p>
      <w:pPr>
        <w:snapToGrid w:val="0"/>
        <w:spacing w:line="520" w:lineRule="exact"/>
        <w:ind w:firstLine="640" w:firstLineChars="200"/>
        <w:rPr>
          <w:rFonts w:hint="eastAsia" w:ascii="仿宋_GB2312" w:eastAsia="仿宋_GB2312"/>
          <w:szCs w:val="32"/>
          <w:lang w:eastAsia="zh-CN"/>
        </w:rPr>
      </w:pPr>
      <w:r>
        <w:rPr>
          <w:rFonts w:hint="eastAsia" w:ascii="仿宋_GB2312" w:eastAsia="仿宋_GB2312"/>
          <w:szCs w:val="32"/>
        </w:rPr>
        <w:t>1、一般公共服务支出（类）财政事务（款）行政运行（项）。年初预算为</w:t>
      </w:r>
      <w:r>
        <w:rPr>
          <w:rFonts w:hint="eastAsia" w:ascii="仿宋_GB2312" w:eastAsia="仿宋_GB2312"/>
          <w:szCs w:val="32"/>
          <w:lang w:val="en-US" w:eastAsia="zh-CN"/>
        </w:rPr>
        <w:t>168.61</w:t>
      </w:r>
      <w:r>
        <w:rPr>
          <w:rFonts w:hint="eastAsia" w:ascii="仿宋_GB2312" w:eastAsia="仿宋_GB2312"/>
          <w:szCs w:val="32"/>
        </w:rPr>
        <w:t>万元，支出决算为</w:t>
      </w:r>
      <w:r>
        <w:rPr>
          <w:rFonts w:hint="eastAsia" w:ascii="仿宋_GB2312" w:eastAsia="仿宋_GB2312"/>
          <w:szCs w:val="32"/>
          <w:lang w:val="en-US" w:eastAsia="zh-CN"/>
        </w:rPr>
        <w:t>222.91</w:t>
      </w:r>
      <w:r>
        <w:rPr>
          <w:rFonts w:hint="eastAsia" w:ascii="仿宋_GB2312" w:eastAsia="仿宋_GB2312"/>
          <w:szCs w:val="32"/>
        </w:rPr>
        <w:t>万元，完成年初预算的</w:t>
      </w:r>
      <w:r>
        <w:rPr>
          <w:rFonts w:hint="eastAsia" w:ascii="仿宋_GB2312" w:eastAsia="仿宋_GB2312"/>
          <w:szCs w:val="32"/>
          <w:lang w:val="en-US" w:eastAsia="zh-CN"/>
        </w:rPr>
        <w:t>132.2</w:t>
      </w:r>
      <w:r>
        <w:rPr>
          <w:rFonts w:hint="eastAsia" w:ascii="仿宋_GB2312" w:eastAsia="仿宋_GB2312"/>
          <w:szCs w:val="32"/>
        </w:rPr>
        <w:t>%。决算数大于年初预算数主要原因是</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人员工资、</w:t>
      </w:r>
      <w:r>
        <w:rPr>
          <w:rFonts w:hint="eastAsia" w:ascii="仿宋_GB2312" w:hAnsi="仿宋" w:eastAsia="仿宋_GB2312" w:cs="仿宋"/>
          <w:color w:val="000000"/>
          <w:sz w:val="32"/>
          <w:szCs w:val="32"/>
          <w:lang w:eastAsia="zh-CN"/>
        </w:rPr>
        <w:t>办公费等</w:t>
      </w:r>
      <w:r>
        <w:rPr>
          <w:rFonts w:hint="eastAsia" w:ascii="仿宋_GB2312" w:hAnsi="仿宋" w:eastAsia="仿宋_GB2312" w:cs="仿宋"/>
          <w:color w:val="000000"/>
          <w:sz w:val="32"/>
          <w:szCs w:val="32"/>
        </w:rPr>
        <w:t>增加</w:t>
      </w:r>
      <w:r>
        <w:rPr>
          <w:rFonts w:hint="eastAsia" w:ascii="仿宋_GB2312" w:hAnsi="仿宋" w:eastAsia="仿宋_GB2312" w:cs="仿宋"/>
          <w:color w:val="000000"/>
          <w:sz w:val="32"/>
          <w:szCs w:val="32"/>
          <w:lang w:eastAsia="zh-CN"/>
        </w:rPr>
        <w:t>。</w:t>
      </w:r>
    </w:p>
    <w:p>
      <w:pPr>
        <w:snapToGrid w:val="0"/>
        <w:spacing w:line="520" w:lineRule="exact"/>
        <w:ind w:firstLine="640" w:firstLineChars="200"/>
        <w:rPr>
          <w:rFonts w:hint="eastAsia" w:ascii="仿宋_GB2312" w:eastAsia="仿宋_GB2312"/>
          <w:szCs w:val="32"/>
        </w:rPr>
      </w:pPr>
      <w:r>
        <w:rPr>
          <w:rFonts w:hint="eastAsia" w:ascii="仿宋_GB2312" w:eastAsia="仿宋_GB2312"/>
          <w:szCs w:val="32"/>
        </w:rPr>
        <w:t>2、社会保障和就业支出（类）行政事业单位</w:t>
      </w:r>
      <w:r>
        <w:rPr>
          <w:rFonts w:hint="eastAsia" w:ascii="仿宋_GB2312" w:eastAsia="仿宋_GB2312"/>
          <w:szCs w:val="32"/>
          <w:lang w:eastAsia="zh-CN"/>
        </w:rPr>
        <w:t>养老支出</w:t>
      </w:r>
      <w:r>
        <w:rPr>
          <w:rFonts w:hint="eastAsia" w:ascii="仿宋_GB2312" w:eastAsia="仿宋_GB2312"/>
          <w:szCs w:val="32"/>
        </w:rPr>
        <w:t>（款）</w:t>
      </w:r>
      <w:r>
        <w:rPr>
          <w:rFonts w:hint="eastAsia" w:ascii="仿宋_GB2312" w:eastAsia="仿宋_GB2312"/>
          <w:szCs w:val="32"/>
          <w:lang w:eastAsia="zh-CN"/>
        </w:rPr>
        <w:t>事业单位离退休</w:t>
      </w:r>
      <w:r>
        <w:rPr>
          <w:rFonts w:hint="eastAsia" w:ascii="仿宋_GB2312" w:eastAsia="仿宋_GB2312"/>
          <w:szCs w:val="32"/>
        </w:rPr>
        <w:t>（项）。年初预算为</w:t>
      </w:r>
      <w:r>
        <w:rPr>
          <w:rFonts w:hint="eastAsia" w:ascii="仿宋_GB2312" w:eastAsia="仿宋_GB2312"/>
          <w:szCs w:val="32"/>
          <w:lang w:val="en-US" w:eastAsia="zh-CN"/>
        </w:rPr>
        <w:t>15.23</w:t>
      </w:r>
      <w:r>
        <w:rPr>
          <w:rFonts w:hint="eastAsia" w:ascii="仿宋_GB2312" w:eastAsia="仿宋_GB2312"/>
          <w:szCs w:val="32"/>
        </w:rPr>
        <w:t>万元，支出决算为</w:t>
      </w:r>
      <w:r>
        <w:rPr>
          <w:rFonts w:hint="eastAsia" w:ascii="仿宋_GB2312" w:eastAsia="仿宋_GB2312"/>
          <w:szCs w:val="32"/>
          <w:lang w:val="en-US" w:eastAsia="zh-CN"/>
        </w:rPr>
        <w:t>12.87</w:t>
      </w:r>
      <w:r>
        <w:rPr>
          <w:rFonts w:hint="eastAsia" w:ascii="仿宋_GB2312" w:eastAsia="仿宋_GB2312"/>
          <w:szCs w:val="32"/>
        </w:rPr>
        <w:t>万元，完成年初预算的</w:t>
      </w:r>
      <w:r>
        <w:rPr>
          <w:rFonts w:hint="eastAsia" w:ascii="仿宋_GB2312" w:eastAsia="仿宋_GB2312"/>
          <w:szCs w:val="32"/>
          <w:lang w:val="en-US" w:eastAsia="zh-CN"/>
        </w:rPr>
        <w:t>84.5</w:t>
      </w:r>
      <w:r>
        <w:rPr>
          <w:rFonts w:hint="eastAsia" w:ascii="仿宋_GB2312" w:eastAsia="仿宋_GB2312"/>
          <w:szCs w:val="32"/>
        </w:rPr>
        <w:t>%。决算数</w:t>
      </w:r>
      <w:r>
        <w:rPr>
          <w:rFonts w:hint="eastAsia" w:ascii="仿宋_GB2312" w:eastAsia="仿宋_GB2312"/>
          <w:szCs w:val="32"/>
          <w:lang w:eastAsia="zh-CN"/>
        </w:rPr>
        <w:t>小于</w:t>
      </w:r>
      <w:r>
        <w:rPr>
          <w:rFonts w:hint="eastAsia" w:ascii="仿宋_GB2312" w:eastAsia="仿宋_GB2312"/>
          <w:szCs w:val="32"/>
        </w:rPr>
        <w:t>年初预算数主要原因是</w:t>
      </w:r>
      <w:r>
        <w:rPr>
          <w:rFonts w:hint="eastAsia" w:ascii="仿宋_GB2312" w:eastAsia="仿宋_GB2312"/>
          <w:szCs w:val="32"/>
          <w:lang w:eastAsia="zh-CN"/>
        </w:rPr>
        <w:t>年初预算数包含养老保险和职业年金，故</w:t>
      </w:r>
      <w:r>
        <w:rPr>
          <w:rFonts w:hint="eastAsia" w:ascii="仿宋_GB2312" w:eastAsia="仿宋_GB2312"/>
          <w:szCs w:val="32"/>
        </w:rPr>
        <w:t>决算数</w:t>
      </w:r>
      <w:r>
        <w:rPr>
          <w:rFonts w:hint="eastAsia" w:ascii="仿宋_GB2312" w:eastAsia="仿宋_GB2312"/>
          <w:szCs w:val="32"/>
          <w:lang w:eastAsia="zh-CN"/>
        </w:rPr>
        <w:t>小于</w:t>
      </w:r>
      <w:r>
        <w:rPr>
          <w:rFonts w:hint="eastAsia" w:ascii="仿宋_GB2312" w:eastAsia="仿宋_GB2312"/>
          <w:szCs w:val="32"/>
        </w:rPr>
        <w:t>年初预算数。</w:t>
      </w:r>
    </w:p>
    <w:p>
      <w:pPr>
        <w:snapToGrid w:val="0"/>
        <w:spacing w:line="520" w:lineRule="exact"/>
        <w:ind w:firstLine="640" w:firstLineChars="200"/>
        <w:rPr>
          <w:rFonts w:hint="eastAsia" w:ascii="仿宋_GB2312" w:eastAsia="仿宋_GB2312"/>
          <w:szCs w:val="32"/>
          <w:lang w:eastAsia="zh-CN"/>
        </w:rPr>
      </w:pPr>
      <w:r>
        <w:rPr>
          <w:rFonts w:hint="eastAsia" w:ascii="仿宋_GB2312" w:eastAsia="仿宋_GB2312"/>
          <w:szCs w:val="32"/>
          <w:lang w:val="en-US" w:eastAsia="zh-CN"/>
        </w:rPr>
        <w:t>3、</w:t>
      </w:r>
      <w:r>
        <w:rPr>
          <w:rFonts w:hint="eastAsia" w:ascii="仿宋_GB2312" w:eastAsia="仿宋_GB2312"/>
          <w:szCs w:val="32"/>
        </w:rPr>
        <w:t>社会保障和就业支出（类）行政事业单位</w:t>
      </w:r>
      <w:r>
        <w:rPr>
          <w:rFonts w:hint="eastAsia" w:ascii="仿宋_GB2312" w:eastAsia="仿宋_GB2312"/>
          <w:szCs w:val="32"/>
          <w:lang w:eastAsia="zh-CN"/>
        </w:rPr>
        <w:t>养老支出</w:t>
      </w:r>
      <w:r>
        <w:rPr>
          <w:rFonts w:hint="eastAsia" w:ascii="仿宋_GB2312" w:eastAsia="仿宋_GB2312"/>
          <w:szCs w:val="32"/>
        </w:rPr>
        <w:t>（款）</w:t>
      </w:r>
      <w:r>
        <w:rPr>
          <w:rFonts w:hint="eastAsia" w:ascii="仿宋_GB2312" w:eastAsia="仿宋_GB2312"/>
          <w:szCs w:val="32"/>
          <w:lang w:eastAsia="zh-CN"/>
        </w:rPr>
        <w:t>机关事业单位职业年金缴费支出</w:t>
      </w:r>
      <w:r>
        <w:rPr>
          <w:rFonts w:hint="eastAsia" w:ascii="仿宋_GB2312" w:eastAsia="仿宋_GB2312"/>
          <w:szCs w:val="32"/>
        </w:rPr>
        <w:t>（项）。年初预算为</w:t>
      </w:r>
      <w:r>
        <w:rPr>
          <w:rFonts w:hint="eastAsia" w:ascii="仿宋_GB2312" w:eastAsia="仿宋_GB2312"/>
          <w:szCs w:val="32"/>
          <w:lang w:val="en-US" w:eastAsia="zh-CN"/>
        </w:rPr>
        <w:t>0</w:t>
      </w:r>
      <w:r>
        <w:rPr>
          <w:rFonts w:hint="eastAsia" w:ascii="仿宋_GB2312" w:eastAsia="仿宋_GB2312"/>
          <w:szCs w:val="32"/>
        </w:rPr>
        <w:t>万元，支出决算为</w:t>
      </w:r>
      <w:r>
        <w:rPr>
          <w:rFonts w:hint="eastAsia" w:ascii="仿宋_GB2312" w:eastAsia="仿宋_GB2312"/>
          <w:szCs w:val="32"/>
          <w:lang w:val="en-US" w:eastAsia="zh-CN"/>
        </w:rPr>
        <w:t>9.7</w:t>
      </w:r>
      <w:r>
        <w:rPr>
          <w:rFonts w:hint="eastAsia" w:ascii="仿宋_GB2312" w:eastAsia="仿宋_GB2312"/>
          <w:szCs w:val="32"/>
        </w:rPr>
        <w:t>万元，决算数大于年初预算数主要原因是</w:t>
      </w:r>
      <w:r>
        <w:rPr>
          <w:rFonts w:hint="eastAsia" w:ascii="仿宋_GB2312" w:hAnsi="仿宋" w:eastAsia="仿宋_GB2312" w:cs="仿宋"/>
          <w:color w:val="000000"/>
          <w:sz w:val="32"/>
          <w:szCs w:val="32"/>
          <w:highlight w:val="none"/>
        </w:rPr>
        <w:t>2020年</w:t>
      </w:r>
      <w:r>
        <w:rPr>
          <w:rFonts w:hint="eastAsia" w:ascii="仿宋_GB2312" w:hAnsi="仿宋" w:eastAsia="仿宋_GB2312" w:cs="仿宋"/>
          <w:color w:val="000000"/>
          <w:sz w:val="32"/>
          <w:szCs w:val="32"/>
          <w:highlight w:val="none"/>
          <w:lang w:eastAsia="zh-CN"/>
        </w:rPr>
        <w:t>决算新增此科目，故</w:t>
      </w:r>
      <w:r>
        <w:rPr>
          <w:rFonts w:hint="eastAsia" w:ascii="仿宋_GB2312" w:eastAsia="仿宋_GB2312"/>
          <w:szCs w:val="32"/>
        </w:rPr>
        <w:t>决算数大于年初预算数</w:t>
      </w:r>
      <w:r>
        <w:rPr>
          <w:rFonts w:hint="eastAsia" w:ascii="仿宋_GB2312" w:eastAsia="仿宋_GB2312"/>
          <w:szCs w:val="32"/>
          <w:lang w:eastAsia="zh-CN"/>
        </w:rPr>
        <w:t>。</w:t>
      </w:r>
    </w:p>
    <w:p>
      <w:pPr>
        <w:snapToGrid w:val="0"/>
        <w:spacing w:line="520" w:lineRule="exact"/>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4、</w:t>
      </w:r>
      <w:r>
        <w:rPr>
          <w:rFonts w:hint="eastAsia" w:ascii="仿宋_GB2312" w:eastAsia="仿宋_GB2312"/>
          <w:szCs w:val="32"/>
        </w:rPr>
        <w:t>社会保障和就业支出（类）行政事业单位</w:t>
      </w:r>
      <w:r>
        <w:rPr>
          <w:rFonts w:hint="eastAsia" w:ascii="仿宋_GB2312" w:eastAsia="仿宋_GB2312"/>
          <w:szCs w:val="32"/>
          <w:lang w:eastAsia="zh-CN"/>
        </w:rPr>
        <w:t>养老支出</w:t>
      </w:r>
      <w:r>
        <w:rPr>
          <w:rFonts w:hint="eastAsia" w:ascii="仿宋_GB2312" w:eastAsia="仿宋_GB2312"/>
          <w:szCs w:val="32"/>
        </w:rPr>
        <w:t>（款）</w:t>
      </w:r>
      <w:r>
        <w:rPr>
          <w:rFonts w:hint="eastAsia" w:ascii="仿宋_GB2312" w:eastAsia="仿宋_GB2312"/>
          <w:szCs w:val="32"/>
          <w:lang w:eastAsia="zh-CN"/>
        </w:rPr>
        <w:t>机关事业单位基本养老保险缴费支出</w:t>
      </w:r>
      <w:r>
        <w:rPr>
          <w:rFonts w:hint="eastAsia" w:ascii="仿宋_GB2312" w:eastAsia="仿宋_GB2312"/>
          <w:szCs w:val="32"/>
        </w:rPr>
        <w:t>（项）。年初预算为</w:t>
      </w:r>
      <w:r>
        <w:rPr>
          <w:rFonts w:hint="eastAsia" w:ascii="仿宋_GB2312" w:eastAsia="仿宋_GB2312"/>
          <w:szCs w:val="32"/>
          <w:lang w:val="en-US" w:eastAsia="zh-CN"/>
        </w:rPr>
        <w:t>0</w:t>
      </w:r>
      <w:r>
        <w:rPr>
          <w:rFonts w:hint="eastAsia" w:ascii="仿宋_GB2312" w:eastAsia="仿宋_GB2312"/>
          <w:szCs w:val="32"/>
        </w:rPr>
        <w:t>万元，支出决算为</w:t>
      </w:r>
      <w:r>
        <w:rPr>
          <w:rFonts w:hint="eastAsia" w:ascii="仿宋_GB2312" w:eastAsia="仿宋_GB2312"/>
          <w:szCs w:val="32"/>
          <w:lang w:val="en-US" w:eastAsia="zh-CN"/>
        </w:rPr>
        <w:t>13.68</w:t>
      </w:r>
      <w:r>
        <w:rPr>
          <w:rFonts w:hint="eastAsia" w:ascii="仿宋_GB2312" w:eastAsia="仿宋_GB2312"/>
          <w:szCs w:val="32"/>
        </w:rPr>
        <w:t>万元，决算数大于年初预算数主要原因是</w:t>
      </w:r>
      <w:r>
        <w:rPr>
          <w:rFonts w:hint="eastAsia" w:ascii="仿宋_GB2312" w:hAnsi="仿宋" w:eastAsia="仿宋_GB2312" w:cs="仿宋"/>
          <w:color w:val="000000"/>
          <w:sz w:val="32"/>
          <w:szCs w:val="32"/>
          <w:highlight w:val="none"/>
        </w:rPr>
        <w:t>2020年</w:t>
      </w:r>
      <w:r>
        <w:rPr>
          <w:rFonts w:hint="eastAsia" w:ascii="仿宋_GB2312" w:hAnsi="仿宋" w:eastAsia="仿宋_GB2312" w:cs="仿宋"/>
          <w:color w:val="000000"/>
          <w:sz w:val="32"/>
          <w:szCs w:val="32"/>
          <w:highlight w:val="none"/>
          <w:lang w:eastAsia="zh-CN"/>
        </w:rPr>
        <w:t>决算新增此科目，故</w:t>
      </w:r>
      <w:r>
        <w:rPr>
          <w:rFonts w:hint="eastAsia" w:ascii="仿宋_GB2312" w:eastAsia="仿宋_GB2312"/>
          <w:szCs w:val="32"/>
        </w:rPr>
        <w:t>决算数大于年初预算数</w:t>
      </w:r>
      <w:r>
        <w:rPr>
          <w:rFonts w:hint="eastAsia" w:ascii="仿宋_GB2312" w:eastAsia="仿宋_GB2312"/>
          <w:szCs w:val="32"/>
          <w:lang w:eastAsia="zh-CN"/>
        </w:rPr>
        <w:t>。</w:t>
      </w:r>
    </w:p>
    <w:p>
      <w:pPr>
        <w:snapToGrid w:val="0"/>
        <w:spacing w:line="520" w:lineRule="exact"/>
        <w:ind w:firstLine="640" w:firstLineChars="200"/>
        <w:rPr>
          <w:rFonts w:hint="eastAsia" w:ascii="仿宋_GB2312" w:eastAsia="仿宋_GB2312"/>
          <w:szCs w:val="32"/>
        </w:rPr>
      </w:pPr>
      <w:r>
        <w:rPr>
          <w:rFonts w:hint="eastAsia" w:ascii="仿宋_GB2312" w:eastAsia="仿宋_GB2312"/>
          <w:szCs w:val="32"/>
          <w:lang w:val="en-US" w:eastAsia="zh-CN"/>
        </w:rPr>
        <w:t>5、卫生健康支出（类）行政事业单位医疗（款）事业单位医疗（项）。年初预算为6.58万元，支出决算为10.22万元完成年初预算数的155.32%，</w:t>
      </w:r>
      <w:r>
        <w:rPr>
          <w:rFonts w:hint="eastAsia" w:ascii="仿宋_GB2312" w:eastAsia="仿宋_GB2312"/>
          <w:szCs w:val="32"/>
        </w:rPr>
        <w:t>决算数大于年初预算数主要原因是</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社会保障</w:t>
      </w:r>
      <w:r>
        <w:rPr>
          <w:rFonts w:hint="eastAsia" w:ascii="仿宋_GB2312" w:hAnsi="仿宋" w:eastAsia="仿宋_GB2312" w:cs="仿宋"/>
          <w:color w:val="000000"/>
          <w:sz w:val="32"/>
          <w:szCs w:val="32"/>
          <w:lang w:eastAsia="zh-CN"/>
        </w:rPr>
        <w:t>费用</w:t>
      </w:r>
      <w:r>
        <w:rPr>
          <w:rFonts w:hint="eastAsia" w:ascii="仿宋_GB2312" w:hAnsi="仿宋" w:eastAsia="仿宋_GB2312" w:cs="仿宋"/>
          <w:color w:val="000000"/>
          <w:sz w:val="32"/>
          <w:szCs w:val="32"/>
        </w:rPr>
        <w:t>等</w:t>
      </w: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rPr>
        <w:t>增加</w:t>
      </w:r>
      <w:r>
        <w:rPr>
          <w:rFonts w:hint="eastAsia" w:ascii="仿宋_GB2312" w:eastAsia="仿宋_GB2312"/>
          <w:szCs w:val="32"/>
        </w:rPr>
        <w:t>。</w:t>
      </w:r>
    </w:p>
    <w:p>
      <w:pPr>
        <w:snapToGrid w:val="0"/>
        <w:spacing w:line="520" w:lineRule="exact"/>
        <w:ind w:firstLine="640" w:firstLineChars="200"/>
        <w:rPr>
          <w:rFonts w:hint="eastAsia" w:ascii="仿宋_GB2312" w:eastAsia="仿宋_GB2312"/>
          <w:szCs w:val="32"/>
        </w:rPr>
      </w:pPr>
      <w:r>
        <w:rPr>
          <w:rFonts w:hint="eastAsia" w:ascii="仿宋_GB2312" w:eastAsia="仿宋_GB2312"/>
          <w:szCs w:val="32"/>
          <w:lang w:val="en-US" w:eastAsia="zh-CN"/>
        </w:rPr>
        <w:t>6、卫生健康支出（类）行政事业单位医疗（款）公务员医疗补助（项）。年初预算为4.93万元，支出决算为6.93万元完成年初预算数的140.57%，</w:t>
      </w:r>
      <w:r>
        <w:rPr>
          <w:rFonts w:hint="eastAsia" w:ascii="仿宋_GB2312" w:eastAsia="仿宋_GB2312"/>
          <w:szCs w:val="32"/>
        </w:rPr>
        <w:t>决算数大于年初预算数主要原因是</w:t>
      </w:r>
      <w:r>
        <w:rPr>
          <w:rFonts w:hint="eastAsia" w:ascii="仿宋_GB2312" w:hAnsi="仿宋" w:eastAsia="仿宋_GB2312" w:cs="仿宋"/>
          <w:color w:val="000000"/>
          <w:sz w:val="32"/>
          <w:szCs w:val="32"/>
          <w:highlight w:val="none"/>
        </w:rPr>
        <w:t>2020年增加11人，</w:t>
      </w:r>
      <w:r>
        <w:rPr>
          <w:rFonts w:hint="eastAsia" w:ascii="仿宋_GB2312" w:hAnsi="仿宋" w:eastAsia="仿宋_GB2312" w:cs="仿宋"/>
          <w:color w:val="000000"/>
          <w:sz w:val="32"/>
          <w:szCs w:val="32"/>
        </w:rPr>
        <w:t>社会保障</w:t>
      </w:r>
      <w:r>
        <w:rPr>
          <w:rFonts w:hint="eastAsia" w:ascii="仿宋_GB2312" w:hAnsi="仿宋" w:eastAsia="仿宋_GB2312" w:cs="仿宋"/>
          <w:color w:val="000000"/>
          <w:sz w:val="32"/>
          <w:szCs w:val="32"/>
          <w:lang w:eastAsia="zh-CN"/>
        </w:rPr>
        <w:t>费用</w:t>
      </w:r>
      <w:r>
        <w:rPr>
          <w:rFonts w:hint="eastAsia" w:ascii="仿宋_GB2312" w:hAnsi="仿宋" w:eastAsia="仿宋_GB2312" w:cs="仿宋"/>
          <w:color w:val="000000"/>
          <w:sz w:val="32"/>
          <w:szCs w:val="32"/>
        </w:rPr>
        <w:t>等</w:t>
      </w:r>
      <w:r>
        <w:rPr>
          <w:rFonts w:hint="eastAsia" w:ascii="仿宋_GB2312" w:hAnsi="仿宋" w:eastAsia="仿宋_GB2312" w:cs="仿宋"/>
          <w:color w:val="000000"/>
          <w:sz w:val="32"/>
          <w:szCs w:val="32"/>
          <w:lang w:eastAsia="zh-CN"/>
        </w:rPr>
        <w:t>支出</w:t>
      </w:r>
      <w:r>
        <w:rPr>
          <w:rFonts w:hint="eastAsia" w:ascii="仿宋_GB2312" w:hAnsi="仿宋" w:eastAsia="仿宋_GB2312" w:cs="仿宋"/>
          <w:color w:val="000000"/>
          <w:sz w:val="32"/>
          <w:szCs w:val="32"/>
        </w:rPr>
        <w:t>增加</w:t>
      </w:r>
      <w:r>
        <w:rPr>
          <w:rFonts w:hint="eastAsia" w:ascii="仿宋_GB2312" w:eastAsia="仿宋_GB2312"/>
          <w:szCs w:val="32"/>
        </w:rPr>
        <w:t>。</w:t>
      </w:r>
    </w:p>
    <w:p>
      <w:pPr>
        <w:snapToGrid w:val="0"/>
        <w:spacing w:line="520" w:lineRule="exact"/>
        <w:ind w:firstLine="640" w:firstLineChars="200"/>
        <w:rPr>
          <w:rFonts w:hint="eastAsia" w:ascii="黑体" w:hAnsi="黑体" w:eastAsia="黑体"/>
          <w:szCs w:val="32"/>
        </w:rPr>
      </w:pPr>
      <w:r>
        <w:rPr>
          <w:rFonts w:hint="eastAsia" w:ascii="仿宋_GB2312" w:eastAsia="仿宋_GB2312"/>
          <w:szCs w:val="32"/>
          <w:lang w:val="en-US" w:eastAsia="zh-CN"/>
        </w:rPr>
        <w:t>7、住房保障支出（类）住房改革支出（款）住房公积金（项）。年初预算没有此项，支出决算为21.82万元，</w:t>
      </w:r>
      <w:r>
        <w:rPr>
          <w:rFonts w:hint="eastAsia" w:ascii="仿宋_GB2312" w:eastAsia="仿宋_GB2312"/>
          <w:szCs w:val="32"/>
        </w:rPr>
        <w:t>决算数大于年初预算数主要原因是</w:t>
      </w:r>
      <w:r>
        <w:rPr>
          <w:rFonts w:hint="eastAsia" w:ascii="仿宋_GB2312" w:eastAsia="仿宋_GB2312"/>
          <w:szCs w:val="32"/>
          <w:lang w:eastAsia="zh-CN"/>
        </w:rPr>
        <w:t>住房公积金年初没有预算。</w:t>
      </w:r>
    </w:p>
    <w:p>
      <w:pPr>
        <w:spacing w:line="580" w:lineRule="exact"/>
        <w:ind w:firstLine="640" w:firstLineChars="200"/>
        <w:rPr>
          <w:rFonts w:ascii="黑体" w:hAnsi="黑体" w:eastAsia="黑体"/>
          <w:szCs w:val="32"/>
        </w:rPr>
      </w:pPr>
      <w:r>
        <w:rPr>
          <w:rFonts w:hint="eastAsia" w:ascii="黑体" w:hAnsi="黑体" w:eastAsia="黑体"/>
          <w:szCs w:val="32"/>
        </w:rPr>
        <w:t>六、一般公共预算财政拨款基本支出决算情况说明</w:t>
      </w:r>
    </w:p>
    <w:p>
      <w:pPr>
        <w:spacing w:line="580" w:lineRule="exact"/>
        <w:ind w:firstLine="640" w:firstLineChars="200"/>
        <w:rPr>
          <w:rFonts w:ascii="仿宋_GB2312" w:eastAsia="仿宋_GB2312"/>
          <w:szCs w:val="32"/>
        </w:rPr>
      </w:pPr>
      <w:r>
        <w:rPr>
          <w:rFonts w:hint="eastAsia" w:ascii="仿宋_GB2312" w:eastAsia="仿宋_GB2312"/>
          <w:szCs w:val="32"/>
        </w:rPr>
        <w:t>2020年度一般公共预算财政拨款基本支出决算</w:t>
      </w:r>
      <w:r>
        <w:rPr>
          <w:rFonts w:hint="eastAsia" w:ascii="仿宋_GB2312" w:eastAsia="仿宋_GB2312"/>
          <w:szCs w:val="32"/>
          <w:lang w:val="en-US" w:eastAsia="zh-CN"/>
        </w:rPr>
        <w:t>298.13</w:t>
      </w:r>
      <w:r>
        <w:rPr>
          <w:rFonts w:hint="eastAsia" w:ascii="仿宋_GB2312" w:eastAsia="仿宋_GB2312"/>
          <w:szCs w:val="32"/>
        </w:rPr>
        <w:t>万元，包括人员经费和公用经费，支出具体情况如下：</w:t>
      </w:r>
    </w:p>
    <w:p>
      <w:pPr>
        <w:spacing w:line="580" w:lineRule="exact"/>
        <w:ind w:firstLine="640" w:firstLineChars="200"/>
        <w:rPr>
          <w:rFonts w:ascii="仿宋_GB2312" w:eastAsia="仿宋_GB2312"/>
          <w:b/>
          <w:szCs w:val="32"/>
        </w:rPr>
      </w:pPr>
      <w:r>
        <w:rPr>
          <w:rFonts w:hint="eastAsia" w:ascii="仿宋_GB2312" w:eastAsia="仿宋_GB2312"/>
          <w:szCs w:val="32"/>
        </w:rPr>
        <w:t>人员经费</w:t>
      </w:r>
      <w:r>
        <w:rPr>
          <w:rFonts w:hint="eastAsia" w:ascii="仿宋_GB2312" w:eastAsia="仿宋_GB2312"/>
          <w:szCs w:val="32"/>
          <w:lang w:val="en-US" w:eastAsia="zh-CN"/>
        </w:rPr>
        <w:t>282.23</w:t>
      </w:r>
      <w:r>
        <w:rPr>
          <w:rFonts w:hint="eastAsia" w:ascii="仿宋_GB2312" w:eastAsia="仿宋_GB2312"/>
          <w:szCs w:val="32"/>
        </w:rPr>
        <w:t>万元，主要包括：基本工资、奖金</w:t>
      </w:r>
      <w:r>
        <w:rPr>
          <w:rFonts w:hint="eastAsia" w:ascii="仿宋_GB2312" w:eastAsia="仿宋_GB2312"/>
          <w:szCs w:val="32"/>
          <w:lang w:eastAsia="zh-CN"/>
        </w:rPr>
        <w:t>、机关事业单位基本养老保险缴费、职业年金缴费、职工基本医疗保险缴费、公务员医疗补助缴费、其他社会保障缴费、住房公积金、退休费、其他对个人和家庭的补助。</w:t>
      </w:r>
    </w:p>
    <w:p>
      <w:pPr>
        <w:spacing w:line="580" w:lineRule="exact"/>
        <w:ind w:firstLine="640" w:firstLineChars="200"/>
        <w:rPr>
          <w:rFonts w:hint="eastAsia" w:ascii="黑体" w:hAnsi="黑体" w:eastAsia="黑体"/>
          <w:szCs w:val="32"/>
        </w:rPr>
      </w:pPr>
      <w:r>
        <w:rPr>
          <w:rFonts w:hint="eastAsia" w:ascii="仿宋_GB2312" w:eastAsia="仿宋_GB2312"/>
          <w:szCs w:val="32"/>
        </w:rPr>
        <w:t>公用经费</w:t>
      </w:r>
      <w:r>
        <w:rPr>
          <w:rFonts w:hint="eastAsia" w:ascii="仿宋_GB2312" w:eastAsia="仿宋_GB2312"/>
          <w:szCs w:val="32"/>
          <w:lang w:val="en-US" w:eastAsia="zh-CN"/>
        </w:rPr>
        <w:t>15.9</w:t>
      </w:r>
      <w:r>
        <w:rPr>
          <w:rFonts w:hint="eastAsia" w:ascii="仿宋_GB2312" w:eastAsia="仿宋_GB2312"/>
          <w:szCs w:val="32"/>
        </w:rPr>
        <w:t>万元，主要包括：办公费、</w:t>
      </w:r>
      <w:r>
        <w:rPr>
          <w:rFonts w:hint="eastAsia" w:ascii="仿宋_GB2312" w:eastAsia="仿宋_GB2312"/>
          <w:szCs w:val="32"/>
          <w:lang w:eastAsia="zh-CN"/>
        </w:rPr>
        <w:t>邮电费、取暖费、差旅费、工会经费、公务运行维护费、其他交通费用、其他商品和服务支出</w:t>
      </w:r>
      <w:r>
        <w:rPr>
          <w:rFonts w:hint="eastAsia" w:ascii="仿宋_GB2312" w:eastAsia="仿宋_GB2312"/>
          <w:szCs w:val="32"/>
        </w:rPr>
        <w:t>。</w:t>
      </w:r>
    </w:p>
    <w:p>
      <w:pPr>
        <w:spacing w:line="580" w:lineRule="exact"/>
        <w:ind w:firstLine="640" w:firstLineChars="200"/>
        <w:rPr>
          <w:rFonts w:ascii="黑体" w:hAnsi="黑体" w:eastAsia="黑体"/>
          <w:szCs w:val="32"/>
        </w:rPr>
      </w:pPr>
      <w:r>
        <w:rPr>
          <w:rFonts w:hint="eastAsia" w:ascii="黑体" w:hAnsi="黑体" w:eastAsia="黑体"/>
          <w:szCs w:val="32"/>
        </w:rPr>
        <w:t>七、一般公共预算财政拨款“三公”经费支出决算情况说明</w:t>
      </w:r>
    </w:p>
    <w:p>
      <w:pPr>
        <w:spacing w:line="580" w:lineRule="exact"/>
        <w:ind w:firstLine="640" w:firstLineChars="200"/>
        <w:rPr>
          <w:rFonts w:ascii="楷体_GB2312" w:eastAsia="楷体_GB2312"/>
          <w:szCs w:val="32"/>
        </w:rPr>
      </w:pPr>
      <w:r>
        <w:rPr>
          <w:rFonts w:hint="eastAsia" w:ascii="楷体_GB2312" w:eastAsia="楷体_GB2312"/>
          <w:szCs w:val="32"/>
        </w:rPr>
        <w:t>（一）“三公”经费支出决算总体情况说明</w:t>
      </w:r>
    </w:p>
    <w:p>
      <w:pPr>
        <w:spacing w:line="580" w:lineRule="exact"/>
        <w:ind w:firstLine="640" w:firstLineChars="200"/>
        <w:rPr>
          <w:rFonts w:ascii="仿宋_GB2312" w:eastAsia="仿宋_GB2312"/>
          <w:szCs w:val="32"/>
        </w:rPr>
      </w:pPr>
      <w:r>
        <w:rPr>
          <w:rFonts w:hint="eastAsia" w:ascii="仿宋_GB2312" w:eastAsia="仿宋_GB2312"/>
          <w:szCs w:val="32"/>
        </w:rPr>
        <w:t>2020年度一般公共预算财政拨款“三公”经费支出年初预算为</w:t>
      </w:r>
      <w:r>
        <w:rPr>
          <w:rFonts w:hint="eastAsia" w:ascii="仿宋_GB2312" w:eastAsia="仿宋_GB2312"/>
          <w:szCs w:val="32"/>
          <w:lang w:val="en-US" w:eastAsia="zh-CN"/>
        </w:rPr>
        <w:t>2.9</w:t>
      </w:r>
      <w:r>
        <w:rPr>
          <w:rFonts w:hint="eastAsia" w:ascii="仿宋_GB2312" w:eastAsia="仿宋_GB2312"/>
          <w:szCs w:val="32"/>
        </w:rPr>
        <w:t>万元，支出决算为</w:t>
      </w:r>
      <w:r>
        <w:rPr>
          <w:rFonts w:hint="eastAsia" w:ascii="仿宋_GB2312" w:eastAsia="仿宋_GB2312"/>
          <w:szCs w:val="32"/>
          <w:lang w:val="en-US" w:eastAsia="zh-CN"/>
        </w:rPr>
        <w:t>1.84</w:t>
      </w:r>
      <w:r>
        <w:rPr>
          <w:rFonts w:hint="eastAsia" w:ascii="仿宋_GB2312" w:eastAsia="仿宋_GB2312"/>
          <w:szCs w:val="32"/>
        </w:rPr>
        <w:t>万元，比年初预算减少</w:t>
      </w:r>
      <w:r>
        <w:rPr>
          <w:rFonts w:hint="eastAsia" w:ascii="仿宋_GB2312" w:eastAsia="仿宋_GB2312"/>
          <w:szCs w:val="32"/>
          <w:lang w:val="en-US" w:eastAsia="zh-CN"/>
        </w:rPr>
        <w:t>1.06</w:t>
      </w:r>
      <w:r>
        <w:rPr>
          <w:rFonts w:hint="eastAsia" w:ascii="仿宋_GB2312" w:eastAsia="仿宋_GB2312"/>
          <w:szCs w:val="32"/>
        </w:rPr>
        <w:t>万元，完成年初预算的</w:t>
      </w:r>
      <w:r>
        <w:rPr>
          <w:rFonts w:hint="eastAsia" w:ascii="仿宋_GB2312" w:eastAsia="仿宋_GB2312"/>
          <w:szCs w:val="32"/>
          <w:lang w:val="en-US" w:eastAsia="zh-CN"/>
        </w:rPr>
        <w:t>63.45</w:t>
      </w:r>
      <w:r>
        <w:rPr>
          <w:rFonts w:hint="eastAsia" w:ascii="仿宋_GB2312" w:eastAsia="仿宋_GB2312"/>
          <w:szCs w:val="32"/>
        </w:rPr>
        <w:t>%，决算数小于年初预算数的主要原因是</w:t>
      </w:r>
      <w:r>
        <w:rPr>
          <w:rFonts w:hint="eastAsia" w:ascii="仿宋_GB2312" w:eastAsia="仿宋_GB2312"/>
          <w:szCs w:val="32"/>
          <w:lang w:val="en-US" w:eastAsia="zh-CN"/>
        </w:rPr>
        <w:t>2020年在合理安排收支运营的基础上，节约各项开支</w:t>
      </w:r>
      <w:r>
        <w:rPr>
          <w:rFonts w:hint="eastAsia" w:ascii="仿宋_GB2312" w:eastAsia="仿宋_GB2312"/>
          <w:szCs w:val="32"/>
        </w:rPr>
        <w:t>。</w:t>
      </w:r>
    </w:p>
    <w:p>
      <w:pPr>
        <w:spacing w:line="580" w:lineRule="exact"/>
        <w:ind w:firstLine="640" w:firstLineChars="200"/>
        <w:rPr>
          <w:rFonts w:ascii="楷体_GB2312" w:eastAsia="楷体_GB2312"/>
          <w:szCs w:val="32"/>
        </w:rPr>
      </w:pPr>
      <w:r>
        <w:rPr>
          <w:rFonts w:hint="eastAsia" w:ascii="楷体_GB2312" w:eastAsia="楷体_GB2312"/>
          <w:szCs w:val="32"/>
        </w:rPr>
        <w:t>（二）“三公”经费支出决算具体情况</w:t>
      </w:r>
    </w:p>
    <w:p>
      <w:pPr>
        <w:spacing w:line="580" w:lineRule="exact"/>
        <w:ind w:firstLine="640" w:firstLineChars="200"/>
        <w:rPr>
          <w:rFonts w:ascii="仿宋_GB2312" w:eastAsia="仿宋_GB2312"/>
          <w:b/>
          <w:szCs w:val="32"/>
        </w:rPr>
      </w:pPr>
      <w:r>
        <w:rPr>
          <w:rFonts w:hint="eastAsia" w:ascii="仿宋_GB2312" w:eastAsia="仿宋_GB2312"/>
          <w:szCs w:val="32"/>
        </w:rPr>
        <w:t>1、因公出国（境）费年初预算为</w:t>
      </w:r>
      <w:r>
        <w:rPr>
          <w:rFonts w:hint="eastAsia" w:ascii="仿宋_GB2312" w:eastAsia="仿宋_GB2312"/>
          <w:szCs w:val="32"/>
          <w:lang w:val="en-US" w:eastAsia="zh-CN"/>
        </w:rPr>
        <w:t>0</w:t>
      </w:r>
      <w:r>
        <w:rPr>
          <w:rFonts w:hint="eastAsia" w:ascii="仿宋_GB2312" w:eastAsia="仿宋_GB2312"/>
          <w:szCs w:val="32"/>
        </w:rPr>
        <w:t>万元，支出决算为</w:t>
      </w:r>
      <w:r>
        <w:rPr>
          <w:rFonts w:hint="eastAsia" w:ascii="仿宋_GB2312" w:eastAsia="仿宋_GB2312"/>
          <w:szCs w:val="32"/>
          <w:lang w:val="en-US" w:eastAsia="zh-CN"/>
        </w:rPr>
        <w:t>0</w:t>
      </w:r>
      <w:r>
        <w:rPr>
          <w:rFonts w:hint="eastAsia" w:ascii="仿宋_GB2312" w:eastAsia="仿宋_GB2312"/>
          <w:szCs w:val="32"/>
        </w:rPr>
        <w:t>万元，全年支出涉及因公出国（境）团组</w:t>
      </w:r>
      <w:r>
        <w:rPr>
          <w:rFonts w:hint="eastAsia" w:ascii="仿宋_GB2312" w:eastAsia="仿宋_GB2312"/>
          <w:szCs w:val="32"/>
          <w:lang w:val="en-US" w:eastAsia="zh-CN"/>
        </w:rPr>
        <w:t>0</w:t>
      </w:r>
      <w:r>
        <w:rPr>
          <w:rFonts w:hint="eastAsia" w:ascii="仿宋_GB2312" w:eastAsia="仿宋_GB2312"/>
          <w:szCs w:val="32"/>
        </w:rPr>
        <w:t>个,累计</w:t>
      </w:r>
      <w:r>
        <w:rPr>
          <w:rFonts w:hint="eastAsia" w:ascii="仿宋_GB2312" w:eastAsia="仿宋_GB2312"/>
          <w:szCs w:val="32"/>
          <w:lang w:val="en-US" w:eastAsia="zh-CN"/>
        </w:rPr>
        <w:t>0</w:t>
      </w:r>
      <w:r>
        <w:rPr>
          <w:rFonts w:hint="eastAsia" w:ascii="仿宋_GB2312" w:eastAsia="仿宋_GB2312"/>
          <w:szCs w:val="32"/>
        </w:rPr>
        <w:t>人次。</w:t>
      </w:r>
    </w:p>
    <w:p>
      <w:pPr>
        <w:spacing w:line="580" w:lineRule="exact"/>
        <w:ind w:firstLine="640" w:firstLineChars="200"/>
        <w:rPr>
          <w:rFonts w:ascii="仿宋_GB2312" w:eastAsia="仿宋_GB2312"/>
          <w:szCs w:val="32"/>
        </w:rPr>
      </w:pPr>
      <w:r>
        <w:rPr>
          <w:rFonts w:hint="eastAsia" w:ascii="仿宋_GB2312" w:eastAsia="仿宋_GB2312"/>
          <w:szCs w:val="32"/>
        </w:rPr>
        <w:t>2、公务用车购置及运行维护费年初预算为</w:t>
      </w:r>
      <w:r>
        <w:rPr>
          <w:rFonts w:hint="eastAsia" w:ascii="仿宋_GB2312" w:eastAsia="仿宋_GB2312"/>
          <w:szCs w:val="32"/>
          <w:lang w:val="en-US" w:eastAsia="zh-CN"/>
        </w:rPr>
        <w:t>2.3</w:t>
      </w:r>
      <w:r>
        <w:rPr>
          <w:rFonts w:hint="eastAsia" w:ascii="仿宋_GB2312" w:eastAsia="仿宋_GB2312"/>
          <w:szCs w:val="32"/>
        </w:rPr>
        <w:t>万元，支出决算为</w:t>
      </w:r>
      <w:r>
        <w:rPr>
          <w:rFonts w:hint="eastAsia" w:ascii="仿宋_GB2312" w:eastAsia="仿宋_GB2312"/>
          <w:szCs w:val="32"/>
          <w:lang w:val="en-US" w:eastAsia="zh-CN"/>
        </w:rPr>
        <w:t>1.84</w:t>
      </w:r>
      <w:r>
        <w:rPr>
          <w:rFonts w:hint="eastAsia" w:ascii="仿宋_GB2312" w:eastAsia="仿宋_GB2312"/>
          <w:szCs w:val="32"/>
        </w:rPr>
        <w:t>万元，比年初预算减少</w:t>
      </w:r>
      <w:r>
        <w:rPr>
          <w:rFonts w:hint="eastAsia" w:ascii="仿宋_GB2312" w:eastAsia="仿宋_GB2312"/>
          <w:szCs w:val="32"/>
          <w:lang w:val="en-US" w:eastAsia="zh-CN"/>
        </w:rPr>
        <w:t>1.06</w:t>
      </w:r>
      <w:r>
        <w:rPr>
          <w:rFonts w:hint="eastAsia" w:ascii="仿宋_GB2312" w:eastAsia="仿宋_GB2312"/>
          <w:szCs w:val="32"/>
        </w:rPr>
        <w:t>万元，完成年初预算的</w:t>
      </w:r>
      <w:r>
        <w:rPr>
          <w:rFonts w:hint="eastAsia" w:ascii="仿宋_GB2312" w:eastAsia="仿宋_GB2312"/>
          <w:szCs w:val="32"/>
          <w:lang w:val="en-US" w:eastAsia="zh-CN"/>
        </w:rPr>
        <w:t>63.45</w:t>
      </w:r>
      <w:r>
        <w:rPr>
          <w:rFonts w:hint="eastAsia" w:ascii="仿宋_GB2312" w:eastAsia="仿宋_GB2312"/>
          <w:szCs w:val="32"/>
        </w:rPr>
        <w:t xml:space="preserve">%， 决算数小于年初预算数的主要原因是 </w:t>
      </w:r>
      <w:r>
        <w:rPr>
          <w:rFonts w:hint="eastAsia" w:ascii="仿宋_GB2312" w:eastAsia="仿宋_GB2312"/>
          <w:szCs w:val="32"/>
          <w:lang w:val="en-US" w:eastAsia="zh-CN"/>
        </w:rPr>
        <w:t>2020年在合理安排收支运营的基础上，节约各项开支</w:t>
      </w:r>
      <w:r>
        <w:rPr>
          <w:rFonts w:hint="eastAsia" w:ascii="仿宋_GB2312" w:eastAsia="仿宋_GB2312"/>
          <w:szCs w:val="32"/>
        </w:rPr>
        <w:t>。其中：</w:t>
      </w:r>
    </w:p>
    <w:p>
      <w:pPr>
        <w:spacing w:line="580" w:lineRule="exact"/>
        <w:ind w:firstLine="640" w:firstLineChars="200"/>
        <w:rPr>
          <w:rFonts w:ascii="仿宋_GB2312" w:eastAsia="仿宋_GB2312"/>
          <w:szCs w:val="32"/>
        </w:rPr>
      </w:pPr>
      <w:r>
        <w:rPr>
          <w:rFonts w:hint="eastAsia" w:ascii="仿宋_GB2312" w:eastAsia="仿宋_GB2312"/>
          <w:szCs w:val="32"/>
        </w:rPr>
        <w:t>公务用车购置费支出</w:t>
      </w:r>
      <w:r>
        <w:rPr>
          <w:rFonts w:hint="eastAsia" w:ascii="仿宋_GB2312" w:eastAsia="仿宋_GB2312"/>
          <w:szCs w:val="32"/>
          <w:lang w:val="en-US" w:eastAsia="zh-CN"/>
        </w:rPr>
        <w:t>0</w:t>
      </w:r>
      <w:r>
        <w:rPr>
          <w:rFonts w:hint="eastAsia" w:ascii="仿宋_GB2312" w:eastAsia="仿宋_GB2312"/>
          <w:szCs w:val="32"/>
        </w:rPr>
        <w:t>万元，2020年</w:t>
      </w:r>
      <w:r>
        <w:rPr>
          <w:rFonts w:hint="eastAsia" w:ascii="仿宋_GB2312" w:eastAsia="仿宋_GB2312"/>
          <w:szCs w:val="32"/>
          <w:lang w:eastAsia="zh-CN"/>
        </w:rPr>
        <w:t>博山区绿色产业发展服务中心</w:t>
      </w:r>
      <w:r>
        <w:rPr>
          <w:rFonts w:hint="eastAsia" w:ascii="仿宋_GB2312" w:eastAsia="仿宋_GB2312"/>
          <w:szCs w:val="32"/>
        </w:rPr>
        <w:t>使用财政拨款购置公务用车</w:t>
      </w:r>
      <w:r>
        <w:rPr>
          <w:rFonts w:hint="eastAsia" w:ascii="仿宋_GB2312" w:eastAsia="仿宋_GB2312"/>
          <w:szCs w:val="32"/>
          <w:lang w:val="en-US" w:eastAsia="zh-CN"/>
        </w:rPr>
        <w:t>0</w:t>
      </w:r>
      <w:r>
        <w:rPr>
          <w:rFonts w:hint="eastAsia" w:ascii="仿宋_GB2312" w:eastAsia="仿宋_GB2312"/>
          <w:szCs w:val="32"/>
        </w:rPr>
        <w:t>辆。</w:t>
      </w:r>
    </w:p>
    <w:p>
      <w:pPr>
        <w:spacing w:line="580" w:lineRule="exact"/>
        <w:ind w:firstLine="640" w:firstLineChars="200"/>
        <w:rPr>
          <w:rFonts w:ascii="仿宋_GB2312" w:eastAsia="仿宋_GB2312"/>
          <w:szCs w:val="32"/>
        </w:rPr>
      </w:pPr>
      <w:r>
        <w:rPr>
          <w:rFonts w:hint="eastAsia" w:ascii="仿宋_GB2312" w:eastAsia="仿宋_GB2312"/>
          <w:szCs w:val="32"/>
        </w:rPr>
        <w:t>公务用车运行维护费</w:t>
      </w:r>
      <w:r>
        <w:rPr>
          <w:rFonts w:hint="eastAsia" w:ascii="仿宋_GB2312" w:eastAsia="仿宋_GB2312"/>
          <w:szCs w:val="32"/>
          <w:lang w:val="en-US" w:eastAsia="zh-CN"/>
        </w:rPr>
        <w:t>1.84</w:t>
      </w:r>
      <w:r>
        <w:rPr>
          <w:rFonts w:hint="eastAsia" w:ascii="仿宋_GB2312" w:eastAsia="仿宋_GB2312"/>
          <w:szCs w:val="32"/>
        </w:rPr>
        <w:t>万元，主要是按规定保留的公务用车的燃料费、维</w:t>
      </w:r>
      <w:r>
        <w:rPr>
          <w:rFonts w:hint="eastAsia" w:ascii="仿宋_GB2312" w:eastAsia="仿宋_GB2312"/>
          <w:szCs w:val="32"/>
          <w:highlight w:val="none"/>
        </w:rPr>
        <w:t>修费</w:t>
      </w:r>
      <w:r>
        <w:rPr>
          <w:rFonts w:hint="eastAsia" w:ascii="仿宋_GB2312" w:eastAsia="仿宋_GB2312"/>
          <w:szCs w:val="32"/>
          <w:highlight w:val="none"/>
          <w:lang w:eastAsia="zh-CN"/>
        </w:rPr>
        <w:t>、保险、过路过桥费</w:t>
      </w:r>
      <w:r>
        <w:rPr>
          <w:rFonts w:hint="eastAsia" w:ascii="仿宋_GB2312" w:eastAsia="仿宋_GB2312"/>
          <w:szCs w:val="32"/>
          <w:highlight w:val="none"/>
        </w:rPr>
        <w:t>等支</w:t>
      </w:r>
      <w:r>
        <w:rPr>
          <w:rFonts w:hint="eastAsia" w:ascii="仿宋_GB2312" w:eastAsia="仿宋_GB2312"/>
          <w:szCs w:val="32"/>
        </w:rPr>
        <w:t>出。截至2020年12月31日，</w:t>
      </w:r>
      <w:r>
        <w:rPr>
          <w:rFonts w:hint="eastAsia" w:ascii="仿宋_GB2312" w:eastAsia="仿宋_GB2312"/>
          <w:szCs w:val="32"/>
          <w:lang w:eastAsia="zh-CN"/>
        </w:rPr>
        <w:t>博山区绿色产业发展服务中心</w:t>
      </w:r>
      <w:r>
        <w:rPr>
          <w:rFonts w:hint="eastAsia" w:ascii="仿宋_GB2312" w:eastAsia="仿宋_GB2312"/>
          <w:szCs w:val="32"/>
        </w:rPr>
        <w:t>财政拨款开支运行维护费的公务用车保有量为</w:t>
      </w:r>
      <w:r>
        <w:rPr>
          <w:rFonts w:hint="eastAsia" w:ascii="仿宋_GB2312" w:eastAsia="仿宋_GB2312"/>
          <w:szCs w:val="32"/>
          <w:lang w:val="en-US" w:eastAsia="zh-CN"/>
        </w:rPr>
        <w:t>1</w:t>
      </w:r>
      <w:r>
        <w:rPr>
          <w:rFonts w:hint="eastAsia" w:ascii="仿宋_GB2312" w:eastAsia="仿宋_GB2312"/>
          <w:szCs w:val="32"/>
        </w:rPr>
        <w:t>辆。</w:t>
      </w:r>
    </w:p>
    <w:p>
      <w:pPr>
        <w:spacing w:line="580" w:lineRule="exact"/>
        <w:ind w:firstLine="640" w:firstLineChars="200"/>
        <w:rPr>
          <w:rFonts w:ascii="仿宋_GB2312" w:eastAsia="仿宋_GB2312"/>
          <w:szCs w:val="32"/>
        </w:rPr>
      </w:pPr>
      <w:r>
        <w:rPr>
          <w:rFonts w:hint="eastAsia" w:ascii="仿宋_GB2312" w:eastAsia="仿宋_GB2312"/>
          <w:szCs w:val="32"/>
        </w:rPr>
        <w:t>3、公务接待费年初预算为</w:t>
      </w:r>
      <w:r>
        <w:rPr>
          <w:rFonts w:hint="eastAsia" w:ascii="仿宋_GB2312" w:eastAsia="仿宋_GB2312"/>
          <w:szCs w:val="32"/>
          <w:lang w:val="en-US" w:eastAsia="zh-CN"/>
        </w:rPr>
        <w:t>0.6</w:t>
      </w:r>
      <w:r>
        <w:rPr>
          <w:rFonts w:hint="eastAsia" w:ascii="仿宋_GB2312" w:eastAsia="仿宋_GB2312"/>
          <w:szCs w:val="32"/>
        </w:rPr>
        <w:t>万元，支出决算为</w:t>
      </w:r>
      <w:r>
        <w:rPr>
          <w:rFonts w:hint="eastAsia" w:ascii="仿宋_GB2312" w:eastAsia="仿宋_GB2312"/>
          <w:szCs w:val="32"/>
          <w:lang w:val="en-US" w:eastAsia="zh-CN"/>
        </w:rPr>
        <w:t>0</w:t>
      </w:r>
      <w:r>
        <w:rPr>
          <w:rFonts w:hint="eastAsia" w:ascii="仿宋_GB2312" w:eastAsia="仿宋_GB2312"/>
          <w:szCs w:val="32"/>
        </w:rPr>
        <w:t>万元，比年初预算增加减少</w:t>
      </w:r>
      <w:r>
        <w:rPr>
          <w:rFonts w:hint="eastAsia" w:ascii="仿宋_GB2312" w:eastAsia="仿宋_GB2312"/>
          <w:szCs w:val="32"/>
          <w:lang w:val="en-US" w:eastAsia="zh-CN"/>
        </w:rPr>
        <w:t>0.6</w:t>
      </w:r>
      <w:r>
        <w:rPr>
          <w:rFonts w:hint="eastAsia" w:ascii="仿宋_GB2312" w:eastAsia="仿宋_GB2312"/>
          <w:szCs w:val="32"/>
        </w:rPr>
        <w:t>万元，完成年初预算的</w:t>
      </w:r>
      <w:r>
        <w:rPr>
          <w:rFonts w:hint="eastAsia" w:ascii="仿宋_GB2312" w:eastAsia="仿宋_GB2312"/>
          <w:szCs w:val="32"/>
          <w:lang w:val="en-US" w:eastAsia="zh-CN"/>
        </w:rPr>
        <w:t>0</w:t>
      </w:r>
      <w:r>
        <w:rPr>
          <w:rFonts w:hint="eastAsia" w:ascii="仿宋_GB2312" w:eastAsia="仿宋_GB2312"/>
          <w:szCs w:val="32"/>
        </w:rPr>
        <w:t xml:space="preserve">%， 决算数小于年初预算数的主要原因是 </w:t>
      </w:r>
      <w:r>
        <w:rPr>
          <w:rFonts w:hint="eastAsia" w:ascii="仿宋_GB2312" w:eastAsia="仿宋_GB2312"/>
          <w:szCs w:val="32"/>
          <w:lang w:val="en-US" w:eastAsia="zh-CN"/>
        </w:rPr>
        <w:t>2020年本单位无公务接待安排，故没发生费用。</w:t>
      </w:r>
      <w:r>
        <w:rPr>
          <w:rFonts w:hint="eastAsia" w:ascii="仿宋_GB2312" w:eastAsia="仿宋_GB2312"/>
          <w:szCs w:val="32"/>
        </w:rPr>
        <w:t>其中：</w:t>
      </w:r>
    </w:p>
    <w:p>
      <w:pPr>
        <w:spacing w:line="580" w:lineRule="exact"/>
        <w:ind w:firstLine="640" w:firstLineChars="200"/>
        <w:rPr>
          <w:rFonts w:ascii="仿宋_GB2312" w:eastAsia="仿宋_GB2312"/>
          <w:szCs w:val="32"/>
        </w:rPr>
      </w:pPr>
      <w:r>
        <w:rPr>
          <w:rFonts w:hint="eastAsia" w:ascii="仿宋_GB2312" w:eastAsia="仿宋_GB2312"/>
          <w:szCs w:val="32"/>
        </w:rPr>
        <w:t>国内接待费</w:t>
      </w:r>
      <w:r>
        <w:rPr>
          <w:rFonts w:hint="eastAsia" w:ascii="仿宋_GB2312" w:eastAsia="仿宋_GB2312"/>
          <w:szCs w:val="32"/>
          <w:lang w:val="en-US" w:eastAsia="zh-CN"/>
        </w:rPr>
        <w:t>0</w:t>
      </w:r>
      <w:r>
        <w:rPr>
          <w:rFonts w:hint="eastAsia" w:ascii="仿宋_GB2312" w:eastAsia="仿宋_GB2312"/>
          <w:szCs w:val="32"/>
        </w:rPr>
        <w:t>万元，共计接待</w:t>
      </w:r>
      <w:r>
        <w:rPr>
          <w:rFonts w:hint="eastAsia" w:ascii="仿宋_GB2312" w:eastAsia="仿宋_GB2312"/>
          <w:szCs w:val="32"/>
          <w:lang w:val="en-US" w:eastAsia="zh-CN"/>
        </w:rPr>
        <w:t>0</w:t>
      </w:r>
      <w:r>
        <w:rPr>
          <w:rFonts w:hint="eastAsia" w:ascii="仿宋_GB2312" w:eastAsia="仿宋_GB2312"/>
          <w:szCs w:val="32"/>
        </w:rPr>
        <w:t>批次、</w:t>
      </w:r>
      <w:r>
        <w:rPr>
          <w:rFonts w:hint="eastAsia" w:ascii="仿宋_GB2312" w:eastAsia="仿宋_GB2312"/>
          <w:szCs w:val="32"/>
          <w:lang w:val="en-US" w:eastAsia="zh-CN"/>
        </w:rPr>
        <w:t>0</w:t>
      </w:r>
      <w:r>
        <w:rPr>
          <w:rFonts w:hint="eastAsia" w:ascii="仿宋_GB2312" w:eastAsia="仿宋_GB2312"/>
          <w:szCs w:val="32"/>
        </w:rPr>
        <w:t>人次（含外事接待</w:t>
      </w:r>
      <w:r>
        <w:rPr>
          <w:rFonts w:hint="eastAsia" w:ascii="仿宋_GB2312" w:eastAsia="仿宋_GB2312"/>
          <w:szCs w:val="32"/>
          <w:lang w:val="en-US" w:eastAsia="zh-CN"/>
        </w:rPr>
        <w:t>0</w:t>
      </w:r>
      <w:r>
        <w:rPr>
          <w:rFonts w:hint="eastAsia" w:ascii="仿宋_GB2312" w:eastAsia="仿宋_GB2312"/>
          <w:szCs w:val="32"/>
        </w:rPr>
        <w:t>批次、</w:t>
      </w:r>
      <w:r>
        <w:rPr>
          <w:rFonts w:hint="eastAsia" w:ascii="仿宋_GB2312" w:eastAsia="仿宋_GB2312"/>
          <w:szCs w:val="32"/>
          <w:lang w:val="en-US" w:eastAsia="zh-CN"/>
        </w:rPr>
        <w:t>0</w:t>
      </w:r>
      <w:r>
        <w:rPr>
          <w:rFonts w:hint="eastAsia" w:ascii="仿宋_GB2312" w:eastAsia="仿宋_GB2312"/>
          <w:szCs w:val="32"/>
        </w:rPr>
        <w:t>人次）；</w:t>
      </w:r>
    </w:p>
    <w:p>
      <w:pPr>
        <w:spacing w:line="580" w:lineRule="exact"/>
        <w:ind w:firstLine="640" w:firstLineChars="200"/>
        <w:rPr>
          <w:rFonts w:hint="eastAsia" w:ascii="黑体" w:hAnsi="黑体" w:eastAsia="黑体"/>
          <w:szCs w:val="32"/>
        </w:rPr>
      </w:pPr>
      <w:r>
        <w:rPr>
          <w:rFonts w:hint="eastAsia" w:ascii="仿宋_GB2312" w:eastAsia="仿宋_GB2312"/>
          <w:szCs w:val="32"/>
        </w:rPr>
        <w:t>国（境）外接待费</w:t>
      </w:r>
      <w:r>
        <w:rPr>
          <w:rFonts w:hint="eastAsia" w:ascii="仿宋_GB2312" w:eastAsia="仿宋_GB2312"/>
          <w:szCs w:val="32"/>
          <w:lang w:val="en-US" w:eastAsia="zh-CN"/>
        </w:rPr>
        <w:t>0</w:t>
      </w:r>
      <w:r>
        <w:rPr>
          <w:rFonts w:hint="eastAsia" w:ascii="仿宋_GB2312" w:eastAsia="仿宋_GB2312"/>
          <w:szCs w:val="32"/>
        </w:rPr>
        <w:t>万元，共计接待</w:t>
      </w:r>
      <w:r>
        <w:rPr>
          <w:rFonts w:hint="eastAsia" w:ascii="仿宋_GB2312" w:eastAsia="仿宋_GB2312"/>
          <w:szCs w:val="32"/>
          <w:lang w:val="en-US" w:eastAsia="zh-CN"/>
        </w:rPr>
        <w:t>0</w:t>
      </w:r>
      <w:r>
        <w:rPr>
          <w:rFonts w:hint="eastAsia" w:ascii="仿宋_GB2312" w:eastAsia="仿宋_GB2312"/>
          <w:szCs w:val="32"/>
        </w:rPr>
        <w:t>批次、</w:t>
      </w:r>
      <w:r>
        <w:rPr>
          <w:rFonts w:hint="eastAsia" w:ascii="仿宋_GB2312" w:eastAsia="仿宋_GB2312"/>
          <w:szCs w:val="32"/>
          <w:lang w:val="en-US" w:eastAsia="zh-CN"/>
        </w:rPr>
        <w:t>0</w:t>
      </w:r>
      <w:r>
        <w:rPr>
          <w:rFonts w:hint="eastAsia" w:ascii="仿宋_GB2312" w:eastAsia="仿宋_GB2312"/>
          <w:szCs w:val="32"/>
        </w:rPr>
        <w:t>人次。</w:t>
      </w:r>
    </w:p>
    <w:p>
      <w:pPr>
        <w:spacing w:line="580" w:lineRule="exact"/>
        <w:ind w:firstLine="640" w:firstLineChars="200"/>
        <w:rPr>
          <w:rFonts w:ascii="黑体" w:hAnsi="黑体" w:eastAsia="黑体"/>
          <w:szCs w:val="32"/>
        </w:rPr>
      </w:pPr>
      <w:r>
        <w:rPr>
          <w:rFonts w:hint="eastAsia" w:ascii="黑体" w:hAnsi="黑体" w:eastAsia="黑体"/>
          <w:szCs w:val="32"/>
        </w:rPr>
        <w:t>八、政府性基金预算财政拨款收入支出决算情况说明</w:t>
      </w:r>
    </w:p>
    <w:p>
      <w:pPr>
        <w:spacing w:line="580" w:lineRule="exact"/>
        <w:ind w:firstLine="640" w:firstLineChars="200"/>
        <w:rPr>
          <w:rFonts w:hint="eastAsia" w:ascii="仿宋_GB2312" w:eastAsia="仿宋_GB2312"/>
          <w:szCs w:val="32"/>
        </w:rPr>
      </w:pPr>
      <w:r>
        <w:rPr>
          <w:rFonts w:hint="eastAsia" w:ascii="仿宋_GB2312" w:eastAsia="仿宋_GB2312"/>
          <w:szCs w:val="32"/>
        </w:rPr>
        <w:t>本单位没有政府性基金财政拨款收支</w:t>
      </w:r>
    </w:p>
    <w:p>
      <w:pPr>
        <w:spacing w:line="580" w:lineRule="exact"/>
        <w:ind w:firstLine="640" w:firstLineChars="200"/>
        <w:rPr>
          <w:rFonts w:ascii="黑体" w:hAnsi="黑体" w:eastAsia="黑体"/>
          <w:szCs w:val="32"/>
        </w:rPr>
      </w:pPr>
      <w:r>
        <w:rPr>
          <w:rFonts w:hint="eastAsia" w:ascii="黑体" w:hAnsi="黑体" w:eastAsia="黑体"/>
          <w:szCs w:val="32"/>
        </w:rPr>
        <w:t>九、国有资本经营预算财政拨款支出决算情况说明</w:t>
      </w:r>
    </w:p>
    <w:p>
      <w:pPr>
        <w:spacing w:line="580" w:lineRule="exact"/>
        <w:ind w:firstLine="640" w:firstLineChars="200"/>
        <w:rPr>
          <w:rFonts w:hint="eastAsia" w:ascii="仿宋_GB2312" w:eastAsia="仿宋_GB2312"/>
          <w:b/>
          <w:szCs w:val="32"/>
          <w:highlight w:val="yellow"/>
        </w:rPr>
      </w:pPr>
      <w:r>
        <w:rPr>
          <w:rFonts w:hint="eastAsia" w:ascii="仿宋_GB2312" w:eastAsia="仿宋_GB2312"/>
          <w:szCs w:val="32"/>
        </w:rPr>
        <w:t>2020年度国有资本经营预算财政拨款支出年初预算为</w:t>
      </w:r>
      <w:r>
        <w:rPr>
          <w:rFonts w:hint="eastAsia" w:ascii="仿宋_GB2312" w:eastAsia="仿宋_GB2312"/>
          <w:szCs w:val="32"/>
          <w:lang w:val="en-US" w:eastAsia="zh-CN"/>
        </w:rPr>
        <w:t>0</w:t>
      </w:r>
      <w:r>
        <w:rPr>
          <w:rFonts w:hint="eastAsia" w:ascii="仿宋_GB2312" w:eastAsia="仿宋_GB2312"/>
          <w:szCs w:val="32"/>
        </w:rPr>
        <w:t>万元，支出决算为</w:t>
      </w:r>
      <w:r>
        <w:rPr>
          <w:rFonts w:hint="eastAsia" w:ascii="仿宋_GB2312" w:eastAsia="仿宋_GB2312"/>
          <w:szCs w:val="32"/>
          <w:lang w:val="en-US" w:eastAsia="zh-CN"/>
        </w:rPr>
        <w:t>0</w:t>
      </w:r>
      <w:r>
        <w:rPr>
          <w:rFonts w:hint="eastAsia" w:ascii="仿宋_GB2312" w:eastAsia="仿宋_GB2312"/>
          <w:szCs w:val="32"/>
        </w:rPr>
        <w:t>万元，完成年初预算的</w:t>
      </w:r>
      <w:r>
        <w:rPr>
          <w:rFonts w:hint="eastAsia" w:ascii="仿宋_GB2312" w:eastAsia="仿宋_GB2312"/>
          <w:szCs w:val="32"/>
          <w:lang w:val="en-US" w:eastAsia="zh-CN"/>
        </w:rPr>
        <w:t>0</w:t>
      </w:r>
      <w:r>
        <w:rPr>
          <w:rFonts w:hint="eastAsia" w:ascii="仿宋_GB2312" w:eastAsia="仿宋_GB2312"/>
          <w:szCs w:val="32"/>
        </w:rPr>
        <w:t>%。</w:t>
      </w:r>
    </w:p>
    <w:p>
      <w:pPr>
        <w:spacing w:line="580" w:lineRule="exact"/>
        <w:ind w:firstLine="640" w:firstLineChars="200"/>
        <w:rPr>
          <w:rFonts w:ascii="黑体" w:hAnsi="黑体" w:eastAsia="黑体"/>
          <w:szCs w:val="32"/>
        </w:rPr>
      </w:pPr>
      <w:r>
        <w:rPr>
          <w:rFonts w:hint="eastAsia" w:ascii="黑体" w:hAnsi="黑体" w:eastAsia="黑体"/>
          <w:szCs w:val="32"/>
        </w:rPr>
        <w:t xml:space="preserve">十、其他重要事项情况说明 </w:t>
      </w:r>
    </w:p>
    <w:p>
      <w:pPr>
        <w:spacing w:line="580" w:lineRule="exact"/>
        <w:ind w:firstLine="640" w:firstLineChars="200"/>
        <w:rPr>
          <w:rFonts w:ascii="楷体_GB2312" w:eastAsia="楷体_GB2312"/>
          <w:szCs w:val="32"/>
        </w:rPr>
      </w:pPr>
      <w:r>
        <w:rPr>
          <w:rFonts w:hint="eastAsia" w:ascii="楷体_GB2312" w:eastAsia="楷体_GB2312"/>
          <w:szCs w:val="32"/>
        </w:rPr>
        <w:t>（一）机关运行经费支出情况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本单位无一般公共预算安排的机关运行经费支出。</w:t>
      </w:r>
    </w:p>
    <w:p>
      <w:pPr>
        <w:spacing w:line="580" w:lineRule="exact"/>
        <w:ind w:firstLine="640" w:firstLineChars="200"/>
        <w:rPr>
          <w:rFonts w:ascii="楷体_GB2312" w:eastAsia="楷体_GB2312"/>
          <w:szCs w:val="32"/>
        </w:rPr>
      </w:pPr>
      <w:r>
        <w:rPr>
          <w:rFonts w:hint="eastAsia" w:ascii="楷体_GB2312" w:eastAsia="楷体_GB2312"/>
          <w:szCs w:val="32"/>
        </w:rPr>
        <w:t>（二）政府采购支出情况</w:t>
      </w:r>
    </w:p>
    <w:p>
      <w:pPr>
        <w:autoSpaceDE w:val="0"/>
        <w:autoSpaceDN w:val="0"/>
        <w:adjustRightInd w:val="0"/>
        <w:ind w:left="202" w:leftChars="63" w:firstLine="640" w:firstLineChars="200"/>
        <w:jc w:val="left"/>
        <w:rPr>
          <w:rFonts w:ascii="仿宋_GB2312" w:hAnsi="宋体" w:eastAsia="仿宋_GB2312" w:cs="Courier New"/>
          <w:szCs w:val="32"/>
        </w:rPr>
      </w:pPr>
      <w:r>
        <w:rPr>
          <w:rFonts w:hint="eastAsia" w:ascii="仿宋_GB2312" w:hAnsi="宋体" w:eastAsia="仿宋_GB2312" w:cs="Courier New"/>
          <w:szCs w:val="32"/>
        </w:rPr>
        <w:t>2020年度政府采购支出总额</w:t>
      </w:r>
      <w:r>
        <w:rPr>
          <w:rFonts w:hint="eastAsia" w:ascii="仿宋_GB2312" w:hAnsi="宋体" w:eastAsia="仿宋_GB2312" w:cs="Courier New"/>
          <w:szCs w:val="32"/>
          <w:lang w:val="en-US" w:eastAsia="zh-CN"/>
        </w:rPr>
        <w:t>0</w:t>
      </w:r>
      <w:r>
        <w:rPr>
          <w:rFonts w:hint="eastAsia" w:ascii="仿宋_GB2312" w:hAnsi="宋体" w:eastAsia="仿宋_GB2312" w:cs="Courier New"/>
          <w:szCs w:val="32"/>
        </w:rPr>
        <w:t>万元，其中：政府采购货物支出</w:t>
      </w:r>
      <w:r>
        <w:rPr>
          <w:rFonts w:hint="eastAsia" w:ascii="仿宋_GB2312" w:hAnsi="宋体" w:eastAsia="仿宋_GB2312" w:cs="Courier New"/>
          <w:szCs w:val="32"/>
          <w:lang w:val="en-US" w:eastAsia="zh-CN"/>
        </w:rPr>
        <w:t>0</w:t>
      </w:r>
      <w:r>
        <w:rPr>
          <w:rFonts w:hint="eastAsia" w:ascii="仿宋_GB2312" w:hAnsi="宋体" w:eastAsia="仿宋_GB2312" w:cs="Courier New"/>
          <w:szCs w:val="32"/>
        </w:rPr>
        <w:t>万元、政府采购工程支出</w:t>
      </w:r>
      <w:r>
        <w:rPr>
          <w:rFonts w:hint="eastAsia" w:ascii="仿宋_GB2312" w:hAnsi="宋体" w:eastAsia="仿宋_GB2312" w:cs="Courier New"/>
          <w:szCs w:val="32"/>
          <w:lang w:val="en-US" w:eastAsia="zh-CN"/>
        </w:rPr>
        <w:t>0</w:t>
      </w:r>
      <w:r>
        <w:rPr>
          <w:rFonts w:hint="eastAsia" w:ascii="仿宋_GB2312" w:hAnsi="宋体" w:eastAsia="仿宋_GB2312" w:cs="Courier New"/>
          <w:szCs w:val="32"/>
        </w:rPr>
        <w:t xml:space="preserve">万元、政府采购服务支出 </w:t>
      </w:r>
      <w:r>
        <w:rPr>
          <w:rFonts w:hint="eastAsia" w:ascii="仿宋_GB2312" w:hAnsi="宋体" w:eastAsia="仿宋_GB2312" w:cs="Courier New"/>
          <w:szCs w:val="32"/>
          <w:lang w:val="en-US" w:eastAsia="zh-CN"/>
        </w:rPr>
        <w:t>0</w:t>
      </w:r>
      <w:r>
        <w:rPr>
          <w:rFonts w:hint="eastAsia" w:ascii="仿宋_GB2312" w:hAnsi="宋体" w:eastAsia="仿宋_GB2312" w:cs="Courier New"/>
          <w:szCs w:val="32"/>
        </w:rPr>
        <w:t>万元。授予中小企业合同金额</w:t>
      </w:r>
      <w:r>
        <w:rPr>
          <w:rFonts w:hint="eastAsia" w:ascii="仿宋_GB2312" w:hAnsi="宋体" w:eastAsia="仿宋_GB2312" w:cs="Courier New"/>
          <w:szCs w:val="32"/>
          <w:lang w:val="en-US" w:eastAsia="zh-CN"/>
        </w:rPr>
        <w:t>0</w:t>
      </w:r>
      <w:r>
        <w:rPr>
          <w:rFonts w:hint="eastAsia" w:ascii="仿宋_GB2312" w:hAnsi="宋体" w:eastAsia="仿宋_GB2312" w:cs="Courier New"/>
          <w:szCs w:val="32"/>
        </w:rPr>
        <w:t>万元，其中：授予小微企业合同金额</w:t>
      </w:r>
      <w:r>
        <w:rPr>
          <w:rFonts w:hint="eastAsia" w:ascii="仿宋_GB2312" w:hAnsi="宋体" w:eastAsia="仿宋_GB2312" w:cs="Courier New"/>
          <w:szCs w:val="32"/>
          <w:lang w:val="en-US" w:eastAsia="zh-CN"/>
        </w:rPr>
        <w:t>0</w:t>
      </w:r>
      <w:r>
        <w:rPr>
          <w:rFonts w:hint="eastAsia" w:ascii="仿宋_GB2312" w:hAnsi="宋体" w:eastAsia="仿宋_GB2312" w:cs="Courier New"/>
          <w:szCs w:val="32"/>
        </w:rPr>
        <w:t>万元。</w:t>
      </w:r>
    </w:p>
    <w:p>
      <w:pPr>
        <w:spacing w:line="580" w:lineRule="exact"/>
        <w:ind w:firstLine="640" w:firstLineChars="200"/>
        <w:rPr>
          <w:rFonts w:ascii="楷体_GB2312" w:eastAsia="楷体_GB2312"/>
          <w:szCs w:val="32"/>
          <w:highlight w:val="yellow"/>
        </w:rPr>
      </w:pPr>
      <w:r>
        <w:rPr>
          <w:rFonts w:hint="eastAsia" w:ascii="楷体_GB2312" w:eastAsia="楷体_GB2312"/>
          <w:szCs w:val="32"/>
        </w:rPr>
        <w:t>（三）国有资产占用情况</w:t>
      </w:r>
    </w:p>
    <w:p>
      <w:pPr>
        <w:spacing w:line="580" w:lineRule="exact"/>
        <w:ind w:firstLine="640" w:firstLineChars="200"/>
        <w:rPr>
          <w:rFonts w:ascii="仿宋_GB2312" w:eastAsia="仿宋_GB2312"/>
          <w:szCs w:val="32"/>
        </w:rPr>
      </w:pPr>
      <w:r>
        <w:rPr>
          <w:rFonts w:hint="eastAsia" w:ascii="仿宋_GB2312" w:eastAsia="仿宋_GB2312"/>
          <w:szCs w:val="32"/>
        </w:rPr>
        <w:t>截至2020年12月31日，本</w:t>
      </w:r>
      <w:r>
        <w:rPr>
          <w:rFonts w:hint="eastAsia" w:ascii="仿宋_GB2312" w:eastAsia="仿宋_GB2312"/>
          <w:szCs w:val="32"/>
          <w:lang w:eastAsia="zh-CN"/>
        </w:rPr>
        <w:t>单位</w:t>
      </w:r>
      <w:r>
        <w:rPr>
          <w:rFonts w:hint="eastAsia" w:ascii="仿宋_GB2312" w:eastAsia="仿宋_GB2312"/>
          <w:szCs w:val="32"/>
        </w:rPr>
        <w:t>共有车辆</w:t>
      </w:r>
      <w:r>
        <w:rPr>
          <w:rFonts w:hint="eastAsia" w:ascii="仿宋_GB2312" w:eastAsia="仿宋_GB2312"/>
          <w:szCs w:val="32"/>
          <w:lang w:val="en-US" w:eastAsia="zh-CN"/>
        </w:rPr>
        <w:t>1</w:t>
      </w:r>
      <w:r>
        <w:rPr>
          <w:rFonts w:hint="eastAsia" w:ascii="仿宋_GB2312" w:eastAsia="仿宋_GB2312"/>
          <w:szCs w:val="32"/>
        </w:rPr>
        <w:t>辆，其中，符合规定领导干部用车</w:t>
      </w:r>
      <w:r>
        <w:rPr>
          <w:rFonts w:hint="eastAsia" w:ascii="仿宋_GB2312" w:eastAsia="仿宋_GB2312"/>
          <w:szCs w:val="32"/>
          <w:lang w:val="en-US" w:eastAsia="zh-CN"/>
        </w:rPr>
        <w:t>0</w:t>
      </w:r>
      <w:r>
        <w:rPr>
          <w:rFonts w:hint="eastAsia" w:ascii="仿宋_GB2312" w:eastAsia="仿宋_GB2312"/>
          <w:szCs w:val="32"/>
        </w:rPr>
        <w:t>辆、机要通信用车</w:t>
      </w:r>
      <w:r>
        <w:rPr>
          <w:rFonts w:hint="eastAsia" w:ascii="仿宋_GB2312" w:eastAsia="仿宋_GB2312"/>
          <w:szCs w:val="32"/>
          <w:lang w:val="en-US" w:eastAsia="zh-CN"/>
        </w:rPr>
        <w:t>0</w:t>
      </w:r>
      <w:r>
        <w:rPr>
          <w:rFonts w:hint="eastAsia" w:ascii="仿宋_GB2312" w:eastAsia="仿宋_GB2312"/>
          <w:szCs w:val="32"/>
        </w:rPr>
        <w:t>辆、应急保障用车</w:t>
      </w:r>
      <w:r>
        <w:rPr>
          <w:rFonts w:hint="eastAsia" w:ascii="仿宋_GB2312" w:eastAsia="仿宋_GB2312"/>
          <w:szCs w:val="32"/>
          <w:lang w:val="en-US" w:eastAsia="zh-CN"/>
        </w:rPr>
        <w:t>0</w:t>
      </w:r>
      <w:r>
        <w:rPr>
          <w:rFonts w:hint="eastAsia" w:ascii="仿宋_GB2312" w:eastAsia="仿宋_GB2312"/>
          <w:szCs w:val="32"/>
        </w:rPr>
        <w:t>辆、执法执勤用车</w:t>
      </w:r>
      <w:r>
        <w:rPr>
          <w:rFonts w:hint="eastAsia" w:ascii="仿宋_GB2312" w:eastAsia="仿宋_GB2312"/>
          <w:szCs w:val="32"/>
          <w:lang w:val="en-US" w:eastAsia="zh-CN"/>
        </w:rPr>
        <w:t>0</w:t>
      </w:r>
      <w:r>
        <w:rPr>
          <w:rFonts w:hint="eastAsia" w:ascii="仿宋_GB2312" w:eastAsia="仿宋_GB2312"/>
          <w:szCs w:val="32"/>
        </w:rPr>
        <w:t>辆、特种专业技术用车</w:t>
      </w:r>
      <w:r>
        <w:rPr>
          <w:rFonts w:hint="eastAsia" w:ascii="仿宋_GB2312" w:eastAsia="仿宋_GB2312"/>
          <w:szCs w:val="32"/>
          <w:lang w:val="en-US" w:eastAsia="zh-CN"/>
        </w:rPr>
        <w:t>0</w:t>
      </w:r>
      <w:r>
        <w:rPr>
          <w:rFonts w:hint="eastAsia" w:ascii="仿宋_GB2312" w:eastAsia="仿宋_GB2312"/>
          <w:szCs w:val="32"/>
        </w:rPr>
        <w:t>辆、离退休干部用车</w:t>
      </w:r>
      <w:r>
        <w:rPr>
          <w:rFonts w:hint="eastAsia" w:ascii="仿宋_GB2312" w:eastAsia="仿宋_GB2312"/>
          <w:szCs w:val="32"/>
          <w:lang w:val="en-US" w:eastAsia="zh-CN"/>
        </w:rPr>
        <w:t>0</w:t>
      </w:r>
      <w:r>
        <w:rPr>
          <w:rFonts w:hint="eastAsia" w:ascii="仿宋_GB2312" w:eastAsia="仿宋_GB2312"/>
          <w:szCs w:val="32"/>
        </w:rPr>
        <w:t>辆、其他用车</w:t>
      </w:r>
      <w:r>
        <w:rPr>
          <w:rFonts w:hint="eastAsia" w:ascii="仿宋_GB2312" w:eastAsia="仿宋_GB2312"/>
          <w:szCs w:val="32"/>
          <w:lang w:val="en-US" w:eastAsia="zh-CN"/>
        </w:rPr>
        <w:t>1</w:t>
      </w:r>
      <w:r>
        <w:rPr>
          <w:rFonts w:hint="eastAsia" w:ascii="仿宋_GB2312" w:eastAsia="仿宋_GB2312"/>
          <w:szCs w:val="32"/>
        </w:rPr>
        <w:t>辆，其他用车主要是</w:t>
      </w:r>
      <w:r>
        <w:rPr>
          <w:rFonts w:hint="eastAsia" w:ascii="仿宋_GB2312" w:eastAsia="仿宋_GB2312"/>
          <w:szCs w:val="32"/>
          <w:lang w:eastAsia="zh-CN"/>
        </w:rPr>
        <w:t>到企业安全检查，督导，调研，走访等</w:t>
      </w:r>
      <w:r>
        <w:rPr>
          <w:rFonts w:hint="eastAsia" w:ascii="仿宋_GB2312" w:eastAsia="仿宋_GB2312"/>
          <w:szCs w:val="32"/>
        </w:rPr>
        <w:t>；单位价值50万元以上通用设备</w:t>
      </w:r>
      <w:r>
        <w:rPr>
          <w:rFonts w:hint="eastAsia" w:ascii="仿宋_GB2312" w:eastAsia="仿宋_GB2312"/>
          <w:szCs w:val="32"/>
          <w:lang w:val="en-US" w:eastAsia="zh-CN"/>
        </w:rPr>
        <w:t>0</w:t>
      </w:r>
      <w:r>
        <w:rPr>
          <w:rFonts w:hint="eastAsia" w:ascii="仿宋_GB2312" w:eastAsia="仿宋_GB2312"/>
          <w:szCs w:val="32"/>
        </w:rPr>
        <w:t>台（套；单位价值100万元以上专用设备</w:t>
      </w:r>
      <w:r>
        <w:rPr>
          <w:rFonts w:hint="eastAsia" w:ascii="仿宋_GB2312" w:eastAsia="仿宋_GB2312"/>
          <w:szCs w:val="32"/>
          <w:lang w:val="en-US" w:eastAsia="zh-CN"/>
        </w:rPr>
        <w:t>0</w:t>
      </w:r>
      <w:r>
        <w:rPr>
          <w:rFonts w:hint="eastAsia" w:ascii="仿宋_GB2312" w:eastAsia="仿宋_GB2312"/>
          <w:szCs w:val="32"/>
        </w:rPr>
        <w:t>台（套）。</w:t>
      </w:r>
    </w:p>
    <w:p>
      <w:pPr>
        <w:spacing w:line="580" w:lineRule="exact"/>
        <w:rPr>
          <w:rFonts w:hint="eastAsia" w:ascii="黑体" w:hAnsi="黑体" w:eastAsia="黑体"/>
          <w:szCs w:val="32"/>
        </w:rPr>
      </w:pPr>
    </w:p>
    <w:p>
      <w:pPr>
        <w:spacing w:line="580" w:lineRule="exact"/>
        <w:ind w:firstLine="640" w:firstLineChars="200"/>
        <w:rPr>
          <w:rFonts w:ascii="黑体" w:hAnsi="黑体" w:eastAsia="黑体"/>
          <w:szCs w:val="32"/>
        </w:rPr>
      </w:pPr>
      <w:r>
        <w:rPr>
          <w:rFonts w:hint="eastAsia" w:ascii="黑体" w:hAnsi="黑体" w:eastAsia="黑体"/>
          <w:szCs w:val="32"/>
        </w:rPr>
        <w:t>十一、预算绩效情况说明</w:t>
      </w:r>
    </w:p>
    <w:p>
      <w:pPr>
        <w:spacing w:line="580" w:lineRule="exact"/>
        <w:ind w:firstLine="640" w:firstLineChars="200"/>
        <w:rPr>
          <w:rFonts w:hint="eastAsia" w:ascii="仿宋_GB2312" w:eastAsia="仿宋_GB2312"/>
          <w:b w:val="0"/>
          <w:bCs/>
          <w:kern w:val="0"/>
          <w:szCs w:val="32"/>
          <w:highlight w:val="none"/>
          <w:u w:color="FFFFFF" w:themeColor="background1"/>
          <w:lang w:eastAsia="zh-CN"/>
        </w:rPr>
      </w:pPr>
      <w:r>
        <w:rPr>
          <w:rFonts w:hint="eastAsia" w:ascii="仿宋_GB2312" w:eastAsia="仿宋_GB2312"/>
          <w:b w:val="0"/>
          <w:bCs/>
          <w:szCs w:val="32"/>
          <w:highlight w:val="none"/>
          <w:u w:val="single" w:color="FFFFFF" w:themeColor="background1"/>
        </w:rPr>
        <w:t>本单位未开展绩效自评工作</w:t>
      </w:r>
      <w:r>
        <w:rPr>
          <w:rFonts w:hint="eastAsia" w:ascii="仿宋_GB2312" w:eastAsia="仿宋_GB2312"/>
          <w:b w:val="0"/>
          <w:bCs/>
          <w:szCs w:val="32"/>
          <w:highlight w:val="none"/>
          <w:u w:val="single" w:color="FFFFFF" w:themeColor="background1"/>
          <w:lang w:eastAsia="zh-CN"/>
        </w:rPr>
        <w:t>。</w:t>
      </w: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第四部分</w:t>
      </w: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名词解释</w:t>
      </w: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rPr>
          <w:rFonts w:ascii="黑体" w:hAnsi="黑体" w:eastAsia="黑体"/>
          <w:color w:val="000000"/>
          <w:szCs w:val="32"/>
        </w:rPr>
      </w:pPr>
    </w:p>
    <w:p>
      <w:pPr>
        <w:spacing w:line="580" w:lineRule="exact"/>
        <w:ind w:firstLine="640" w:firstLineChars="200"/>
        <w:rPr>
          <w:rFonts w:ascii="仿宋_GB2312" w:eastAsia="仿宋_GB2312"/>
          <w:szCs w:val="32"/>
        </w:rPr>
      </w:pPr>
      <w:r>
        <w:rPr>
          <w:rFonts w:hint="eastAsia" w:ascii="黑体" w:hAnsi="黑体" w:eastAsia="黑体"/>
          <w:color w:val="000000"/>
          <w:szCs w:val="32"/>
        </w:rPr>
        <w:t>一、财政拨款收入：</w:t>
      </w:r>
      <w:r>
        <w:rPr>
          <w:rFonts w:hint="eastAsia" w:ascii="仿宋_GB2312" w:eastAsia="仿宋_GB2312"/>
          <w:szCs w:val="32"/>
        </w:rPr>
        <w:t>指单位本年度从本级财政单位取得的财政拨款，包括一般公共预算财政拨款、政府性基金预算财政拨款和国有资本经营预算财政拨款。</w:t>
      </w:r>
    </w:p>
    <w:p>
      <w:pPr>
        <w:spacing w:line="580" w:lineRule="exact"/>
        <w:ind w:firstLine="640" w:firstLineChars="200"/>
        <w:rPr>
          <w:rFonts w:ascii="仿宋_GB2312" w:hAnsi="仿宋" w:eastAsia="仿宋_GB2312"/>
          <w:szCs w:val="32"/>
        </w:rPr>
      </w:pPr>
      <w:r>
        <w:rPr>
          <w:rFonts w:hint="eastAsia" w:ascii="黑体" w:hAnsi="黑体" w:eastAsia="黑体"/>
          <w:szCs w:val="32"/>
        </w:rPr>
        <w:t>二、上级补助收入：</w:t>
      </w:r>
      <w:r>
        <w:rPr>
          <w:rFonts w:hint="eastAsia" w:ascii="仿宋_GB2312" w:hAnsi="仿宋" w:eastAsia="仿宋_GB2312"/>
          <w:szCs w:val="32"/>
        </w:rPr>
        <w:t>指事业单位从主管单位和上级单位取得的非财政补助收入。</w:t>
      </w:r>
    </w:p>
    <w:p>
      <w:pPr>
        <w:spacing w:line="580" w:lineRule="exact"/>
        <w:ind w:firstLine="640" w:firstLineChars="200"/>
        <w:rPr>
          <w:rFonts w:ascii="仿宋_GB2312" w:hAnsi="仿宋" w:eastAsia="仿宋_GB2312"/>
          <w:szCs w:val="32"/>
        </w:rPr>
      </w:pPr>
      <w:r>
        <w:rPr>
          <w:rFonts w:hint="eastAsia" w:ascii="黑体" w:hAnsi="黑体" w:eastAsia="黑体"/>
          <w:szCs w:val="32"/>
        </w:rPr>
        <w:t>三、事业收入：</w:t>
      </w:r>
      <w:r>
        <w:rPr>
          <w:rFonts w:hint="eastAsia" w:ascii="仿宋_GB2312" w:hAnsi="仿宋" w:eastAsia="仿宋_GB2312"/>
          <w:szCs w:val="32"/>
        </w:rPr>
        <w:t>指事业单位开展专业业务活动及其辅助活动取得的收入；包括事业单位收到的财政专户实际核拨的教育收费等。</w:t>
      </w:r>
    </w:p>
    <w:p>
      <w:pPr>
        <w:spacing w:line="580" w:lineRule="exact"/>
        <w:ind w:firstLine="640" w:firstLineChars="200"/>
        <w:rPr>
          <w:rFonts w:ascii="仿宋_GB2312" w:hAnsi="仿宋" w:eastAsia="仿宋_GB2312"/>
          <w:szCs w:val="32"/>
        </w:rPr>
      </w:pPr>
      <w:r>
        <w:rPr>
          <w:rFonts w:hint="eastAsia" w:ascii="黑体" w:hAnsi="黑体" w:eastAsia="黑体"/>
          <w:szCs w:val="32"/>
        </w:rPr>
        <w:t>四、经营收入：</w:t>
      </w:r>
      <w:r>
        <w:rPr>
          <w:rFonts w:hint="eastAsia" w:ascii="仿宋_GB2312" w:hAnsi="仿宋" w:eastAsia="仿宋_GB2312"/>
          <w:szCs w:val="32"/>
        </w:rPr>
        <w:t>指事业单位在专业业务活动及其辅助活动之外开展非独立核算经营活动取得的收入。</w:t>
      </w:r>
    </w:p>
    <w:p>
      <w:pPr>
        <w:spacing w:line="580" w:lineRule="exact"/>
        <w:ind w:firstLine="640" w:firstLineChars="200"/>
        <w:rPr>
          <w:rFonts w:ascii="仿宋_GB2312" w:hAnsi="仿宋" w:eastAsia="仿宋_GB2312"/>
          <w:szCs w:val="32"/>
        </w:rPr>
      </w:pPr>
      <w:r>
        <w:rPr>
          <w:rFonts w:hint="eastAsia" w:ascii="黑体" w:hAnsi="黑体" w:eastAsia="黑体"/>
          <w:szCs w:val="32"/>
        </w:rPr>
        <w:t>五、附属单位上缴收入：</w:t>
      </w:r>
      <w:r>
        <w:rPr>
          <w:rFonts w:hint="eastAsia" w:ascii="仿宋_GB2312" w:hAnsi="仿宋" w:eastAsia="仿宋_GB2312"/>
          <w:szCs w:val="32"/>
        </w:rPr>
        <w:t>指事业单位附属独立核算单位按照有关规定上缴的收入。</w:t>
      </w:r>
    </w:p>
    <w:p>
      <w:pPr>
        <w:spacing w:line="580" w:lineRule="exact"/>
        <w:ind w:firstLine="640" w:firstLineChars="200"/>
        <w:rPr>
          <w:rFonts w:ascii="仿宋_GB2312" w:hAnsi="仿宋" w:eastAsia="仿宋_GB2312"/>
          <w:szCs w:val="32"/>
        </w:rPr>
      </w:pPr>
      <w:r>
        <w:rPr>
          <w:rFonts w:hint="eastAsia" w:ascii="黑体" w:hAnsi="黑体" w:eastAsia="黑体"/>
          <w:szCs w:val="32"/>
        </w:rPr>
        <w:t>六、其他收入：</w:t>
      </w:r>
      <w:r>
        <w:rPr>
          <w:rFonts w:hint="eastAsia" w:ascii="仿宋_GB2312" w:hAnsi="仿宋" w:eastAsia="仿宋_GB2312"/>
          <w:szCs w:val="32"/>
        </w:rPr>
        <w:t>指单位取得的除上述“</w:t>
      </w:r>
      <w:r>
        <w:rPr>
          <w:rFonts w:hint="eastAsia" w:ascii="仿宋_GB2312" w:eastAsia="仿宋_GB2312"/>
          <w:szCs w:val="32"/>
        </w:rPr>
        <w:t>财政拨款收入</w:t>
      </w:r>
      <w:r>
        <w:rPr>
          <w:rFonts w:hint="eastAsia" w:ascii="仿宋_GB2312" w:hAnsi="仿宋" w:eastAsia="仿宋_GB2312"/>
          <w:szCs w:val="32"/>
        </w:rPr>
        <w:t>”“上级补助收入”“事业收入”“经营收入”“附属单位上缴收入”等以外的各项收入。</w:t>
      </w:r>
    </w:p>
    <w:p>
      <w:pPr>
        <w:spacing w:line="580" w:lineRule="exact"/>
        <w:ind w:firstLine="640" w:firstLineChars="200"/>
        <w:rPr>
          <w:rFonts w:ascii="仿宋_GB2312" w:hAnsi="仿宋" w:eastAsia="仿宋_GB2312"/>
          <w:szCs w:val="32"/>
        </w:rPr>
      </w:pPr>
      <w:r>
        <w:rPr>
          <w:rFonts w:hint="eastAsia" w:ascii="黑体" w:hAnsi="黑体" w:eastAsia="黑体"/>
          <w:szCs w:val="32"/>
        </w:rPr>
        <w:t>七、使用非财政拨款结余：</w:t>
      </w:r>
      <w:r>
        <w:rPr>
          <w:rFonts w:hint="eastAsia" w:ascii="仿宋_GB2312" w:hAnsi="仿宋" w:eastAsia="仿宋_GB2312"/>
          <w:szCs w:val="32"/>
        </w:rPr>
        <w:t>指事业单位按照预算管理要求使用非财政拨款结余弥补收支差额的金额。</w:t>
      </w:r>
    </w:p>
    <w:p>
      <w:pPr>
        <w:spacing w:line="580" w:lineRule="exact"/>
        <w:ind w:firstLine="640" w:firstLineChars="200"/>
        <w:rPr>
          <w:rFonts w:ascii="仿宋_GB2312" w:eastAsia="仿宋_GB2312"/>
          <w:szCs w:val="32"/>
        </w:rPr>
      </w:pPr>
      <w:r>
        <w:rPr>
          <w:rFonts w:hint="eastAsia" w:ascii="黑体" w:hAnsi="黑体" w:eastAsia="黑体"/>
          <w:szCs w:val="32"/>
        </w:rPr>
        <w:t>八、年初结转和结余：</w:t>
      </w:r>
      <w:r>
        <w:rPr>
          <w:rFonts w:hint="eastAsia" w:ascii="仿宋_GB2312" w:eastAsia="仿宋_GB2312"/>
          <w:szCs w:val="32"/>
        </w:rPr>
        <w:t>指单位以前年度尚未完成、结转到本年仍按原规定用途继续使用的资金，或项目已完成等产生的结余资金。</w:t>
      </w:r>
    </w:p>
    <w:p>
      <w:pPr>
        <w:spacing w:line="580" w:lineRule="exact"/>
        <w:ind w:firstLine="640" w:firstLineChars="200"/>
        <w:rPr>
          <w:rFonts w:ascii="仿宋_GB2312" w:eastAsia="仿宋_GB2312"/>
          <w:szCs w:val="32"/>
        </w:rPr>
      </w:pPr>
      <w:r>
        <w:rPr>
          <w:rFonts w:hint="eastAsia" w:ascii="黑体" w:hAnsi="黑体" w:eastAsia="黑体"/>
          <w:szCs w:val="32"/>
        </w:rPr>
        <w:t>九、结余分配：</w:t>
      </w:r>
      <w:r>
        <w:rPr>
          <w:rFonts w:hint="eastAsia" w:ascii="仿宋_GB2312" w:eastAsia="仿宋_GB2312"/>
          <w:szCs w:val="32"/>
        </w:rPr>
        <w:t>指事业单位缴纳的所得税以及从非财政拨款结余或经营结余中提取的各类结余。</w:t>
      </w:r>
    </w:p>
    <w:p>
      <w:pPr>
        <w:spacing w:line="580" w:lineRule="exact"/>
        <w:ind w:firstLine="640" w:firstLineChars="200"/>
        <w:rPr>
          <w:rFonts w:ascii="仿宋_GB2312" w:hAnsi="仿宋" w:eastAsia="仿宋_GB2312"/>
          <w:szCs w:val="32"/>
        </w:rPr>
      </w:pPr>
      <w:r>
        <w:rPr>
          <w:rFonts w:hint="eastAsia" w:ascii="黑体" w:hAnsi="黑体" w:eastAsia="黑体"/>
          <w:szCs w:val="32"/>
        </w:rPr>
        <w:t>十、年末结转和结余：</w:t>
      </w:r>
      <w:r>
        <w:rPr>
          <w:rFonts w:hint="eastAsia" w:ascii="仿宋_GB2312" w:hAnsi="仿宋" w:eastAsia="仿宋_GB2312"/>
          <w:szCs w:val="32"/>
        </w:rPr>
        <w:t>指单位本年度或以前年度预算安排、因客观条件发生变化未全部执行或未执行，结转到以后年度继续使用的资金，或项目已完成等产生的结余资金。</w:t>
      </w:r>
    </w:p>
    <w:p>
      <w:pPr>
        <w:spacing w:line="580" w:lineRule="exact"/>
        <w:ind w:firstLine="640" w:firstLineChars="200"/>
        <w:rPr>
          <w:rFonts w:ascii="仿宋_GB2312" w:eastAsia="仿宋_GB2312"/>
          <w:szCs w:val="32"/>
        </w:rPr>
      </w:pPr>
      <w:r>
        <w:rPr>
          <w:rFonts w:hint="eastAsia" w:ascii="黑体" w:hAnsi="黑体" w:eastAsia="黑体"/>
          <w:szCs w:val="32"/>
        </w:rPr>
        <w:t>十一、基本支出：</w:t>
      </w:r>
      <w:r>
        <w:rPr>
          <w:rFonts w:hint="eastAsia" w:ascii="仿宋_GB2312" w:eastAsia="仿宋_GB2312"/>
          <w:szCs w:val="32"/>
        </w:rPr>
        <w:t>指单位为保障机构正常运转、完成日常工作任务而发生的各项支出。</w:t>
      </w:r>
    </w:p>
    <w:p>
      <w:pPr>
        <w:spacing w:line="580" w:lineRule="exact"/>
        <w:ind w:firstLine="640" w:firstLineChars="200"/>
        <w:rPr>
          <w:rFonts w:ascii="仿宋_GB2312" w:eastAsia="仿宋_GB2312"/>
          <w:szCs w:val="32"/>
        </w:rPr>
      </w:pPr>
      <w:r>
        <w:rPr>
          <w:rFonts w:hint="eastAsia" w:ascii="黑体" w:hAnsi="黑体" w:eastAsia="黑体"/>
          <w:szCs w:val="32"/>
        </w:rPr>
        <w:t>十二、项目支出：</w:t>
      </w:r>
      <w:r>
        <w:rPr>
          <w:rFonts w:hint="eastAsia" w:ascii="仿宋_GB2312" w:eastAsia="仿宋_GB2312"/>
          <w:szCs w:val="32"/>
        </w:rPr>
        <w:t>指单位为完成特定的行政工作任务或事业发展目标，在基本支出之外发生的各项支出。</w:t>
      </w:r>
    </w:p>
    <w:p>
      <w:pPr>
        <w:spacing w:line="580" w:lineRule="exact"/>
        <w:ind w:firstLine="640" w:firstLineChars="200"/>
        <w:rPr>
          <w:rFonts w:ascii="仿宋_GB2312" w:eastAsia="仿宋_GB2312"/>
          <w:szCs w:val="32"/>
        </w:rPr>
      </w:pPr>
      <w:r>
        <w:rPr>
          <w:rFonts w:hint="eastAsia" w:ascii="黑体" w:hAnsi="黑体" w:eastAsia="黑体"/>
          <w:szCs w:val="32"/>
        </w:rPr>
        <w:t>十三、经营支出：</w:t>
      </w:r>
      <w:r>
        <w:rPr>
          <w:rFonts w:hint="eastAsia" w:ascii="仿宋_GB2312" w:eastAsia="仿宋_GB2312"/>
          <w:szCs w:val="32"/>
        </w:rPr>
        <w:t>指事业单位在专业业务活动及其辅助活动之外开展非独立核算经营活动发生的支出。</w:t>
      </w:r>
    </w:p>
    <w:p>
      <w:pPr>
        <w:spacing w:line="580" w:lineRule="exact"/>
        <w:ind w:firstLine="640" w:firstLineChars="200"/>
        <w:rPr>
          <w:rFonts w:ascii="仿宋_GB2312" w:eastAsia="仿宋_GB2312"/>
          <w:szCs w:val="32"/>
        </w:rPr>
      </w:pPr>
      <w:r>
        <w:rPr>
          <w:rFonts w:hint="eastAsia" w:ascii="黑体" w:hAnsi="黑体" w:eastAsia="黑体"/>
          <w:szCs w:val="32"/>
        </w:rPr>
        <w:t>十四、“三公”经费：</w:t>
      </w:r>
      <w:r>
        <w:rPr>
          <w:rFonts w:hint="eastAsia" w:ascii="仿宋_GB2312" w:eastAsia="仿宋_GB231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pPr>
        <w:spacing w:line="580" w:lineRule="exact"/>
        <w:ind w:firstLine="640" w:firstLineChars="200"/>
        <w:rPr>
          <w:rFonts w:ascii="仿宋_GB2312" w:eastAsia="仿宋_GB2312"/>
          <w:szCs w:val="32"/>
        </w:rPr>
      </w:pPr>
      <w:r>
        <w:rPr>
          <w:rFonts w:hint="eastAsia" w:ascii="黑体" w:hAnsi="黑体" w:eastAsia="黑体"/>
          <w:szCs w:val="32"/>
        </w:rPr>
        <w:t>十五、机关运行经费：</w:t>
      </w:r>
      <w:r>
        <w:rPr>
          <w:rFonts w:hint="eastAsia" w:ascii="仿宋_GB2312" w:eastAsia="仿宋_GB231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00"/>
        <w:rPr>
          <w:rFonts w:ascii="仿宋_GB2312" w:hAnsi="黑体" w:eastAsia="仿宋_GB2312"/>
          <w:szCs w:val="32"/>
          <w:highlight w:val="none"/>
        </w:rPr>
      </w:pPr>
      <w:r>
        <w:rPr>
          <w:rFonts w:hint="eastAsia" w:ascii="黑体" w:hAnsi="黑体" w:eastAsia="黑体"/>
          <w:szCs w:val="32"/>
          <w:highlight w:val="none"/>
        </w:rPr>
        <w:t>十六、一般公共服务支出（类）</w:t>
      </w:r>
      <w:r>
        <w:rPr>
          <w:rFonts w:hint="eastAsia" w:ascii="黑体" w:hAnsi="黑体" w:eastAsia="黑体"/>
          <w:szCs w:val="32"/>
          <w:highlight w:val="none"/>
          <w:lang w:eastAsia="zh-CN"/>
        </w:rPr>
        <w:t>发展与改革事务</w:t>
      </w:r>
      <w:r>
        <w:rPr>
          <w:rFonts w:hint="eastAsia" w:ascii="黑体" w:hAnsi="黑体" w:eastAsia="黑体"/>
          <w:szCs w:val="32"/>
          <w:highlight w:val="none"/>
        </w:rPr>
        <w:t>（款）</w:t>
      </w:r>
      <w:r>
        <w:rPr>
          <w:rFonts w:hint="eastAsia" w:ascii="黑体" w:hAnsi="黑体" w:eastAsia="黑体"/>
          <w:szCs w:val="32"/>
          <w:highlight w:val="none"/>
          <w:lang w:eastAsia="zh-CN"/>
        </w:rPr>
        <w:t>事业</w:t>
      </w:r>
      <w:r>
        <w:rPr>
          <w:rFonts w:hint="eastAsia" w:ascii="黑体" w:hAnsi="黑体" w:eastAsia="黑体"/>
          <w:szCs w:val="32"/>
          <w:highlight w:val="none"/>
        </w:rPr>
        <w:t>运行（项）：</w:t>
      </w:r>
      <w:r>
        <w:rPr>
          <w:rFonts w:hint="eastAsia" w:ascii="仿宋_GB2312" w:eastAsia="仿宋_GB2312"/>
          <w:szCs w:val="32"/>
          <w:highlight w:val="none"/>
        </w:rPr>
        <w:t>反映</w:t>
      </w:r>
      <w:r>
        <w:rPr>
          <w:rFonts w:hint="eastAsia" w:ascii="仿宋_GB2312" w:eastAsia="仿宋_GB2312"/>
          <w:szCs w:val="32"/>
          <w:highlight w:val="none"/>
          <w:lang w:eastAsia="zh-CN"/>
        </w:rPr>
        <w:t>事业单位</w:t>
      </w:r>
      <w:r>
        <w:rPr>
          <w:rFonts w:hint="eastAsia" w:ascii="仿宋_GB2312" w:eastAsia="仿宋_GB2312"/>
          <w:szCs w:val="32"/>
          <w:highlight w:val="none"/>
        </w:rPr>
        <w:t>的基本支出。</w:t>
      </w:r>
      <w:r>
        <w:rPr>
          <w:rFonts w:hint="eastAsia" w:ascii="仿宋_GB2312" w:eastAsia="仿宋_GB2312"/>
          <w:sz w:val="32"/>
          <w:szCs w:val="32"/>
        </w:rPr>
        <w:t>指博山区</w:t>
      </w:r>
      <w:r>
        <w:rPr>
          <w:rFonts w:hint="eastAsia" w:ascii="仿宋_GB2312" w:eastAsia="仿宋_GB2312"/>
          <w:sz w:val="32"/>
          <w:szCs w:val="32"/>
          <w:lang w:eastAsia="zh-CN"/>
        </w:rPr>
        <w:t>绿色产业发展服务中心</w:t>
      </w:r>
      <w:r>
        <w:rPr>
          <w:rFonts w:hint="eastAsia" w:ascii="仿宋_GB2312" w:eastAsia="仿宋_GB2312"/>
          <w:sz w:val="32"/>
          <w:szCs w:val="32"/>
        </w:rPr>
        <w:t>为保障机构正常运转、完成日常工作任务而发生的人员经费和日常公用经费。</w:t>
      </w:r>
    </w:p>
    <w:p>
      <w:pPr>
        <w:spacing w:line="580" w:lineRule="exact"/>
        <w:ind w:firstLine="640" w:firstLineChars="200"/>
        <w:rPr>
          <w:rFonts w:hint="eastAsia" w:ascii="仿宋_GB2312" w:eastAsia="仿宋_GB2312"/>
          <w:szCs w:val="32"/>
          <w:highlight w:val="none"/>
          <w:lang w:eastAsia="zh-CN"/>
        </w:rPr>
      </w:pPr>
      <w:r>
        <w:rPr>
          <w:rFonts w:hint="eastAsia" w:ascii="黑体" w:hAnsi="黑体" w:eastAsia="黑体"/>
          <w:szCs w:val="32"/>
          <w:highlight w:val="none"/>
        </w:rPr>
        <w:t>十七、</w:t>
      </w:r>
      <w:r>
        <w:rPr>
          <w:rFonts w:hint="eastAsia" w:ascii="黑体" w:hAnsi="黑体" w:eastAsia="黑体"/>
          <w:szCs w:val="32"/>
          <w:highlight w:val="none"/>
          <w:lang w:eastAsia="zh-CN"/>
        </w:rPr>
        <w:t>社会保障和就业支出</w:t>
      </w:r>
      <w:r>
        <w:rPr>
          <w:rFonts w:hint="eastAsia" w:ascii="黑体" w:hAnsi="黑体" w:eastAsia="黑体"/>
          <w:szCs w:val="32"/>
          <w:highlight w:val="none"/>
        </w:rPr>
        <w:t>（类）</w:t>
      </w:r>
      <w:r>
        <w:rPr>
          <w:rFonts w:hint="eastAsia" w:ascii="黑体" w:hAnsi="黑体" w:eastAsia="黑体"/>
          <w:szCs w:val="32"/>
          <w:highlight w:val="none"/>
          <w:lang w:eastAsia="zh-CN"/>
        </w:rPr>
        <w:t>行政事业单位养老支出</w:t>
      </w:r>
      <w:r>
        <w:rPr>
          <w:rFonts w:hint="eastAsia" w:ascii="黑体" w:hAnsi="黑体" w:eastAsia="黑体"/>
          <w:szCs w:val="32"/>
          <w:highlight w:val="none"/>
        </w:rPr>
        <w:t>（款）</w:t>
      </w:r>
      <w:r>
        <w:rPr>
          <w:rFonts w:hint="eastAsia" w:ascii="黑体" w:hAnsi="黑体" w:eastAsia="黑体"/>
          <w:szCs w:val="32"/>
          <w:highlight w:val="none"/>
          <w:lang w:eastAsia="zh-CN"/>
        </w:rPr>
        <w:t>事业单位离退休</w:t>
      </w:r>
      <w:r>
        <w:rPr>
          <w:rFonts w:hint="eastAsia" w:ascii="黑体" w:hAnsi="黑体" w:eastAsia="黑体"/>
          <w:szCs w:val="32"/>
          <w:highlight w:val="none"/>
        </w:rPr>
        <w:t>（项）：</w:t>
      </w:r>
      <w:r>
        <w:rPr>
          <w:rFonts w:hint="eastAsia" w:ascii="仿宋_GB2312" w:eastAsia="仿宋_GB2312"/>
          <w:szCs w:val="32"/>
          <w:highlight w:val="none"/>
        </w:rPr>
        <w:t>反映</w:t>
      </w:r>
      <w:r>
        <w:rPr>
          <w:rFonts w:hint="eastAsia" w:ascii="仿宋_GB2312" w:eastAsia="仿宋_GB2312"/>
          <w:szCs w:val="32"/>
          <w:highlight w:val="none"/>
          <w:lang w:eastAsia="zh-CN"/>
        </w:rPr>
        <w:t>博山区绿色产业发展服务中心退休人员的支出。</w:t>
      </w:r>
    </w:p>
    <w:p>
      <w:pPr>
        <w:spacing w:line="580" w:lineRule="exact"/>
        <w:ind w:firstLine="640" w:firstLineChars="200"/>
        <w:rPr>
          <w:rFonts w:hint="eastAsia" w:ascii="仿宋_GB2312" w:eastAsia="仿宋_GB2312"/>
          <w:szCs w:val="32"/>
          <w:highlight w:val="none"/>
          <w:lang w:eastAsia="zh-CN"/>
        </w:rPr>
      </w:pPr>
      <w:r>
        <w:rPr>
          <w:rFonts w:hint="eastAsia" w:ascii="黑体" w:hAnsi="黑体" w:eastAsia="黑体"/>
          <w:szCs w:val="32"/>
          <w:highlight w:val="none"/>
          <w:lang w:eastAsia="zh-CN"/>
        </w:rPr>
        <w:t>十八、社会保障和就业支出</w:t>
      </w:r>
      <w:r>
        <w:rPr>
          <w:rFonts w:hint="eastAsia" w:ascii="黑体" w:hAnsi="黑体" w:eastAsia="黑体"/>
          <w:szCs w:val="32"/>
          <w:highlight w:val="none"/>
        </w:rPr>
        <w:t>（类）</w:t>
      </w:r>
      <w:r>
        <w:rPr>
          <w:rFonts w:hint="eastAsia" w:ascii="黑体" w:hAnsi="黑体" w:eastAsia="黑体"/>
          <w:szCs w:val="32"/>
          <w:highlight w:val="none"/>
          <w:lang w:eastAsia="zh-CN"/>
        </w:rPr>
        <w:t>行政事业单位养老支出</w:t>
      </w:r>
      <w:r>
        <w:rPr>
          <w:rFonts w:hint="eastAsia" w:ascii="黑体" w:hAnsi="黑体" w:eastAsia="黑体"/>
          <w:szCs w:val="32"/>
          <w:highlight w:val="none"/>
        </w:rPr>
        <w:t>（款）</w:t>
      </w:r>
      <w:r>
        <w:rPr>
          <w:rFonts w:hint="eastAsia" w:ascii="黑体" w:hAnsi="黑体" w:eastAsia="黑体"/>
          <w:szCs w:val="32"/>
          <w:highlight w:val="none"/>
          <w:lang w:eastAsia="zh-CN"/>
        </w:rPr>
        <w:t>机关事业单位基本养老保险缴费支出（项）</w:t>
      </w:r>
      <w:r>
        <w:rPr>
          <w:rFonts w:hint="eastAsia" w:ascii="仿宋_GB2312" w:eastAsia="仿宋_GB2312"/>
          <w:szCs w:val="32"/>
          <w:highlight w:val="none"/>
          <w:lang w:eastAsia="zh-CN"/>
        </w:rPr>
        <w:t>反映博山区绿色产业发展服务中心在职人员的养老保险支出。</w:t>
      </w:r>
    </w:p>
    <w:p>
      <w:pPr>
        <w:spacing w:line="580" w:lineRule="exact"/>
        <w:ind w:firstLine="640" w:firstLineChars="200"/>
        <w:rPr>
          <w:rFonts w:hint="eastAsia" w:ascii="仿宋_GB2312" w:eastAsia="仿宋_GB2312"/>
          <w:szCs w:val="32"/>
          <w:highlight w:val="none"/>
          <w:lang w:eastAsia="zh-CN"/>
        </w:rPr>
      </w:pPr>
      <w:r>
        <w:rPr>
          <w:rFonts w:hint="eastAsia" w:ascii="黑体" w:hAnsi="黑体" w:eastAsia="黑体"/>
          <w:szCs w:val="32"/>
          <w:highlight w:val="none"/>
          <w:lang w:eastAsia="zh-CN"/>
        </w:rPr>
        <w:t>十九、社会保障和就业支出</w:t>
      </w:r>
      <w:r>
        <w:rPr>
          <w:rFonts w:hint="eastAsia" w:ascii="黑体" w:hAnsi="黑体" w:eastAsia="黑体"/>
          <w:szCs w:val="32"/>
          <w:highlight w:val="none"/>
        </w:rPr>
        <w:t>（类）</w:t>
      </w:r>
      <w:r>
        <w:rPr>
          <w:rFonts w:hint="eastAsia" w:ascii="黑体" w:hAnsi="黑体" w:eastAsia="黑体"/>
          <w:szCs w:val="32"/>
          <w:highlight w:val="none"/>
          <w:lang w:eastAsia="zh-CN"/>
        </w:rPr>
        <w:t>行政事业单位养老支出</w:t>
      </w:r>
      <w:r>
        <w:rPr>
          <w:rFonts w:hint="eastAsia" w:ascii="黑体" w:hAnsi="黑体" w:eastAsia="黑体"/>
          <w:szCs w:val="32"/>
          <w:highlight w:val="none"/>
        </w:rPr>
        <w:t>（款）</w:t>
      </w:r>
      <w:r>
        <w:rPr>
          <w:rFonts w:hint="eastAsia" w:ascii="黑体" w:hAnsi="黑体" w:eastAsia="黑体"/>
          <w:szCs w:val="32"/>
          <w:highlight w:val="none"/>
          <w:lang w:eastAsia="zh-CN"/>
        </w:rPr>
        <w:t>机关事业单位职业年金缴费支出（项）</w:t>
      </w:r>
      <w:r>
        <w:rPr>
          <w:rFonts w:hint="eastAsia" w:ascii="仿宋_GB2312" w:eastAsia="仿宋_GB2312"/>
          <w:szCs w:val="32"/>
          <w:highlight w:val="none"/>
          <w:lang w:eastAsia="zh-CN"/>
        </w:rPr>
        <w:t>反映博山区绿色产业发展服务中心在职人员的职业年金支出。</w:t>
      </w:r>
    </w:p>
    <w:p>
      <w:pPr>
        <w:spacing w:line="580" w:lineRule="exact"/>
        <w:ind w:firstLine="640" w:firstLineChars="200"/>
        <w:rPr>
          <w:rFonts w:hint="eastAsia" w:ascii="仿宋_GB2312" w:eastAsia="仿宋_GB2312"/>
          <w:szCs w:val="32"/>
          <w:highlight w:val="none"/>
          <w:lang w:eastAsia="zh-CN"/>
        </w:rPr>
      </w:pPr>
      <w:r>
        <w:rPr>
          <w:rFonts w:hint="eastAsia" w:ascii="黑体" w:hAnsi="黑体" w:eastAsia="黑体"/>
          <w:szCs w:val="32"/>
          <w:highlight w:val="none"/>
          <w:lang w:eastAsia="zh-CN"/>
        </w:rPr>
        <w:t>二十、卫生健康支出</w:t>
      </w:r>
      <w:r>
        <w:rPr>
          <w:rFonts w:hint="eastAsia" w:ascii="黑体" w:hAnsi="黑体" w:eastAsia="黑体"/>
          <w:szCs w:val="32"/>
          <w:highlight w:val="none"/>
        </w:rPr>
        <w:t>（类）</w:t>
      </w:r>
      <w:r>
        <w:rPr>
          <w:rFonts w:hint="eastAsia" w:ascii="黑体" w:hAnsi="黑体" w:eastAsia="黑体"/>
          <w:szCs w:val="32"/>
          <w:highlight w:val="none"/>
          <w:lang w:eastAsia="zh-CN"/>
        </w:rPr>
        <w:t>行政事业单位医疗</w:t>
      </w:r>
      <w:r>
        <w:rPr>
          <w:rFonts w:hint="eastAsia" w:ascii="黑体" w:hAnsi="黑体" w:eastAsia="黑体"/>
          <w:szCs w:val="32"/>
          <w:highlight w:val="none"/>
        </w:rPr>
        <w:t>（款）</w:t>
      </w:r>
      <w:r>
        <w:rPr>
          <w:rFonts w:hint="eastAsia" w:ascii="黑体" w:hAnsi="黑体" w:eastAsia="黑体"/>
          <w:szCs w:val="32"/>
          <w:highlight w:val="none"/>
          <w:lang w:eastAsia="zh-CN"/>
        </w:rPr>
        <w:t>事业单位医疗（项）</w:t>
      </w:r>
      <w:r>
        <w:rPr>
          <w:rFonts w:hint="eastAsia" w:ascii="仿宋_GB2312" w:eastAsia="仿宋_GB2312"/>
          <w:szCs w:val="32"/>
          <w:highlight w:val="none"/>
          <w:lang w:eastAsia="zh-CN"/>
        </w:rPr>
        <w:t>反映博山区绿色产业发展服务中心在职人员、退休人员的基本医疗支出。</w:t>
      </w:r>
    </w:p>
    <w:p>
      <w:pPr>
        <w:spacing w:line="580" w:lineRule="exact"/>
        <w:ind w:firstLine="640" w:firstLineChars="200"/>
        <w:rPr>
          <w:rFonts w:hint="eastAsia" w:ascii="仿宋_GB2312" w:eastAsia="仿宋_GB2312"/>
          <w:szCs w:val="32"/>
          <w:highlight w:val="none"/>
          <w:lang w:eastAsia="zh-CN"/>
        </w:rPr>
      </w:pPr>
      <w:r>
        <w:rPr>
          <w:rFonts w:hint="eastAsia" w:ascii="黑体" w:hAnsi="黑体" w:eastAsia="黑体"/>
          <w:szCs w:val="32"/>
          <w:highlight w:val="none"/>
          <w:lang w:eastAsia="zh-CN"/>
        </w:rPr>
        <w:t>二十一、卫生健康支出</w:t>
      </w:r>
      <w:r>
        <w:rPr>
          <w:rFonts w:hint="eastAsia" w:ascii="黑体" w:hAnsi="黑体" w:eastAsia="黑体"/>
          <w:szCs w:val="32"/>
          <w:highlight w:val="none"/>
        </w:rPr>
        <w:t>（类）</w:t>
      </w:r>
      <w:r>
        <w:rPr>
          <w:rFonts w:hint="eastAsia" w:ascii="黑体" w:hAnsi="黑体" w:eastAsia="黑体"/>
          <w:szCs w:val="32"/>
          <w:highlight w:val="none"/>
          <w:lang w:eastAsia="zh-CN"/>
        </w:rPr>
        <w:t>行政事业单位医疗</w:t>
      </w:r>
      <w:r>
        <w:rPr>
          <w:rFonts w:hint="eastAsia" w:ascii="黑体" w:hAnsi="黑体" w:eastAsia="黑体"/>
          <w:szCs w:val="32"/>
          <w:highlight w:val="none"/>
        </w:rPr>
        <w:t>（款）</w:t>
      </w:r>
      <w:r>
        <w:rPr>
          <w:rFonts w:hint="eastAsia" w:ascii="黑体" w:hAnsi="黑体" w:eastAsia="黑体"/>
          <w:szCs w:val="32"/>
          <w:highlight w:val="none"/>
          <w:lang w:eastAsia="zh-CN"/>
        </w:rPr>
        <w:t>公务员医疗补助（项）</w:t>
      </w:r>
      <w:r>
        <w:rPr>
          <w:rFonts w:hint="eastAsia" w:ascii="仿宋_GB2312" w:eastAsia="仿宋_GB2312"/>
          <w:szCs w:val="32"/>
          <w:highlight w:val="none"/>
          <w:lang w:eastAsia="zh-CN"/>
        </w:rPr>
        <w:t>反映博山区绿色产业发展服务中心在职人员的公务员医疗补助支出。</w:t>
      </w:r>
    </w:p>
    <w:p>
      <w:pPr>
        <w:spacing w:line="580" w:lineRule="exact"/>
        <w:ind w:firstLine="640" w:firstLineChars="200"/>
        <w:rPr>
          <w:rFonts w:hint="eastAsia" w:ascii="仿宋_GB2312" w:eastAsia="仿宋_GB2312"/>
          <w:szCs w:val="32"/>
          <w:highlight w:val="none"/>
          <w:lang w:eastAsia="zh-CN"/>
        </w:rPr>
      </w:pPr>
      <w:r>
        <w:rPr>
          <w:rFonts w:hint="eastAsia" w:ascii="黑体" w:hAnsi="黑体" w:eastAsia="黑体"/>
          <w:szCs w:val="32"/>
          <w:highlight w:val="none"/>
          <w:lang w:eastAsia="zh-CN"/>
        </w:rPr>
        <w:t>二十二、住房保障支出</w:t>
      </w:r>
      <w:r>
        <w:rPr>
          <w:rFonts w:hint="eastAsia" w:ascii="黑体" w:hAnsi="黑体" w:eastAsia="黑体"/>
          <w:szCs w:val="32"/>
          <w:highlight w:val="none"/>
        </w:rPr>
        <w:t>（类）</w:t>
      </w:r>
      <w:r>
        <w:rPr>
          <w:rFonts w:hint="eastAsia" w:ascii="黑体" w:hAnsi="黑体" w:eastAsia="黑体"/>
          <w:szCs w:val="32"/>
          <w:highlight w:val="none"/>
          <w:lang w:eastAsia="zh-CN"/>
        </w:rPr>
        <w:t>住房改革支出</w:t>
      </w:r>
      <w:r>
        <w:rPr>
          <w:rFonts w:hint="eastAsia" w:ascii="黑体" w:hAnsi="黑体" w:eastAsia="黑体"/>
          <w:szCs w:val="32"/>
          <w:highlight w:val="none"/>
        </w:rPr>
        <w:t>（款）</w:t>
      </w:r>
      <w:r>
        <w:rPr>
          <w:rFonts w:hint="eastAsia" w:ascii="黑体" w:hAnsi="黑体" w:eastAsia="黑体"/>
          <w:szCs w:val="32"/>
          <w:highlight w:val="none"/>
          <w:lang w:eastAsia="zh-CN"/>
        </w:rPr>
        <w:t>住房公积金（项）</w:t>
      </w:r>
      <w:r>
        <w:rPr>
          <w:rFonts w:hint="eastAsia" w:ascii="仿宋_GB2312" w:eastAsia="仿宋_GB2312"/>
          <w:szCs w:val="32"/>
          <w:highlight w:val="none"/>
          <w:lang w:eastAsia="zh-CN"/>
        </w:rPr>
        <w:t>反映博山区绿色产业发展服务中心在职人员的住房公积金支出。</w:t>
      </w:r>
    </w:p>
    <w:p>
      <w:pPr>
        <w:spacing w:line="580" w:lineRule="exact"/>
        <w:ind w:firstLine="643" w:firstLineChars="200"/>
        <w:rPr>
          <w:rFonts w:ascii="仿宋_GB2312" w:eastAsia="仿宋_GB2312"/>
          <w:b/>
          <w:szCs w:val="32"/>
          <w:highlight w:val="lightGray"/>
        </w:rPr>
      </w:pPr>
    </w:p>
    <w:p>
      <w:pPr>
        <w:spacing w:line="580" w:lineRule="exact"/>
        <w:ind w:firstLine="540" w:firstLineChars="100"/>
        <w:rPr>
          <w:rFonts w:ascii="方正小标宋简体" w:eastAsia="方正小标宋简体"/>
          <w:spacing w:val="60"/>
          <w:sz w:val="42"/>
        </w:rPr>
      </w:pPr>
    </w:p>
    <w:p>
      <w:pPr>
        <w:spacing w:line="580" w:lineRule="exact"/>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bookmarkStart w:id="0" w:name="_GoBack"/>
      <w:bookmarkEnd w:id="0"/>
    </w:p>
    <w:p>
      <w:pPr>
        <w:spacing w:line="580" w:lineRule="exact"/>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第五部分</w:t>
      </w:r>
    </w:p>
    <w:p>
      <w:pPr>
        <w:jc w:val="center"/>
        <w:rPr>
          <w:rFonts w:ascii="方正小标宋简体" w:eastAsia="方正小标宋简体"/>
          <w:spacing w:val="60"/>
          <w:sz w:val="42"/>
        </w:rPr>
      </w:pPr>
    </w:p>
    <w:p>
      <w:pPr>
        <w:jc w:val="center"/>
        <w:rPr>
          <w:rFonts w:hint="default" w:eastAsia="方正小标宋简体"/>
          <w:szCs w:val="32"/>
          <w:lang w:val="en-US" w:eastAsia="zh-CN"/>
        </w:rPr>
        <w:sectPr>
          <w:pgSz w:w="11906" w:h="16838"/>
          <w:pgMar w:top="2041" w:right="1701" w:bottom="2041" w:left="1701" w:header="851" w:footer="992" w:gutter="0"/>
          <w:cols w:space="720" w:num="1"/>
          <w:docGrid w:type="lines" w:linePitch="312" w:charSpace="0"/>
        </w:sectPr>
      </w:pPr>
      <w:r>
        <w:rPr>
          <w:rFonts w:hint="eastAsia" w:ascii="方正小标宋简体" w:eastAsia="方正小标宋简体"/>
          <w:spacing w:val="60"/>
          <w:sz w:val="48"/>
        </w:rPr>
        <w:t xml:space="preserve">  附</w:t>
      </w:r>
      <w:r>
        <w:rPr>
          <w:rFonts w:hint="eastAsia" w:ascii="方正小标宋简体" w:eastAsia="方正小标宋简体"/>
          <w:spacing w:val="60"/>
          <w:sz w:val="48"/>
          <w:lang w:eastAsia="zh-CN"/>
        </w:rPr>
        <w:t>件</w:t>
      </w:r>
      <w:r>
        <w:rPr>
          <w:rFonts w:hint="eastAsia" w:ascii="方正小标宋简体" w:eastAsia="方正小标宋简体"/>
          <w:spacing w:val="60"/>
          <w:sz w:val="48"/>
          <w:lang w:val="en-US" w:eastAsia="zh-CN"/>
        </w:rPr>
        <w:t xml:space="preserve"> </w:t>
      </w:r>
    </w:p>
    <w:p>
      <w:pPr>
        <w:keepNext w:val="0"/>
        <w:keepLines w:val="0"/>
        <w:pageBreakBefore w:val="0"/>
        <w:widowControl w:val="0"/>
        <w:tabs>
          <w:tab w:val="left" w:pos="1726"/>
        </w:tabs>
        <w:kinsoku/>
        <w:wordWrap/>
        <w:overflowPunct/>
        <w:topLinePunct w:val="0"/>
        <w:autoSpaceDE/>
        <w:autoSpaceDN/>
        <w:bidi w:val="0"/>
        <w:adjustRightInd/>
        <w:snapToGrid/>
        <w:spacing w:line="20" w:lineRule="exact"/>
        <w:jc w:val="left"/>
        <w:textAlignment w:val="auto"/>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文星简仿宋">
    <w:altName w:val="Arial Unicode MS"/>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2264"/>
        <w:tab w:val="clear" w:pos="4153"/>
      </w:tabs>
      <w:jc w:val="both"/>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97BC2"/>
    <w:multiLevelType w:val="singleLevel"/>
    <w:tmpl w:val="80397BC2"/>
    <w:lvl w:ilvl="0" w:tentative="0">
      <w:start w:val="1"/>
      <w:numFmt w:val="chineseCounting"/>
      <w:suff w:val="nothing"/>
      <w:lvlText w:val="%1、"/>
      <w:lvlJc w:val="left"/>
      <w:rPr>
        <w:rFonts w:hint="eastAsia"/>
      </w:rPr>
    </w:lvl>
  </w:abstractNum>
  <w:abstractNum w:abstractNumId="1">
    <w:nsid w:val="BF29BC01"/>
    <w:multiLevelType w:val="singleLevel"/>
    <w:tmpl w:val="BF29BC01"/>
    <w:lvl w:ilvl="0" w:tentative="0">
      <w:start w:val="1"/>
      <w:numFmt w:val="chineseCounting"/>
      <w:suff w:val="nothing"/>
      <w:lvlText w:val="%1、"/>
      <w:lvlJc w:val="left"/>
      <w:rPr>
        <w:rFonts w:hint="eastAsia"/>
      </w:rPr>
    </w:lvl>
  </w:abstractNum>
  <w:abstractNum w:abstractNumId="2">
    <w:nsid w:val="C1C705E1"/>
    <w:multiLevelType w:val="singleLevel"/>
    <w:tmpl w:val="C1C705E1"/>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73"/>
    <w:rsid w:val="00053C64"/>
    <w:rsid w:val="00115443"/>
    <w:rsid w:val="001E06E2"/>
    <w:rsid w:val="001E3742"/>
    <w:rsid w:val="00280B9A"/>
    <w:rsid w:val="002F4E5A"/>
    <w:rsid w:val="00314773"/>
    <w:rsid w:val="00340D64"/>
    <w:rsid w:val="003D5BCB"/>
    <w:rsid w:val="005972E0"/>
    <w:rsid w:val="006658FE"/>
    <w:rsid w:val="00704EB5"/>
    <w:rsid w:val="007177EF"/>
    <w:rsid w:val="00773F22"/>
    <w:rsid w:val="007A67C5"/>
    <w:rsid w:val="007F0AEF"/>
    <w:rsid w:val="008E24D4"/>
    <w:rsid w:val="00923380"/>
    <w:rsid w:val="009E0860"/>
    <w:rsid w:val="00A12F4D"/>
    <w:rsid w:val="00A204EA"/>
    <w:rsid w:val="00AA3299"/>
    <w:rsid w:val="00AB73E6"/>
    <w:rsid w:val="00B52518"/>
    <w:rsid w:val="00B54D70"/>
    <w:rsid w:val="00BA42CA"/>
    <w:rsid w:val="00C0481A"/>
    <w:rsid w:val="00CF67CD"/>
    <w:rsid w:val="00D75B08"/>
    <w:rsid w:val="00DD1239"/>
    <w:rsid w:val="00EA76BD"/>
    <w:rsid w:val="049347AC"/>
    <w:rsid w:val="076471BC"/>
    <w:rsid w:val="093B473A"/>
    <w:rsid w:val="0B5A1DE8"/>
    <w:rsid w:val="2DBC0F0F"/>
    <w:rsid w:val="343E6DA3"/>
    <w:rsid w:val="389930E2"/>
    <w:rsid w:val="3AF9375A"/>
    <w:rsid w:val="554B3659"/>
    <w:rsid w:val="5E027A35"/>
    <w:rsid w:val="64DD2711"/>
    <w:rsid w:val="78D844A0"/>
    <w:rsid w:val="7A1D0AD1"/>
    <w:rsid w:val="7F41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qFormat/>
    <w:uiPriority w:val="0"/>
    <w:rPr>
      <w:rFonts w:ascii="宋体" w:hAnsiTheme="minorHAnsi" w:eastAsiaTheme="minorEastAsia" w:cstheme="minorBidi"/>
      <w:sz w:val="18"/>
      <w:szCs w:val="18"/>
    </w:rPr>
  </w:style>
  <w:style w:type="paragraph" w:styleId="3">
    <w:name w:val="Body Text Indent 2"/>
    <w:basedOn w:val="1"/>
    <w:link w:val="17"/>
    <w:uiPriority w:val="0"/>
    <w:pPr>
      <w:ind w:firstLine="640" w:firstLineChars="200"/>
    </w:pPr>
    <w:rPr>
      <w:rFonts w:ascii="楷体_GB2312" w:hAnsi="Courier New" w:eastAsia="楷体_GB2312" w:cstheme="minorBidi"/>
      <w:szCs w:val="22"/>
    </w:rPr>
  </w:style>
  <w:style w:type="paragraph" w:styleId="4">
    <w:name w:val="Balloon Text"/>
    <w:basedOn w:val="1"/>
    <w:link w:val="22"/>
    <w:semiHidden/>
    <w:uiPriority w:val="0"/>
    <w:rPr>
      <w:sz w:val="18"/>
      <w:szCs w:val="18"/>
    </w:rPr>
  </w:style>
  <w:style w:type="paragraph" w:styleId="5">
    <w:name w:val="footer"/>
    <w:basedOn w:val="1"/>
    <w:link w:val="13"/>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Subtitle"/>
    <w:basedOn w:val="1"/>
    <w:next w:val="1"/>
    <w:link w:val="18"/>
    <w:qFormat/>
    <w:uiPriority w:val="11"/>
    <w:pPr>
      <w:spacing w:before="240" w:after="60" w:line="312" w:lineRule="auto"/>
      <w:jc w:val="center"/>
      <w:outlineLvl w:val="1"/>
    </w:pPr>
    <w:rPr>
      <w:rFonts w:ascii="Cambria" w:hAnsi="Cambria" w:eastAsiaTheme="minorEastAsia"/>
      <w:b/>
      <w:bCs/>
      <w:kern w:val="28"/>
      <w:szCs w:val="32"/>
    </w:rPr>
  </w:style>
  <w:style w:type="paragraph" w:styleId="8">
    <w:name w:val="Title"/>
    <w:basedOn w:val="1"/>
    <w:next w:val="1"/>
    <w:link w:val="14"/>
    <w:qFormat/>
    <w:uiPriority w:val="0"/>
    <w:pPr>
      <w:spacing w:before="240" w:after="60"/>
      <w:jc w:val="center"/>
      <w:outlineLvl w:val="0"/>
    </w:pPr>
    <w:rPr>
      <w:rFonts w:ascii="Cambria" w:hAnsi="Cambria" w:eastAsiaTheme="minorEastAsia"/>
      <w:b/>
      <w:bCs/>
      <w:szCs w:val="32"/>
    </w:rPr>
  </w:style>
  <w:style w:type="character" w:styleId="11">
    <w:name w:val="page number"/>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标题 Char"/>
    <w:link w:val="8"/>
    <w:qFormat/>
    <w:uiPriority w:val="0"/>
    <w:rPr>
      <w:rFonts w:ascii="Cambria" w:hAnsi="Cambria" w:cs="Times New Roman"/>
      <w:b/>
      <w:bCs/>
      <w:sz w:val="32"/>
      <w:szCs w:val="32"/>
    </w:rPr>
  </w:style>
  <w:style w:type="character" w:customStyle="1" w:styleId="15">
    <w:name w:val="样式 仿宋 三号 Char"/>
    <w:qFormat/>
    <w:uiPriority w:val="0"/>
    <w:rPr>
      <w:rFonts w:ascii="仿宋" w:hAnsi="仿宋" w:eastAsia="仿宋" w:cs="宋体"/>
      <w:kern w:val="2"/>
      <w:sz w:val="32"/>
      <w:lang w:val="en-US" w:eastAsia="zh-CN" w:bidi="ar-SA"/>
    </w:rPr>
  </w:style>
  <w:style w:type="character" w:customStyle="1" w:styleId="16">
    <w:name w:val="文档结构图 Char"/>
    <w:link w:val="2"/>
    <w:qFormat/>
    <w:uiPriority w:val="0"/>
    <w:rPr>
      <w:rFonts w:ascii="宋体"/>
      <w:sz w:val="18"/>
      <w:szCs w:val="18"/>
    </w:rPr>
  </w:style>
  <w:style w:type="character" w:customStyle="1" w:styleId="17">
    <w:name w:val="正文文本缩进 2 Char"/>
    <w:link w:val="3"/>
    <w:qFormat/>
    <w:uiPriority w:val="0"/>
    <w:rPr>
      <w:rFonts w:ascii="楷体_GB2312" w:hAnsi="Courier New" w:eastAsia="楷体_GB2312"/>
      <w:sz w:val="32"/>
    </w:rPr>
  </w:style>
  <w:style w:type="character" w:customStyle="1" w:styleId="18">
    <w:name w:val="副标题 Char"/>
    <w:link w:val="7"/>
    <w:qFormat/>
    <w:uiPriority w:val="11"/>
    <w:rPr>
      <w:rFonts w:ascii="Cambria" w:hAnsi="Cambria" w:cs="Times New Roman"/>
      <w:b/>
      <w:bCs/>
      <w:kern w:val="28"/>
      <w:sz w:val="32"/>
      <w:szCs w:val="32"/>
    </w:rPr>
  </w:style>
  <w:style w:type="character" w:customStyle="1" w:styleId="19">
    <w:name w:val="p0{858D7CFB-ED40-4347-BF05-701D383B685F}"/>
    <w:link w:val="20"/>
    <w:qFormat/>
    <w:uiPriority w:val="0"/>
    <w:rPr>
      <w:kern w:val="0"/>
      <w:szCs w:val="21"/>
    </w:rPr>
  </w:style>
  <w:style w:type="paragraph" w:customStyle="1" w:styleId="20">
    <w:name w:val="p0"/>
    <w:basedOn w:val="1"/>
    <w:link w:val="19"/>
    <w:qFormat/>
    <w:uiPriority w:val="0"/>
    <w:pPr>
      <w:widowControl/>
    </w:pPr>
    <w:rPr>
      <w:rFonts w:asciiTheme="minorHAnsi" w:hAnsiTheme="minorHAnsi" w:eastAsiaTheme="minorEastAsia" w:cstheme="minorBidi"/>
      <w:kern w:val="0"/>
      <w:sz w:val="21"/>
      <w:szCs w:val="21"/>
    </w:rPr>
  </w:style>
  <w:style w:type="character" w:customStyle="1" w:styleId="21">
    <w:name w:val="页码1"/>
    <w:qFormat/>
    <w:uiPriority w:val="0"/>
  </w:style>
  <w:style w:type="character" w:customStyle="1" w:styleId="22">
    <w:name w:val="批注框文本 Char"/>
    <w:basedOn w:val="10"/>
    <w:link w:val="4"/>
    <w:semiHidden/>
    <w:qFormat/>
    <w:uiPriority w:val="0"/>
    <w:rPr>
      <w:rFonts w:ascii="Times New Roman" w:hAnsi="Times New Roman" w:eastAsia="宋体" w:cs="Times New Roman"/>
      <w:sz w:val="18"/>
      <w:szCs w:val="18"/>
    </w:rPr>
  </w:style>
  <w:style w:type="paragraph" w:customStyle="1" w:styleId="23">
    <w:name w:val="Char"/>
    <w:basedOn w:val="1"/>
    <w:qFormat/>
    <w:uiPriority w:val="0"/>
    <w:pPr>
      <w:widowControl/>
      <w:jc w:val="left"/>
    </w:pPr>
  </w:style>
  <w:style w:type="character" w:customStyle="1" w:styleId="24">
    <w:name w:val="正文文本缩进 2 Char1"/>
    <w:basedOn w:val="10"/>
    <w:semiHidden/>
    <w:qFormat/>
    <w:uiPriority w:val="99"/>
    <w:rPr>
      <w:rFonts w:ascii="Times New Roman" w:hAnsi="Times New Roman" w:eastAsia="宋体" w:cs="Times New Roman"/>
      <w:sz w:val="32"/>
      <w:szCs w:val="24"/>
    </w:rPr>
  </w:style>
  <w:style w:type="character" w:customStyle="1" w:styleId="25">
    <w:name w:val="文档结构图 Char1"/>
    <w:basedOn w:val="10"/>
    <w:semiHidden/>
    <w:qFormat/>
    <w:uiPriority w:val="99"/>
    <w:rPr>
      <w:rFonts w:ascii="宋体" w:hAnsi="Times New Roman" w:eastAsia="宋体" w:cs="Times New Roman"/>
      <w:sz w:val="18"/>
      <w:szCs w:val="18"/>
    </w:rPr>
  </w:style>
  <w:style w:type="character" w:customStyle="1" w:styleId="26">
    <w:name w:val="标题 Char1"/>
    <w:basedOn w:val="10"/>
    <w:qFormat/>
    <w:uiPriority w:val="10"/>
    <w:rPr>
      <w:rFonts w:eastAsia="宋体" w:asciiTheme="majorHAnsi" w:hAnsiTheme="majorHAnsi" w:cstheme="majorBidi"/>
      <w:b/>
      <w:bCs/>
      <w:sz w:val="32"/>
      <w:szCs w:val="32"/>
    </w:rPr>
  </w:style>
  <w:style w:type="character" w:customStyle="1" w:styleId="27">
    <w:name w:val="副标题 Char1"/>
    <w:basedOn w:val="10"/>
    <w:qFormat/>
    <w:uiPriority w:val="11"/>
    <w:rPr>
      <w:rFonts w:eastAsia="宋体" w:asciiTheme="majorHAnsi" w:hAnsiTheme="majorHAnsi" w:cstheme="majorBidi"/>
      <w:b/>
      <w:bCs/>
      <w:kern w:val="28"/>
      <w:sz w:val="32"/>
      <w:szCs w:val="32"/>
    </w:rPr>
  </w:style>
  <w:style w:type="paragraph" w:customStyle="1" w:styleId="28">
    <w:name w:val="p17"/>
    <w:basedOn w:val="1"/>
    <w:qFormat/>
    <w:uiPriority w:val="0"/>
    <w:pPr>
      <w:widowControl/>
    </w:pPr>
    <w:rPr>
      <w:rFonts w:ascii="宋体" w:hAnsi="宋体" w:cs="宋体"/>
      <w:kern w:val="0"/>
      <w:szCs w:val="21"/>
    </w:rPr>
  </w:style>
  <w:style w:type="paragraph" w:customStyle="1" w:styleId="29">
    <w:name w:val="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工作表.xls]Sheet1'!$B$2:$C$2</c:f>
              <c:strCache>
                <c:ptCount val="2"/>
                <c:pt idx="0">
                  <c:v>2020年</c:v>
                </c:pt>
                <c:pt idx="1">
                  <c:v>2019年</c:v>
                </c:pt>
              </c:strCache>
            </c:strRef>
          </c:cat>
          <c:val>
            <c:numRef>
              <c:f>'[新建 XLS 工作表.xls]Sheet1'!$B$3:$C$3</c:f>
              <c:numCache>
                <c:formatCode>General</c:formatCode>
                <c:ptCount val="2"/>
                <c:pt idx="0">
                  <c:v>309.49</c:v>
                </c:pt>
                <c:pt idx="1">
                  <c:v>191.16</c:v>
                </c:pt>
              </c:numCache>
            </c:numRef>
          </c:val>
        </c:ser>
        <c:dLbls>
          <c:showLegendKey val="0"/>
          <c:showVal val="1"/>
          <c:showCatName val="0"/>
          <c:showSerName val="0"/>
          <c:showPercent val="0"/>
          <c:showBubbleSize val="0"/>
        </c:dLbls>
        <c:gapWidth val="150"/>
        <c:overlap val="100"/>
        <c:axId val="918101807"/>
        <c:axId val="976534614"/>
      </c:barChart>
      <c:catAx>
        <c:axId val="9181018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534614"/>
        <c:crosses val="autoZero"/>
        <c:auto val="1"/>
        <c:lblAlgn val="ctr"/>
        <c:lblOffset val="100"/>
        <c:noMultiLvlLbl val="0"/>
      </c:catAx>
      <c:valAx>
        <c:axId val="9765346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0180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25"/>
          <c:y val="0.0490740740740741"/>
          <c:w val="0.827583333333333"/>
          <c:h val="0.638796296296296"/>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 工作表.xls]Sheet1'!$B$2:$C$2</c:f>
              <c:numCache>
                <c:ptCount val="0"/>
              </c:numCache>
            </c:numRef>
          </c:cat>
          <c:val>
            <c:numRef>
              <c:f>'[新建 XLS 工作表.xls]Sheet1'!$B$3:$C$3</c:f>
              <c:numCache>
                <c:formatCode>General</c:formatCode>
                <c:ptCount val="2"/>
                <c:pt idx="0">
                  <c:v>309.49</c:v>
                </c:pt>
                <c:pt idx="1">
                  <c:v>191.16</c:v>
                </c:pt>
              </c:numCache>
            </c:numRef>
          </c:val>
        </c:ser>
        <c:dLbls>
          <c:showLegendKey val="0"/>
          <c:showVal val="1"/>
          <c:showCatName val="0"/>
          <c:showSerName val="0"/>
          <c:showPercent val="0"/>
          <c:showBubbleSize val="0"/>
        </c:dLbls>
        <c:gapWidth val="150"/>
        <c:overlap val="100"/>
        <c:axId val="918101807"/>
        <c:axId val="976534614"/>
      </c:barChart>
      <c:catAx>
        <c:axId val="9181018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534614"/>
        <c:crosses val="autoZero"/>
        <c:auto val="1"/>
        <c:lblAlgn val="ctr"/>
        <c:lblOffset val="100"/>
        <c:noMultiLvlLbl val="0"/>
      </c:catAx>
      <c:valAx>
        <c:axId val="9765346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0180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421682899569"/>
          <c:y val="0.149771092217135"/>
          <c:w val="0.801788280376816"/>
          <c:h val="0.666971877043819"/>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工作表.xls]Sheet1'!$B$2:$C$2</c:f>
              <c:strCache>
                <c:ptCount val="2"/>
                <c:pt idx="0">
                  <c:v>2020年</c:v>
                </c:pt>
                <c:pt idx="1">
                  <c:v>2019年</c:v>
                </c:pt>
              </c:strCache>
            </c:strRef>
          </c:cat>
          <c:val>
            <c:numRef>
              <c:f>'[新建 XLS 工作表.xls]Sheet1'!$B$3:$C$3</c:f>
              <c:numCache>
                <c:formatCode>General</c:formatCode>
                <c:ptCount val="2"/>
                <c:pt idx="0">
                  <c:v>309.49</c:v>
                </c:pt>
                <c:pt idx="1">
                  <c:v>191.16</c:v>
                </c:pt>
              </c:numCache>
            </c:numRef>
          </c:val>
        </c:ser>
        <c:dLbls>
          <c:showLegendKey val="0"/>
          <c:showVal val="1"/>
          <c:showCatName val="0"/>
          <c:showSerName val="0"/>
          <c:showPercent val="0"/>
          <c:showBubbleSize val="0"/>
        </c:dLbls>
        <c:gapWidth val="150"/>
        <c:overlap val="100"/>
        <c:axId val="918101807"/>
        <c:axId val="976534614"/>
      </c:barChart>
      <c:catAx>
        <c:axId val="9181018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534614"/>
        <c:crosses val="autoZero"/>
        <c:auto val="1"/>
        <c:lblAlgn val="ctr"/>
        <c:lblOffset val="100"/>
        <c:noMultiLvlLbl val="0"/>
      </c:catAx>
      <c:valAx>
        <c:axId val="9765346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0180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2287</Words>
  <Characters>13037</Characters>
  <Lines>108</Lines>
  <Paragraphs>30</Paragraphs>
  <TotalTime>2</TotalTime>
  <ScaleCrop>false</ScaleCrop>
  <LinksUpToDate>false</LinksUpToDate>
  <CharactersWithSpaces>15294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2021-08-16T09:56:00Z</dcterms:created>
  <dc:creator>1</dc:creator>
  <cp:lastModifiedBy>Administrator</cp:lastModifiedBy>
  <dcterms:modified xsi:type="dcterms:W3CDTF">2021-08-27T01:06:28Z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946431E7B6C04C9ABE32F4EE28EBCBE8</vt:lpwstr>
  </property>
</Properties>
</file>