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方正小标宋简体" w:hAnsi="宋体" w:eastAsia="方正小标宋简体" w:cs="华文宋体"/>
          <w:kern w:val="44"/>
          <w:sz w:val="44"/>
          <w:szCs w:val="44"/>
        </w:rPr>
      </w:pPr>
      <w:r>
        <w:rPr>
          <w:rFonts w:hint="eastAsia" w:ascii="黑体" w:eastAsia="黑体"/>
          <w:sz w:val="32"/>
          <w:szCs w:val="32"/>
        </w:rPr>
        <w:t>附件</w:t>
      </w:r>
      <w:r>
        <w:rPr>
          <w:rFonts w:hint="eastAsia" w:ascii="黑体" w:eastAsia="黑体"/>
          <w:sz w:val="32"/>
          <w:szCs w:val="32"/>
          <w:lang w:val="en-US" w:eastAsia="zh-CN"/>
        </w:rPr>
        <w:t>1</w:t>
      </w:r>
    </w:p>
    <w:p>
      <w:pPr>
        <w:keepNext/>
        <w:keepLines/>
        <w:jc w:val="center"/>
        <w:outlineLvl w:val="0"/>
        <w:rPr>
          <w:rFonts w:hint="eastAsia" w:ascii="方正小标宋简体" w:hAnsi="宋体" w:eastAsia="方正小标宋简体" w:cs="华文宋体"/>
          <w:kern w:val="44"/>
          <w:sz w:val="36"/>
          <w:szCs w:val="36"/>
          <w:lang w:eastAsia="zh-CN"/>
        </w:rPr>
      </w:pPr>
      <w:r>
        <w:rPr>
          <w:rFonts w:hint="eastAsia" w:ascii="方正小标宋简体" w:hAnsi="宋体" w:eastAsia="方正小标宋简体" w:cs="华文宋体"/>
          <w:kern w:val="44"/>
          <w:sz w:val="36"/>
          <w:szCs w:val="36"/>
        </w:rPr>
        <w:t>政务公开评估指标体系</w:t>
      </w:r>
      <w:r>
        <w:rPr>
          <w:rFonts w:hint="eastAsia" w:ascii="方正小标宋简体" w:hAnsi="宋体" w:eastAsia="方正小标宋简体" w:cs="华文宋体"/>
          <w:kern w:val="44"/>
          <w:sz w:val="36"/>
          <w:szCs w:val="36"/>
          <w:lang w:eastAsia="zh-CN"/>
        </w:rPr>
        <w:t>任务细则</w:t>
      </w:r>
    </w:p>
    <w:p>
      <w:pPr>
        <w:keepNext/>
        <w:keepLines/>
        <w:jc w:val="center"/>
        <w:outlineLvl w:val="0"/>
        <w:rPr>
          <w:rFonts w:ascii="楷体_GB2312" w:hAnsi="华文宋体" w:eastAsia="楷体_GB2312" w:cs="仿宋"/>
          <w:kern w:val="44"/>
          <w:sz w:val="32"/>
          <w:szCs w:val="32"/>
        </w:rPr>
      </w:pPr>
    </w:p>
    <w:tbl>
      <w:tblPr>
        <w:tblStyle w:val="10"/>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496"/>
        <w:gridCol w:w="2219"/>
        <w:gridCol w:w="2022"/>
        <w:gridCol w:w="4302"/>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tblHeader/>
          <w:jc w:val="center"/>
        </w:trPr>
        <w:tc>
          <w:tcPr>
            <w:tcW w:w="437" w:type="pct"/>
            <w:shd w:val="clear" w:color="000000" w:fill="auto"/>
            <w:noWrap/>
            <w:vAlign w:val="center"/>
          </w:tcPr>
          <w:p>
            <w:pPr>
              <w:widowControl/>
              <w:jc w:val="center"/>
              <w:rPr>
                <w:rFonts w:hint="eastAsia" w:ascii="仿宋" w:hAnsi="仿宋" w:eastAsia="仿宋" w:cs="仿宋"/>
                <w:b/>
                <w:bCs/>
                <w:color w:val="000000"/>
                <w:kern w:val="0"/>
                <w:sz w:val="24"/>
                <w:szCs w:val="24"/>
                <w:shd w:val="clear" w:color="auto" w:fill="auto"/>
              </w:rPr>
            </w:pPr>
            <w:bookmarkStart w:id="0" w:name="_Hlk83537963"/>
            <w:r>
              <w:rPr>
                <w:rFonts w:hint="eastAsia" w:ascii="仿宋" w:hAnsi="仿宋" w:eastAsia="仿宋" w:cs="仿宋"/>
                <w:b/>
                <w:bCs/>
                <w:color w:val="000000"/>
                <w:kern w:val="0"/>
                <w:sz w:val="24"/>
                <w:szCs w:val="24"/>
                <w:shd w:val="clear" w:color="auto" w:fill="auto"/>
              </w:rPr>
              <w:t>一级指标</w:t>
            </w:r>
          </w:p>
        </w:tc>
        <w:tc>
          <w:tcPr>
            <w:tcW w:w="548" w:type="pct"/>
            <w:shd w:val="clear" w:color="000000" w:fill="auto"/>
            <w:noWrap/>
            <w:vAlign w:val="center"/>
          </w:tcPr>
          <w:p>
            <w:pPr>
              <w:widowControl/>
              <w:jc w:val="center"/>
              <w:rPr>
                <w:rFonts w:hint="eastAsia" w:ascii="仿宋" w:hAnsi="仿宋" w:eastAsia="仿宋" w:cs="仿宋"/>
                <w:b/>
                <w:bCs/>
                <w:color w:val="000000"/>
                <w:kern w:val="0"/>
                <w:sz w:val="24"/>
                <w:szCs w:val="24"/>
                <w:shd w:val="clear" w:color="auto" w:fill="auto"/>
              </w:rPr>
            </w:pPr>
            <w:r>
              <w:rPr>
                <w:rFonts w:hint="eastAsia" w:ascii="仿宋" w:hAnsi="仿宋" w:eastAsia="仿宋" w:cs="仿宋"/>
                <w:b/>
                <w:bCs/>
                <w:color w:val="000000"/>
                <w:kern w:val="0"/>
                <w:sz w:val="24"/>
                <w:szCs w:val="24"/>
                <w:shd w:val="clear" w:color="auto" w:fill="auto"/>
              </w:rPr>
              <w:t>二级指标</w:t>
            </w:r>
          </w:p>
        </w:tc>
        <w:tc>
          <w:tcPr>
            <w:tcW w:w="813" w:type="pct"/>
            <w:shd w:val="clear" w:color="000000" w:fill="auto"/>
            <w:noWrap/>
            <w:vAlign w:val="center"/>
          </w:tcPr>
          <w:p>
            <w:pPr>
              <w:widowControl/>
              <w:jc w:val="center"/>
              <w:rPr>
                <w:rFonts w:hint="eastAsia" w:ascii="仿宋" w:hAnsi="仿宋" w:eastAsia="仿宋" w:cs="仿宋"/>
                <w:b/>
                <w:bCs/>
                <w:color w:val="000000"/>
                <w:kern w:val="0"/>
                <w:sz w:val="24"/>
                <w:szCs w:val="24"/>
                <w:shd w:val="clear" w:color="auto" w:fill="auto"/>
              </w:rPr>
            </w:pPr>
            <w:r>
              <w:rPr>
                <w:rFonts w:hint="eastAsia" w:ascii="仿宋" w:hAnsi="仿宋" w:eastAsia="仿宋" w:cs="仿宋"/>
                <w:b/>
                <w:bCs/>
                <w:color w:val="000000"/>
                <w:kern w:val="0"/>
                <w:sz w:val="24"/>
                <w:szCs w:val="24"/>
                <w:shd w:val="clear" w:color="auto" w:fill="auto"/>
              </w:rPr>
              <w:t>三级指标</w:t>
            </w:r>
          </w:p>
        </w:tc>
        <w:tc>
          <w:tcPr>
            <w:tcW w:w="741" w:type="pct"/>
            <w:shd w:val="clear" w:color="000000" w:fill="auto"/>
            <w:noWrap/>
            <w:vAlign w:val="center"/>
          </w:tcPr>
          <w:p>
            <w:pPr>
              <w:widowControl/>
              <w:jc w:val="center"/>
              <w:rPr>
                <w:rFonts w:hint="eastAsia" w:ascii="仿宋" w:hAnsi="仿宋" w:eastAsia="仿宋" w:cs="仿宋"/>
                <w:b/>
                <w:bCs/>
                <w:color w:val="000000"/>
                <w:kern w:val="0"/>
                <w:sz w:val="24"/>
                <w:szCs w:val="24"/>
                <w:shd w:val="clear" w:color="auto" w:fill="auto"/>
              </w:rPr>
            </w:pPr>
            <w:r>
              <w:rPr>
                <w:rFonts w:hint="eastAsia" w:ascii="仿宋" w:hAnsi="仿宋" w:eastAsia="仿宋" w:cs="仿宋"/>
                <w:b/>
                <w:bCs/>
                <w:color w:val="000000"/>
                <w:kern w:val="0"/>
                <w:sz w:val="24"/>
                <w:szCs w:val="24"/>
                <w:shd w:val="clear" w:color="auto" w:fill="auto"/>
              </w:rPr>
              <w:t>四级指标</w:t>
            </w:r>
          </w:p>
        </w:tc>
        <w:tc>
          <w:tcPr>
            <w:tcW w:w="1576" w:type="pct"/>
            <w:shd w:val="clear" w:color="000000" w:fill="auto"/>
            <w:vAlign w:val="center"/>
          </w:tcPr>
          <w:p>
            <w:pPr>
              <w:widowControl/>
              <w:jc w:val="center"/>
              <w:rPr>
                <w:rFonts w:hint="eastAsia" w:ascii="仿宋" w:hAnsi="仿宋" w:eastAsia="仿宋" w:cs="仿宋"/>
                <w:b/>
                <w:bCs/>
                <w:color w:val="000000"/>
                <w:kern w:val="0"/>
                <w:sz w:val="24"/>
                <w:szCs w:val="24"/>
                <w:shd w:val="clear" w:color="auto" w:fill="auto"/>
              </w:rPr>
            </w:pPr>
            <w:r>
              <w:rPr>
                <w:rFonts w:hint="eastAsia" w:ascii="仿宋" w:hAnsi="仿宋" w:eastAsia="仿宋" w:cs="仿宋"/>
                <w:b/>
                <w:bCs/>
                <w:color w:val="000000"/>
                <w:kern w:val="0"/>
                <w:sz w:val="24"/>
                <w:szCs w:val="24"/>
                <w:shd w:val="clear" w:color="auto" w:fill="auto"/>
              </w:rPr>
              <w:t>五级指标</w:t>
            </w:r>
          </w:p>
        </w:tc>
        <w:tc>
          <w:tcPr>
            <w:tcW w:w="882" w:type="pct"/>
            <w:shd w:val="clear" w:color="000000" w:fill="auto"/>
            <w:vAlign w:val="center"/>
          </w:tcPr>
          <w:p>
            <w:pPr>
              <w:widowControl/>
              <w:jc w:val="center"/>
              <w:rPr>
                <w:rFonts w:hint="eastAsia" w:ascii="仿宋" w:hAnsi="仿宋" w:eastAsia="仿宋" w:cs="仿宋"/>
                <w:b/>
                <w:bCs/>
                <w:color w:val="000000"/>
                <w:kern w:val="0"/>
                <w:sz w:val="24"/>
                <w:szCs w:val="24"/>
                <w:shd w:val="clear" w:color="auto" w:fill="auto"/>
              </w:rPr>
            </w:pPr>
            <w:r>
              <w:rPr>
                <w:rFonts w:hint="eastAsia" w:ascii="仿宋" w:hAnsi="仿宋" w:eastAsia="仿宋" w:cs="仿宋"/>
                <w:b/>
                <w:bCs/>
                <w:color w:val="000000"/>
                <w:kern w:val="0"/>
                <w:sz w:val="24"/>
                <w:szCs w:val="24"/>
                <w:shd w:val="clear" w:color="auto" w:fill="auto"/>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7" w:hRule="atLeast"/>
          <w:jc w:val="center"/>
        </w:trPr>
        <w:tc>
          <w:tcPr>
            <w:tcW w:w="437"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主动公开</w:t>
            </w:r>
          </w:p>
        </w:tc>
        <w:tc>
          <w:tcPr>
            <w:tcW w:w="548"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法定基础内容</w:t>
            </w:r>
          </w:p>
        </w:tc>
        <w:tc>
          <w:tcPr>
            <w:tcW w:w="813"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机构职能</w:t>
            </w:r>
          </w:p>
        </w:tc>
        <w:tc>
          <w:tcPr>
            <w:tcW w:w="741"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机构设置</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是否公开本部门机构设置、部门职能、办公地址、办公时间、联系方式等信息</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领导信息</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是否公开本部门的负责人信息，包括姓名、职务、分工等</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06"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履职依据</w:t>
            </w:r>
          </w:p>
        </w:tc>
        <w:tc>
          <w:tcPr>
            <w:tcW w:w="741"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专栏建设</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是否按照文件类型、主题、体裁等进行多维度分类，以及结合用户类型、办事需求等主动推送情况</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4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是否提供专门的政策文件检索功能</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7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规范性文件</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是否列明规范性文件的文号、成文日期、发布日期、有效性等</w:t>
            </w:r>
          </w:p>
        </w:tc>
        <w:tc>
          <w:tcPr>
            <w:tcW w:w="882" w:type="pc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区司法局督导，所有部门、单位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是否定期公开规范性文件备案目录</w:t>
            </w:r>
          </w:p>
        </w:tc>
        <w:tc>
          <w:tcPr>
            <w:tcW w:w="882" w:type="pc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是否公开近三年规范性文件清理结果</w:t>
            </w:r>
          </w:p>
        </w:tc>
        <w:tc>
          <w:tcPr>
            <w:tcW w:w="882" w:type="pct"/>
            <w:tcBorders>
              <w:bottom w:val="single" w:color="auto" w:sz="4" w:space="0"/>
            </w:tcBorders>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规划计划</w:t>
            </w:r>
          </w:p>
        </w:tc>
        <w:tc>
          <w:tcPr>
            <w:tcW w:w="741"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“十四五”规划</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是否集中公开本地区“十四五”规划和专项规划、空间规划、区域规划</w:t>
            </w:r>
          </w:p>
        </w:tc>
        <w:tc>
          <w:tcPr>
            <w:tcW w:w="882" w:type="pct"/>
            <w:tcBorders>
              <w:bottom w:val="single" w:color="auto" w:sz="4" w:space="0"/>
            </w:tcBorders>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区发展和改革局督导，区自然资源局、</w:t>
            </w:r>
            <w:r>
              <w:rPr>
                <w:rFonts w:hint="eastAsia" w:ascii="仿宋_GB2312" w:hAnsi="等线" w:eastAsia="仿宋_GB2312" w:cs="宋体"/>
                <w:color w:val="000000"/>
                <w:kern w:val="0"/>
                <w:sz w:val="24"/>
                <w:szCs w:val="24"/>
                <w:lang w:eastAsia="zh-CN"/>
              </w:rPr>
              <w:t>区生态环境分局</w:t>
            </w:r>
            <w:r>
              <w:rPr>
                <w:rFonts w:hint="eastAsia" w:ascii="仿宋_GB2312" w:hAnsi="等线" w:eastAsia="仿宋_GB2312" w:cs="宋体"/>
                <w:color w:val="000000"/>
                <w:kern w:val="0"/>
                <w:sz w:val="24"/>
                <w:szCs w:val="24"/>
              </w:rPr>
              <w:t>、区交通运输局、区工业和信息化局、区市场监督管理局提供相关内容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tcBorders>
              <w:bottom w:val="single" w:color="auto" w:sz="4" w:space="0"/>
            </w:tcBorders>
            <w:vAlign w:val="center"/>
          </w:tcPr>
          <w:p>
            <w:pPr>
              <w:widowControl/>
              <w:jc w:val="left"/>
              <w:rPr>
                <w:rFonts w:ascii="仿宋_GB2312" w:hAnsi="等线" w:eastAsia="仿宋_GB2312" w:cs="宋体"/>
                <w:color w:val="000000"/>
                <w:kern w:val="0"/>
                <w:sz w:val="24"/>
                <w:szCs w:val="24"/>
              </w:rPr>
            </w:pPr>
          </w:p>
        </w:tc>
        <w:tc>
          <w:tcPr>
            <w:tcW w:w="741" w:type="pct"/>
            <w:tcBorders>
              <w:bottom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历史规划（计划）</w:t>
            </w:r>
          </w:p>
        </w:tc>
        <w:tc>
          <w:tcPr>
            <w:tcW w:w="1576" w:type="pct"/>
            <w:tcBorders>
              <w:bottom w:val="single" w:color="auto" w:sz="4" w:space="0"/>
            </w:tcBorders>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是否做好本地区历史规划（计划）的归集整理和主动公开工作</w:t>
            </w:r>
          </w:p>
        </w:tc>
        <w:tc>
          <w:tcPr>
            <w:tcW w:w="882" w:type="pct"/>
            <w:tcBorders>
              <w:bottom w:val="single" w:color="auto" w:sz="4" w:space="0"/>
            </w:tcBorders>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政府工作报告</w:t>
            </w:r>
          </w:p>
        </w:tc>
        <w:tc>
          <w:tcPr>
            <w:tcW w:w="741"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发布情况</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是否在门户网站集中公开本级历年政府工作报告</w:t>
            </w:r>
          </w:p>
        </w:tc>
        <w:tc>
          <w:tcPr>
            <w:tcW w:w="882" w:type="pct"/>
            <w:tcBorders>
              <w:top w:val="single" w:color="auto" w:sz="4" w:space="0"/>
            </w:tcBorders>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进展情况</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是否公开政府工作报告的目标任务、责任分工、监督方式</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是否根据工作推进情况定期公开工作进展、取得成效、后续举措等</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权责清单</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清单发布</w:t>
            </w:r>
          </w:p>
          <w:p>
            <w:pPr>
              <w:jc w:val="center"/>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是否公开本级政府部门权责清单</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区行政审批服务局</w:t>
            </w:r>
            <w:r>
              <w:rPr>
                <w:rFonts w:hint="eastAsia" w:ascii="仿宋_GB2312" w:hAnsi="等线" w:eastAsia="仿宋_GB2312" w:cs="宋体"/>
                <w:color w:val="000000"/>
                <w:kern w:val="0"/>
                <w:sz w:val="24"/>
                <w:szCs w:val="24"/>
              </w:rPr>
              <w:t>督导，除区信访局、区投资促进中心、区风景名胜区管理委员会外的部门、单位及</w:t>
            </w: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提供相关内容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清单要素</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是否能够按照职权名称、编码、类型、依据、行使主体、流程图、监督方式等要素统一公开</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2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动态调整</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是否根据法律法规立改废释情况、机构和职能调整情况等，及时调整</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5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处罚强制信息</w:t>
            </w:r>
          </w:p>
        </w:tc>
        <w:tc>
          <w:tcPr>
            <w:tcW w:w="741" w:type="pct"/>
            <w:shd w:val="clear" w:color="auto" w:fill="auto"/>
            <w:vAlign w:val="center"/>
          </w:tcPr>
          <w:p>
            <w:pPr>
              <w:widowControl/>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依据、条件和程序</w:t>
            </w:r>
          </w:p>
        </w:tc>
        <w:tc>
          <w:tcPr>
            <w:tcW w:w="1576" w:type="pct"/>
            <w:shd w:val="clear" w:color="auto" w:fill="auto"/>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是否能够集中公开行政处罚、行政强制的依据、条件、程序</w:t>
            </w:r>
          </w:p>
        </w:tc>
        <w:tc>
          <w:tcPr>
            <w:tcW w:w="882" w:type="pct"/>
            <w:vMerge w:val="restart"/>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区发展和改革局、区地方金融监督管理局、</w:t>
            </w:r>
            <w:r>
              <w:rPr>
                <w:rFonts w:hint="eastAsia" w:ascii="仿宋_GB2312" w:hAnsi="等线" w:eastAsia="仿宋_GB2312" w:cs="宋体"/>
                <w:color w:val="000000"/>
                <w:kern w:val="0"/>
                <w:sz w:val="24"/>
                <w:szCs w:val="24"/>
                <w:lang w:eastAsia="zh-CN"/>
              </w:rPr>
              <w:t>区医疗保障分局</w:t>
            </w:r>
            <w:r>
              <w:rPr>
                <w:rFonts w:hint="eastAsia" w:ascii="仿宋_GB2312" w:hAnsi="等线" w:eastAsia="仿宋_GB2312" w:cs="宋体"/>
                <w:color w:val="000000"/>
                <w:kern w:val="0"/>
                <w:sz w:val="24"/>
                <w:szCs w:val="24"/>
              </w:rPr>
              <w:t>、区工业和信息化局、区公安分局、区教育和体育局、区民政局、</w:t>
            </w:r>
            <w:r>
              <w:rPr>
                <w:rFonts w:hint="eastAsia" w:ascii="仿宋_GB2312" w:hAnsi="等线" w:eastAsia="仿宋_GB2312" w:cs="宋体"/>
                <w:color w:val="000000"/>
                <w:kern w:val="0"/>
                <w:sz w:val="24"/>
                <w:szCs w:val="24"/>
                <w:lang w:eastAsia="zh-CN"/>
              </w:rPr>
              <w:t>区人力资源和社会保障局</w:t>
            </w:r>
            <w:r>
              <w:rPr>
                <w:rFonts w:hint="eastAsia" w:ascii="仿宋_GB2312" w:hAnsi="等线" w:eastAsia="仿宋_GB2312" w:cs="宋体"/>
                <w:color w:val="000000"/>
                <w:kern w:val="0"/>
                <w:sz w:val="24"/>
                <w:szCs w:val="24"/>
              </w:rPr>
              <w:t>、区住房和城乡建设局、区交通运输局、区水利局、区文化和旅游局、区卫生健康局、</w:t>
            </w:r>
            <w:r>
              <w:rPr>
                <w:rFonts w:hint="eastAsia" w:ascii="仿宋_GB2312" w:hAnsi="等线" w:eastAsia="仿宋_GB2312" w:cs="宋体"/>
                <w:color w:val="000000"/>
                <w:kern w:val="0"/>
                <w:sz w:val="24"/>
                <w:szCs w:val="24"/>
                <w:lang w:eastAsia="zh-CN"/>
              </w:rPr>
              <w:t>区生态环境分局</w:t>
            </w:r>
            <w:r>
              <w:rPr>
                <w:rFonts w:hint="eastAsia" w:ascii="仿宋_GB2312" w:hAnsi="等线" w:eastAsia="仿宋_GB2312" w:cs="宋体"/>
                <w:color w:val="000000"/>
                <w:kern w:val="0"/>
                <w:sz w:val="24"/>
                <w:szCs w:val="24"/>
              </w:rPr>
              <w:t>、区应急管理局、区综合行政执法局、区市场监督管理局、区自然资源局、（区司法局、区财政局、区科学技术局、区商务局、区统计局只评估行政处罚）、（区农业农村局只评估行政强制）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43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kern w:val="0"/>
                <w:sz w:val="24"/>
                <w:szCs w:val="24"/>
              </w:rPr>
            </w:pPr>
          </w:p>
        </w:tc>
        <w:tc>
          <w:tcPr>
            <w:tcW w:w="741" w:type="pct"/>
            <w:shd w:val="clear" w:color="auto" w:fill="auto"/>
            <w:vAlign w:val="center"/>
          </w:tcPr>
          <w:p>
            <w:pPr>
              <w:widowControl/>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结果</w:t>
            </w:r>
          </w:p>
        </w:tc>
        <w:tc>
          <w:tcPr>
            <w:tcW w:w="1576" w:type="pct"/>
            <w:shd w:val="clear" w:color="auto" w:fill="auto"/>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是否能够公开本部门认为具有一定社会影响的行政处罚决定</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0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政府采购</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目录标准</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是否及时公开本级政府集中采购项目的目录和标准</w:t>
            </w:r>
          </w:p>
        </w:tc>
        <w:tc>
          <w:tcPr>
            <w:tcW w:w="882" w:type="pct"/>
            <w:vMerge w:val="restart"/>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2" w:hRule="atLeast"/>
          <w:jc w:val="center"/>
        </w:trPr>
        <w:tc>
          <w:tcPr>
            <w:tcW w:w="437" w:type="pct"/>
            <w:vMerge w:val="continue"/>
            <w:tcBorders>
              <w:bottom w:val="single" w:color="auto" w:sz="4" w:space="0"/>
            </w:tcBorders>
            <w:vAlign w:val="center"/>
          </w:tcPr>
          <w:p>
            <w:pPr>
              <w:widowControl/>
              <w:jc w:val="left"/>
              <w:rPr>
                <w:rFonts w:ascii="仿宋_GB2312" w:hAnsi="等线" w:eastAsia="仿宋_GB2312" w:cs="宋体"/>
                <w:color w:val="000000"/>
                <w:kern w:val="0"/>
                <w:sz w:val="24"/>
                <w:szCs w:val="24"/>
              </w:rPr>
            </w:pPr>
          </w:p>
        </w:tc>
        <w:tc>
          <w:tcPr>
            <w:tcW w:w="548" w:type="pct"/>
            <w:vMerge w:val="continue"/>
            <w:tcBorders>
              <w:bottom w:val="single" w:color="auto" w:sz="4" w:space="0"/>
            </w:tcBorders>
            <w:vAlign w:val="center"/>
          </w:tcPr>
          <w:p>
            <w:pPr>
              <w:widowControl/>
              <w:jc w:val="left"/>
              <w:rPr>
                <w:rFonts w:ascii="仿宋_GB2312" w:hAnsi="等线" w:eastAsia="仿宋_GB2312" w:cs="宋体"/>
                <w:color w:val="000000"/>
                <w:kern w:val="0"/>
                <w:sz w:val="24"/>
                <w:szCs w:val="24"/>
              </w:rPr>
            </w:pPr>
          </w:p>
        </w:tc>
        <w:tc>
          <w:tcPr>
            <w:tcW w:w="813" w:type="pct"/>
            <w:vMerge w:val="continue"/>
            <w:tcBorders>
              <w:bottom w:val="single" w:color="auto" w:sz="4" w:space="0"/>
            </w:tcBorders>
            <w:vAlign w:val="center"/>
          </w:tcPr>
          <w:p>
            <w:pPr>
              <w:widowControl/>
              <w:jc w:val="left"/>
              <w:rPr>
                <w:rFonts w:ascii="仿宋_GB2312" w:hAnsi="等线" w:eastAsia="仿宋_GB2312" w:cs="宋体"/>
                <w:color w:val="000000"/>
                <w:kern w:val="0"/>
                <w:sz w:val="24"/>
                <w:szCs w:val="24"/>
              </w:rPr>
            </w:pPr>
          </w:p>
        </w:tc>
        <w:tc>
          <w:tcPr>
            <w:tcW w:w="741" w:type="pct"/>
            <w:tcBorders>
              <w:bottom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实施情况</w:t>
            </w:r>
          </w:p>
        </w:tc>
        <w:tc>
          <w:tcPr>
            <w:tcW w:w="1576" w:type="pct"/>
            <w:tcBorders>
              <w:bottom w:val="single" w:color="auto" w:sz="4" w:space="0"/>
            </w:tcBorders>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是否及时公开2020年度本级政府集中采购实施情况</w:t>
            </w:r>
          </w:p>
        </w:tc>
        <w:tc>
          <w:tcPr>
            <w:tcW w:w="882" w:type="pct"/>
            <w:vMerge w:val="continue"/>
            <w:tcBorders>
              <w:bottom w:val="single" w:color="auto" w:sz="4" w:space="0"/>
            </w:tcBorders>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0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行政事业性收费</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目录发布</w:t>
            </w:r>
          </w:p>
        </w:tc>
        <w:tc>
          <w:tcPr>
            <w:tcW w:w="1576" w:type="pct"/>
            <w:shd w:val="clear" w:color="auto" w:fill="auto"/>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是否设置专栏集中发布县级行政事业性收费目录</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1"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依据和标准</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项目名称、资金管理方式、政策依据、执收部门、征收对象、征收标准等要素是否完整</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68"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涉企收费</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w:t>
            </w:r>
            <w:r>
              <w:rPr>
                <w:rFonts w:ascii="仿宋_GB2312" w:hAnsi="等线" w:eastAsia="仿宋_GB2312" w:cs="宋体"/>
                <w:color w:val="000000"/>
                <w:kern w:val="0"/>
                <w:sz w:val="24"/>
                <w:szCs w:val="24"/>
              </w:rPr>
              <w:t>10月底前依据中央和省级行政事业性收费、政府性基金清理规范结果，对行政事业性收费、政府性基金清单进行实时更新</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统计信息</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统计公报</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是否发布本地区2020年国民经济和社会发展统计公报</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统计数据</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是否定期发布本地区经济社会发展统计数据及分析解读信息</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6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公务员招考</w:t>
            </w:r>
          </w:p>
        </w:tc>
        <w:tc>
          <w:tcPr>
            <w:tcW w:w="741" w:type="pct"/>
            <w:shd w:val="clear" w:color="auto" w:fill="auto"/>
            <w:vAlign w:val="center"/>
          </w:tcPr>
          <w:p>
            <w:pPr>
              <w:widowControl/>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栏目设置</w:t>
            </w:r>
          </w:p>
        </w:tc>
        <w:tc>
          <w:tcPr>
            <w:tcW w:w="1576" w:type="pct"/>
            <w:shd w:val="clear" w:color="auto" w:fill="auto"/>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是否在政府网站设立专栏提供公务员招考信息或链接</w:t>
            </w:r>
          </w:p>
        </w:tc>
        <w:tc>
          <w:tcPr>
            <w:tcW w:w="882" w:type="pct"/>
            <w:vMerge w:val="restart"/>
            <w:shd w:val="clear" w:color="auto" w:fill="auto"/>
            <w:noWrap/>
            <w:vAlign w:val="center"/>
          </w:tcPr>
          <w:p>
            <w:pPr>
              <w:rPr>
                <w:rFonts w:ascii="仿宋_GB2312" w:hAnsi="等线" w:eastAsia="仿宋_GB2312" w:cs="宋体"/>
                <w:kern w:val="0"/>
                <w:sz w:val="24"/>
                <w:szCs w:val="24"/>
              </w:rPr>
            </w:pPr>
            <w:r>
              <w:rPr>
                <w:rFonts w:hint="eastAsia" w:ascii="仿宋_GB2312" w:hAnsi="等线" w:eastAsia="仿宋_GB2312" w:cs="宋体"/>
                <w:kern w:val="0"/>
                <w:sz w:val="24"/>
                <w:szCs w:val="24"/>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kern w:val="0"/>
                <w:sz w:val="24"/>
                <w:szCs w:val="24"/>
              </w:rPr>
            </w:pPr>
            <w:r>
              <w:rPr>
                <w:rFonts w:hint="eastAsia" w:ascii="仿宋_GB2312" w:hAnsi="等线" w:eastAsia="仿宋_GB2312" w:cs="宋体"/>
                <w:color w:val="000000" w:themeColor="text1"/>
                <w:kern w:val="0"/>
                <w:sz w:val="24"/>
                <w:szCs w:val="24"/>
                <w14:textFill>
                  <w14:solidFill>
                    <w14:schemeClr w14:val="tx1"/>
                  </w14:solidFill>
                </w14:textFill>
              </w:rPr>
              <w:t>招考信息</w:t>
            </w:r>
          </w:p>
        </w:tc>
        <w:tc>
          <w:tcPr>
            <w:tcW w:w="1576" w:type="pct"/>
            <w:shd w:val="clear" w:color="auto" w:fill="auto"/>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是否及时公开2021年度本级政府招考职位、名额、报考条件</w:t>
            </w:r>
          </w:p>
        </w:tc>
        <w:tc>
          <w:tcPr>
            <w:tcW w:w="882" w:type="pct"/>
            <w:vMerge w:val="continue"/>
            <w:shd w:val="clear" w:color="auto" w:fill="auto"/>
            <w:noWrap/>
            <w:vAlign w:val="center"/>
          </w:tcPr>
          <w:p>
            <w:pPr>
              <w:rPr>
                <w:rFonts w:ascii="仿宋_GB2312" w:hAnsi="等线"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kern w:val="0"/>
                <w:sz w:val="24"/>
                <w:szCs w:val="24"/>
              </w:rPr>
            </w:pPr>
          </w:p>
        </w:tc>
        <w:tc>
          <w:tcPr>
            <w:tcW w:w="741" w:type="pct"/>
            <w:vMerge w:val="continue"/>
            <w:vAlign w:val="center"/>
          </w:tcPr>
          <w:p>
            <w:pPr>
              <w:widowControl/>
              <w:jc w:val="left"/>
              <w:rPr>
                <w:rFonts w:ascii="仿宋_GB2312" w:hAnsi="等线" w:eastAsia="仿宋_GB2312" w:cs="宋体"/>
                <w:kern w:val="0"/>
                <w:sz w:val="24"/>
                <w:szCs w:val="24"/>
              </w:rPr>
            </w:pPr>
          </w:p>
        </w:tc>
        <w:tc>
          <w:tcPr>
            <w:tcW w:w="1576" w:type="pct"/>
            <w:shd w:val="clear" w:color="auto" w:fill="auto"/>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是否及时公开2021年度本级政府公务员招考录用结果</w:t>
            </w:r>
          </w:p>
        </w:tc>
        <w:tc>
          <w:tcPr>
            <w:tcW w:w="882" w:type="pct"/>
            <w:vMerge w:val="continue"/>
            <w:shd w:val="clear" w:color="auto" w:fill="auto"/>
            <w:noWrap/>
            <w:vAlign w:val="center"/>
          </w:tcPr>
          <w:p>
            <w:pPr>
              <w:widowControl/>
              <w:rPr>
                <w:rFonts w:ascii="仿宋_GB2312" w:hAnsi="等线"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重点领域信息（基层政务公开标准化规范化）</w:t>
            </w: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财政信息</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专栏设置</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是否设立财政预决算信息公开统一平台（或专栏），并对内容进行分级分类</w:t>
            </w:r>
          </w:p>
        </w:tc>
        <w:tc>
          <w:tcPr>
            <w:tcW w:w="882" w:type="pc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kern w:val="0"/>
                <w:sz w:val="24"/>
                <w:szCs w:val="24"/>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公开标准</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是否公开本地区政府财政预决算领域基层政务公开事项标准目录</w:t>
            </w:r>
          </w:p>
        </w:tc>
        <w:tc>
          <w:tcPr>
            <w:tcW w:w="882" w:type="pc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0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财政预决算</w:t>
            </w:r>
          </w:p>
        </w:tc>
        <w:tc>
          <w:tcPr>
            <w:tcW w:w="1576" w:type="pct"/>
            <w:shd w:val="clear" w:color="auto" w:fill="auto"/>
            <w:vAlign w:val="center"/>
          </w:tcPr>
          <w:p>
            <w:pPr>
              <w:widowControl/>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是否公开本部门预决算说明、表格以</w:t>
            </w:r>
            <w:r>
              <w:rPr>
                <w:rFonts w:hint="eastAsia" w:ascii="仿宋_GB2312" w:hAnsi="等线" w:eastAsia="仿宋_GB2312" w:cs="宋体"/>
                <w:color w:val="000000" w:themeColor="text1"/>
                <w:kern w:val="0"/>
                <w:sz w:val="24"/>
                <w:szCs w:val="24"/>
                <w:lang w:eastAsia="zh-CN"/>
                <w14:textFill>
                  <w14:solidFill>
                    <w14:schemeClr w14:val="tx1"/>
                  </w14:solidFill>
                </w14:textFill>
              </w:rPr>
              <w:t>及“</w:t>
            </w:r>
            <w:r>
              <w:rPr>
                <w:rFonts w:hint="eastAsia" w:ascii="仿宋_GB2312" w:hAnsi="等线" w:eastAsia="仿宋_GB2312" w:cs="宋体"/>
                <w:color w:val="000000" w:themeColor="text1"/>
                <w:kern w:val="0"/>
                <w:sz w:val="24"/>
                <w:szCs w:val="24"/>
                <w14:textFill>
                  <w14:solidFill>
                    <w14:schemeClr w14:val="tx1"/>
                  </w14:solidFill>
                </w14:textFill>
              </w:rPr>
              <w:t>三公</w:t>
            </w:r>
            <w:r>
              <w:rPr>
                <w:rFonts w:hint="eastAsia" w:ascii="仿宋_GB2312" w:hAnsi="等线" w:eastAsia="仿宋_GB2312" w:cs="宋体"/>
                <w:color w:val="000000" w:themeColor="text1"/>
                <w:kern w:val="0"/>
                <w:sz w:val="24"/>
                <w:szCs w:val="24"/>
                <w:lang w:eastAsia="zh-CN"/>
                <w14:textFill>
                  <w14:solidFill>
                    <w14:schemeClr w14:val="tx1"/>
                  </w14:solidFill>
                </w14:textFill>
              </w:rPr>
              <w:t>”</w:t>
            </w:r>
            <w:r>
              <w:rPr>
                <w:rFonts w:hint="eastAsia" w:ascii="仿宋_GB2312" w:hAnsi="等线" w:eastAsia="仿宋_GB2312" w:cs="宋体"/>
                <w:color w:val="000000" w:themeColor="text1"/>
                <w:kern w:val="0"/>
                <w:sz w:val="24"/>
                <w:szCs w:val="24"/>
                <w14:textFill>
                  <w14:solidFill>
                    <w14:schemeClr w14:val="tx1"/>
                  </w14:solidFill>
                </w14:textFill>
              </w:rPr>
              <w:t>经费预决算情况以及重点部门的绩效文本、重点项目绩效目标和绩效评价结果</w:t>
            </w:r>
          </w:p>
        </w:tc>
        <w:tc>
          <w:tcPr>
            <w:tcW w:w="882" w:type="pc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16"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财政收支</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是否按月公开财政收支情况，解读财政收支增减变化情况及原因、预判财政收入走势</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8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政府债务</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是否随同预决算公开地方政府债务限额、余额、使用安排及还本付息等信息</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2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行政执法公示</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公开标准</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是否公开本地区城市综合执法领域基层政务公开事项标准目录</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区综合行政执法局</w:t>
            </w: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rPr>
              <w:t>区统计局、区司法局、区卫生健康局、</w:t>
            </w:r>
            <w:r>
              <w:rPr>
                <w:rFonts w:hint="eastAsia" w:ascii="仿宋_GB2312" w:hAnsi="等线" w:eastAsia="仿宋_GB2312" w:cs="宋体"/>
                <w:color w:val="000000"/>
                <w:kern w:val="0"/>
                <w:sz w:val="24"/>
                <w:szCs w:val="24"/>
                <w:lang w:eastAsia="zh-CN"/>
              </w:rPr>
              <w:t>区人力资源和社会保障局</w:t>
            </w:r>
            <w:r>
              <w:rPr>
                <w:rFonts w:hint="eastAsia" w:ascii="仿宋_GB2312" w:hAnsi="等线" w:eastAsia="仿宋_GB2312" w:cs="宋体"/>
                <w:color w:val="000000"/>
                <w:kern w:val="0"/>
                <w:sz w:val="24"/>
                <w:szCs w:val="24"/>
              </w:rPr>
              <w:t>、区公安分局、区应急管理局、</w:t>
            </w:r>
            <w:r>
              <w:rPr>
                <w:rFonts w:hint="eastAsia" w:ascii="仿宋_GB2312" w:hAnsi="等线" w:eastAsia="仿宋_GB2312" w:cs="宋体"/>
                <w:color w:val="000000"/>
                <w:kern w:val="0"/>
                <w:sz w:val="24"/>
                <w:szCs w:val="24"/>
                <w:lang w:eastAsia="zh-CN"/>
              </w:rPr>
              <w:t>区生态环境分局</w:t>
            </w:r>
            <w:r>
              <w:rPr>
                <w:rFonts w:hint="eastAsia" w:ascii="仿宋_GB2312" w:hAnsi="等线" w:eastAsia="仿宋_GB2312" w:cs="宋体"/>
                <w:color w:val="000000"/>
                <w:kern w:val="0"/>
                <w:sz w:val="24"/>
                <w:szCs w:val="24"/>
              </w:rPr>
              <w:t>、区文化和旅游局、区商务局、区交通运输局、区地方金融监督管理局、区教育和体育局、区发展和改革局、区住房和城乡建设局、</w:t>
            </w:r>
            <w:r>
              <w:rPr>
                <w:rFonts w:hint="eastAsia" w:ascii="仿宋_GB2312" w:hAnsi="等线" w:eastAsia="仿宋_GB2312" w:cs="宋体"/>
                <w:color w:val="000000"/>
                <w:kern w:val="0"/>
                <w:sz w:val="24"/>
                <w:szCs w:val="24"/>
                <w:lang w:eastAsia="zh-CN"/>
              </w:rPr>
              <w:t>区医疗保障分局</w:t>
            </w:r>
            <w:r>
              <w:rPr>
                <w:rFonts w:hint="eastAsia" w:ascii="仿宋_GB2312" w:hAnsi="等线" w:eastAsia="仿宋_GB2312" w:cs="宋体"/>
                <w:color w:val="000000"/>
                <w:kern w:val="0"/>
                <w:sz w:val="24"/>
                <w:szCs w:val="24"/>
              </w:rPr>
              <w:t>、区行政审批服务局、区民政局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5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平台建设</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是否搭建或利用统一的执法信息公示平台</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事前公开</w:t>
            </w:r>
          </w:p>
        </w:tc>
        <w:tc>
          <w:tcPr>
            <w:tcW w:w="1576" w:type="pct"/>
            <w:shd w:val="clear" w:color="auto" w:fill="auto"/>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是否向社会依法公开行政执法职责、权限、依据、程序、监督途径等信息</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是否编制并公开本部门的服务指南、执法流程图，明确执法事项名称、受理机构、审批机构、受理条件、办理时限等内容</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事后公开</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是否按时向社会公布执法机关、执法对象、执法类别、执法结论等执法结果信息</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是否于每年1月31日前公开本部门上年度行政执法总体情况有关数据</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养老服务</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公开标准</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是否公开本地区养老服务领域基层政务公开事项标准目录</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通用政策</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是否公开本地区养老服务扶持政策措施清单及养老机构投资指南等养老服务、养老机构相关补贴政策</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是否公开本地区养老服务设施评估结果、养老公共服务清单等信息</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补贴发放</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是否及时公开本地区老年人养老保障、补贴相关政策</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是否按月度公开本区域各项老年人补贴申领数量、审核通过数量、审核通过名单以及各项补贴发放总金额</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重大建设项目</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公开标准</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是否公开本地区重大建设项目领域基层政务公开事项标准目录</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项目范围</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是否根据本区域特点和工作侧重点，明确重大建设项目范围或发布重大建设项目清单</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批准服务</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是否集中发布重大建设项目相关的申报要求、申报材料清单、批准流程、办理时限、受理机构联系方式、监督举报方式等服务信息</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区发展和改革局督导，区工业和信息化局、区住房和城乡建设局、区自然资源局、区交通运输局、区水利局、区教育和体育局提供相关内容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项目实施</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是否按照要求公开重大建设项目的批准结果信息、招标投标信息、征收土地信息、重大设计变更信息、施工有关信息、质量安全监督信息、竣工有关信息等</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社会救助</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公开标准</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是否公开本地区社会救助领域基层政务公开事项标准目录</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区民政局（除救助外）、</w:t>
            </w:r>
            <w:r>
              <w:rPr>
                <w:rFonts w:hint="eastAsia" w:ascii="仿宋_GB2312" w:hAnsi="等线" w:eastAsia="仿宋_GB2312" w:cs="宋体"/>
                <w:color w:val="000000"/>
                <w:kern w:val="0"/>
                <w:sz w:val="24"/>
                <w:szCs w:val="24"/>
                <w:lang w:eastAsia="zh-CN"/>
              </w:rPr>
              <w:t>区医疗保障分局</w:t>
            </w:r>
            <w:r>
              <w:rPr>
                <w:rFonts w:hint="eastAsia" w:ascii="仿宋_GB2312" w:hAnsi="等线" w:eastAsia="仿宋_GB2312" w:cs="宋体"/>
                <w:color w:val="000000"/>
                <w:kern w:val="0"/>
                <w:sz w:val="24"/>
                <w:szCs w:val="24"/>
              </w:rPr>
              <w:t>（医疗救助）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救助标准</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是否及时公开城乡低保、特困人员救助供养、医疗救助、临时救助的救助对象认定、救助标准</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申报指南</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是否公开城乡低保、特困人员救助供养、医疗救助、临时救助的申报指南</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人数和资金支出情况</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是否公开城乡低保、特困人员救助供养、医疗救助、临时救助的救助人次数、资金支出情况等基本数据</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9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财政资金直达基层</w:t>
            </w:r>
          </w:p>
        </w:tc>
        <w:tc>
          <w:tcPr>
            <w:tcW w:w="741"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专栏目录</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是否建立财政资金直达基层专栏或目录</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86"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信息发布</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是否集中公开本地区或转载上级有关部门财政资金直达基层细化方案（2021年度）等相关重要政策</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91"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是否及时发布本地区财政资金直达基层工作进展、直达资金使用情况（2021年度）和工作总结</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8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义务教育</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公开标准</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是否公开本地区义务教育领域基层政务公开事项标准目录</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21"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学校名录</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是否公开本地区义务教育学校名录（包括学校名称、学校地址、办学层次、办学类型、办公电话等）</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5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招生入学</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是否及时公开本地区2021年招生政策、招生计划、招生范围、咨询方式等信息</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8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是否在招生工作结束后及时公开招生结果</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是否公开本地区2021年学生优待政策</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3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医疗卫生</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公开标准</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是否公开本地区卫生健康领域基层政务公开事项标准目录</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kern w:val="0"/>
                <w:sz w:val="24"/>
                <w:szCs w:val="24"/>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418"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医疗服务</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是否公开2021年本地区对公共场所、饮用水供水单位、涉及饮用水卫生安全产品的监督检查情况，包括检查计划及方案、检查结果及处理信息等</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70"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是否公开2021年度本地有关机构和个人诊疗活动、职业病防治、放射诊疗、处方、抗菌药物使用的监督检查情况，包括检查计划及方案、检查结果及处理信息</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61"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是否公开2021年度本地区传染病防治工作监督检查情况，包括检查计划及方案、检查结果及处理信息等</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06"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是否定期公开2021年度本行政区域内医疗机构数量、布局以及床位、大型设备等资源配置情况</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418"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健康科普</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是否利用政府网站集中发布针对妇女、未成年人、老年人等重点人群和农村、工矿企业等重点区域的专项健康科普信息</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4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noWrap/>
            <w:vAlign w:val="center"/>
          </w:tcPr>
          <w:p>
            <w:pPr>
              <w:widowControl/>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疫情防控</w:t>
            </w:r>
          </w:p>
        </w:tc>
        <w:tc>
          <w:tcPr>
            <w:tcW w:w="741" w:type="pct"/>
            <w:shd w:val="clear" w:color="auto" w:fill="auto"/>
            <w:vAlign w:val="center"/>
          </w:tcPr>
          <w:p>
            <w:pPr>
              <w:widowControl/>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专栏设置</w:t>
            </w:r>
          </w:p>
        </w:tc>
        <w:tc>
          <w:tcPr>
            <w:tcW w:w="1576" w:type="pct"/>
            <w:shd w:val="clear" w:color="auto" w:fill="auto"/>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是否设置疫情防控信息公开专栏发布关于疫情防控最新通知、公告</w:t>
            </w:r>
          </w:p>
        </w:tc>
        <w:tc>
          <w:tcPr>
            <w:tcW w:w="882" w:type="pct"/>
            <w:vMerge w:val="restart"/>
            <w:shd w:val="clear" w:color="auto" w:fill="auto"/>
            <w:noWrap/>
            <w:vAlign w:val="center"/>
          </w:tcPr>
          <w:p>
            <w:pPr>
              <w:rPr>
                <w:rFonts w:ascii="仿宋_GB2312" w:hAnsi="等线" w:eastAsia="仿宋_GB2312" w:cs="宋体"/>
                <w:kern w:val="0"/>
                <w:sz w:val="24"/>
                <w:szCs w:val="24"/>
              </w:rPr>
            </w:pPr>
            <w:r>
              <w:rPr>
                <w:rFonts w:hint="eastAsia" w:ascii="仿宋_GB2312" w:hAnsi="等线" w:eastAsia="仿宋_GB2312" w:cs="宋体"/>
                <w:kern w:val="0"/>
                <w:sz w:val="24"/>
                <w:szCs w:val="24"/>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4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kern w:val="0"/>
                <w:sz w:val="24"/>
                <w:szCs w:val="24"/>
              </w:rPr>
            </w:pPr>
          </w:p>
        </w:tc>
        <w:tc>
          <w:tcPr>
            <w:tcW w:w="741" w:type="pct"/>
            <w:vMerge w:val="restart"/>
            <w:shd w:val="clear" w:color="auto" w:fill="auto"/>
            <w:noWrap/>
            <w:vAlign w:val="center"/>
          </w:tcPr>
          <w:p>
            <w:pPr>
              <w:widowControl/>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信息发布</w:t>
            </w:r>
          </w:p>
        </w:tc>
        <w:tc>
          <w:tcPr>
            <w:tcW w:w="1576" w:type="pct"/>
            <w:shd w:val="clear" w:color="auto" w:fill="auto"/>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是否及时发布本地区具有检测资质的核酸检测机构名单</w:t>
            </w:r>
          </w:p>
        </w:tc>
        <w:tc>
          <w:tcPr>
            <w:tcW w:w="882" w:type="pct"/>
            <w:vMerge w:val="continue"/>
            <w:shd w:val="clear" w:color="auto" w:fill="auto"/>
            <w:noWrap/>
            <w:vAlign w:val="center"/>
          </w:tcPr>
          <w:p>
            <w:pPr>
              <w:rPr>
                <w:rFonts w:ascii="仿宋_GB2312" w:hAnsi="等线"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7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kern w:val="0"/>
                <w:sz w:val="24"/>
                <w:szCs w:val="24"/>
              </w:rPr>
            </w:pPr>
          </w:p>
        </w:tc>
        <w:tc>
          <w:tcPr>
            <w:tcW w:w="741" w:type="pct"/>
            <w:vMerge w:val="continue"/>
            <w:vAlign w:val="center"/>
          </w:tcPr>
          <w:p>
            <w:pPr>
              <w:widowControl/>
              <w:jc w:val="left"/>
              <w:rPr>
                <w:rFonts w:ascii="仿宋_GB2312" w:hAnsi="等线" w:eastAsia="仿宋_GB2312" w:cs="宋体"/>
                <w:kern w:val="0"/>
                <w:sz w:val="24"/>
                <w:szCs w:val="24"/>
              </w:rPr>
            </w:pPr>
          </w:p>
        </w:tc>
        <w:tc>
          <w:tcPr>
            <w:tcW w:w="1576" w:type="pct"/>
            <w:shd w:val="clear" w:color="auto" w:fill="auto"/>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是否及时发布本地区医疗机构发热门诊设置情况</w:t>
            </w:r>
          </w:p>
        </w:tc>
        <w:tc>
          <w:tcPr>
            <w:tcW w:w="882" w:type="pct"/>
            <w:vMerge w:val="continue"/>
            <w:shd w:val="clear" w:color="auto" w:fill="auto"/>
            <w:noWrap/>
            <w:vAlign w:val="center"/>
          </w:tcPr>
          <w:p>
            <w:pPr>
              <w:rPr>
                <w:rFonts w:ascii="仿宋_GB2312" w:hAnsi="等线"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4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kern w:val="0"/>
                <w:sz w:val="24"/>
                <w:szCs w:val="24"/>
              </w:rPr>
            </w:pPr>
          </w:p>
        </w:tc>
        <w:tc>
          <w:tcPr>
            <w:tcW w:w="741" w:type="pct"/>
            <w:vMerge w:val="continue"/>
            <w:vAlign w:val="center"/>
          </w:tcPr>
          <w:p>
            <w:pPr>
              <w:widowControl/>
              <w:jc w:val="left"/>
              <w:rPr>
                <w:rFonts w:ascii="仿宋_GB2312" w:hAnsi="等线" w:eastAsia="仿宋_GB2312" w:cs="宋体"/>
                <w:kern w:val="0"/>
                <w:sz w:val="24"/>
                <w:szCs w:val="24"/>
              </w:rPr>
            </w:pPr>
          </w:p>
        </w:tc>
        <w:tc>
          <w:tcPr>
            <w:tcW w:w="1576" w:type="pct"/>
            <w:shd w:val="clear" w:color="auto" w:fill="auto"/>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是否及时发布本地区疫苗接种地点情况</w:t>
            </w:r>
          </w:p>
        </w:tc>
        <w:tc>
          <w:tcPr>
            <w:tcW w:w="882" w:type="pct"/>
            <w:vMerge w:val="continue"/>
            <w:shd w:val="clear" w:color="auto" w:fill="auto"/>
            <w:noWrap/>
            <w:vAlign w:val="center"/>
          </w:tcPr>
          <w:p>
            <w:pPr>
              <w:widowControl/>
              <w:rPr>
                <w:rFonts w:ascii="仿宋_GB2312" w:hAnsi="等线"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1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社会保险</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公开标准</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是否公开本地区社会保险领域基层政务公开事项标准目录</w:t>
            </w:r>
          </w:p>
        </w:tc>
        <w:tc>
          <w:tcPr>
            <w:tcW w:w="882" w:type="pct"/>
            <w:vMerge w:val="restart"/>
            <w:shd w:val="clear" w:color="auto" w:fill="auto"/>
            <w:noWrap/>
            <w:vAlign w:val="center"/>
          </w:tcPr>
          <w:p>
            <w:pPr>
              <w:widowControl/>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5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信息披露</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是否定期公开本地区参保人数、待遇支付、基金收支情况</w:t>
            </w:r>
          </w:p>
        </w:tc>
        <w:tc>
          <w:tcPr>
            <w:tcW w:w="882" w:type="pct"/>
            <w:vMerge w:val="continue"/>
            <w:shd w:val="clear" w:color="auto" w:fill="auto"/>
            <w:noWrap/>
            <w:vAlign w:val="center"/>
          </w:tcPr>
          <w:p>
            <w:pPr>
              <w:rPr>
                <w:rFonts w:ascii="仿宋_GB2312" w:hAnsi="等线"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1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医疗保险</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是否及时发布本地区医保定点医院、药店及药品、诊疗项目目录等</w:t>
            </w:r>
          </w:p>
        </w:tc>
        <w:tc>
          <w:tcPr>
            <w:tcW w:w="882" w:type="pct"/>
            <w:shd w:val="clear" w:color="auto" w:fill="auto"/>
            <w:noWrap/>
            <w:vAlign w:val="center"/>
          </w:tcPr>
          <w:p>
            <w:pPr>
              <w:widowControl/>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区医疗保障分局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0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稳岗就业</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公开标准</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是否公开本地区就业领域基层政务公开事项标准目录</w:t>
            </w:r>
          </w:p>
        </w:tc>
        <w:tc>
          <w:tcPr>
            <w:tcW w:w="882" w:type="pct"/>
            <w:vMerge w:val="restart"/>
            <w:shd w:val="clear" w:color="auto" w:fill="auto"/>
            <w:noWrap/>
            <w:vAlign w:val="center"/>
          </w:tcPr>
          <w:p>
            <w:pP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6"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重点信息</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是否围绕就业困难人员、高校毕业生、困难人员重点发布相关就业创业补贴政策或服务</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3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食品安全</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公开标准</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是否公开本地区食品安全领域基层政务公开事项标准目录</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76"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生产经营监督检查</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是否能够公开本地区食品生产经营监督检查情况，包括监督检查标准、检查结果等信息</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39"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食品安全抽检</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地区组织的食品安全抽检信息，包括食品名称、标称生产（养殖）企业名称、标称生产（养殖）企业地址、被抽样单位名称、被抽样单位地址、规格型号、商标、生产(购进）日期/批号、不合格项目、检验结果、标准值、分类、品种、检验机构等监督抽检信息</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2" w:hRule="atLeast"/>
          <w:jc w:val="center"/>
        </w:trPr>
        <w:tc>
          <w:tcPr>
            <w:tcW w:w="437"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依申请公开</w:t>
            </w:r>
          </w:p>
        </w:tc>
        <w:tc>
          <w:tcPr>
            <w:tcW w:w="548"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渠道畅通性</w:t>
            </w: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提交申请</w:t>
            </w: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在线渠道</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是否开通在线申请渠道或提供电子邮箱申请方式</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7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在线渠道是否畅通</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信函渠道</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是否开通信函申请渠道，并提供受理机构名称、联系电话、通讯地址、邮编等信息</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信函渠道是否畅通</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答复规范性</w:t>
            </w: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互联网/信函渠道</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答复时限</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是否在规定时限内予以答复</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形式规范性</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是否按照申请人要求的形式予以答复</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是否出具书面政府信息公开告知书或答复书（正式文号并加盖单位公章）</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内容规范性</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答复内容是否有文字性错误</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9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是否说明法律依据、理由</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是否告知救济渠道，并明确救济机关名称、地址、时限等信息</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37"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政策解读</w:t>
            </w:r>
          </w:p>
        </w:tc>
        <w:tc>
          <w:tcPr>
            <w:tcW w:w="1361" w:type="pct"/>
            <w:gridSpan w:val="2"/>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解读材料</w:t>
            </w: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解读栏目</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是否设置政策解读专门栏目并及时更新</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1361" w:type="pct"/>
            <w:gridSpan w:val="2"/>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是否文件公开后3个工作日内发布相关解读材料</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1361" w:type="pct"/>
            <w:gridSpan w:val="2"/>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解读关联</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是否在政策文件页面提供解读材料页面入口，在解读材料页面关联政策文件有关内容</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28"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1361" w:type="pct"/>
            <w:gridSpan w:val="2"/>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解读情况</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重要政策解读比例</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围绕“六稳”“六保”、优化营商环境、常态化疫情防控、乡村振兴、保民生保安全等重点工作部署安排，开展本地区政策文件、落实办法的解读情况</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7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1361" w:type="pct"/>
            <w:gridSpan w:val="2"/>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解读质量</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政策背景、决策依据、出台目的、重要举措等解读内容要素是否全面</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8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1361" w:type="pct"/>
            <w:gridSpan w:val="2"/>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解读材料与政策文件内容的重复情况，是否仅是压缩或摘抄政策文件（扣分项）</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411"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1361" w:type="pct"/>
            <w:gridSpan w:val="2"/>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是否能够由政府主管部门和领导、专家、媒体等从不同角度对同一重要政策进行多次解读</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89"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1361" w:type="pct"/>
            <w:gridSpan w:val="2"/>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解读形式</w:t>
            </w:r>
          </w:p>
        </w:tc>
        <w:tc>
          <w:tcPr>
            <w:tcW w:w="1576" w:type="pct"/>
            <w:shd w:val="clear" w:color="auto" w:fill="auto"/>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是否通过简明问答、图解、视频、动漫等形式进行解读或在解读材料中明确具体联系人和联系电话</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96" w:hRule="atLeast"/>
          <w:jc w:val="center"/>
        </w:trPr>
        <w:tc>
          <w:tcPr>
            <w:tcW w:w="437"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公众参与</w:t>
            </w:r>
          </w:p>
        </w:tc>
        <w:tc>
          <w:tcPr>
            <w:tcW w:w="548"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行政决策</w:t>
            </w: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年度决策事项目录</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事项目录</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是否结合职责权限和本地实际，确定并发布本级决策事项目录，并根据实际情况调整</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7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目录内容</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是否明确决策事项名称、承办单位等内容</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718"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归集展示</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是否以目录归集的方式对各事项的决策草案、制订背景、意见征集采纳情况、会议审议情况、决策结果等各项信息进行超链接展示</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区风景名胜区管理委员会、区自然资源局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2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决策预公开</w:t>
            </w: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意见征集</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是否建立意见征集、调查征集等决策预公开类栏目集中发布</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8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是否发布决策草案全文、解读说明，并提供意见反馈渠道，广泛征求公众意见</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743"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重大行政决策草案公开征求意见的期限是否不少于30日（因情况紧急等原因需要缩短期限的，公开征求意见时应当予以说明）</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45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结果反馈</w:t>
            </w:r>
          </w:p>
        </w:tc>
        <w:tc>
          <w:tcPr>
            <w:tcW w:w="1576" w:type="pct"/>
            <w:shd w:val="clear" w:color="auto" w:fill="auto"/>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是否及时反馈意见征集结果，并对主要采纳意见和不采纳意见理由进行说明</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7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重要会议公开</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会议内容</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kern w:val="0"/>
                <w:sz w:val="24"/>
              </w:rPr>
              <w:t>是否常态化公开部门办公会会议召开情况和主要内容</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1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会议解读</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是否提供会议速读版或一图读懂等相关图解</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8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是否对相关议题开展解读或关联相关媒体解读内容</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4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1361" w:type="pct"/>
            <w:gridSpan w:val="2"/>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建议提案办理</w:t>
            </w: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栏目建设</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是否设置建议提案办理结果公开专门栏目或目录</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1361" w:type="pct"/>
            <w:gridSpan w:val="2"/>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是否便于公众查找（名称规范性、分类、检索功能等）</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1361" w:type="pct"/>
            <w:gridSpan w:val="2"/>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办理结果</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是否公开省级、市级人大代表建议、政协提案的办理复文全文或摘要</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5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1361" w:type="pct"/>
            <w:gridSpan w:val="2"/>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是否公开本级人大代表建议、政协提案的办理复文全文或摘要</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4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1361" w:type="pct"/>
            <w:gridSpan w:val="2"/>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是否发布建议提案办理的总体情况和吸收采纳情况</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5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互动交流</w:t>
            </w: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统一平台</w:t>
            </w: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平台功能</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是否在门户网站搭建统一的互动交流平台</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4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是否可实现留言评论、在线访谈、征集调查、咨询投诉等功能</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51"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互动栏目</w:t>
            </w: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咨询建言</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是否公开咨询建言类栏目（网上信访、纪检举报等专门渠道除外）的留言时间、答复时间、答复单位、答复内容等内容</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咨询答复的及时性情况、内容质量情况</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8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是否能够提供实时智能答问功能且内容准确</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是否公开留言受理反馈情况统计数据</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调查征集</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是否重点围绕市场监管、经济社会发展、惠民政策措施等工作开展提供在线调查征集渠道（不含电子邮件形式），且一年内开展次数不低于6次</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4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开展的调查征集活动结束后是否能够公开反馈结果</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atLeast"/>
          <w:jc w:val="center"/>
        </w:trPr>
        <w:tc>
          <w:tcPr>
            <w:tcW w:w="437"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监督保障</w:t>
            </w:r>
          </w:p>
        </w:tc>
        <w:tc>
          <w:tcPr>
            <w:tcW w:w="548"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平台建设</w:t>
            </w: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政府网站</w:t>
            </w: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建设管理</w:t>
            </w: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信息发布、解读回应、互动交流和办事服务功能的可用性</w:t>
            </w:r>
          </w:p>
        </w:tc>
        <w:tc>
          <w:tcPr>
            <w:tcW w:w="882" w:type="pct"/>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信息发布质量（名称规范性、错别字、内容准确性等）</w:t>
            </w:r>
          </w:p>
        </w:tc>
        <w:tc>
          <w:tcPr>
            <w:tcW w:w="882" w:type="pct"/>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站内检索</w:t>
            </w: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是否提供搜索查询功能，包括简单检索、高级检索和智能检索等</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1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搜索结果的准确性、易用性情况</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是否能根据搜索关键词聚合相关信息和服务功能，实现“搜索即服务”</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搜索结果是否实现分类展现</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90"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无障碍建设</w:t>
            </w: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为特殊人群及老人提供的便捷浏览服务，例如在原有基础上支持字体放大、特殊界面设置、色调调整、辅助线添加、语音等功能，为视觉障碍、老年人等特殊人群提供网上通道</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政务新媒体</w:t>
            </w: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建设管理</w:t>
            </w: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是否开通并在门户网站提供有效的链接</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信息更新的及时性</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38"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功能应用</w:t>
            </w: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政务新媒体发布的重要政策文件信息和涉及群众切身利益、需要公众广泛知晓的政府信息是否已在对应的政府网站发布</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0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是否整合了政府网站入口、办事服务、便民查询和互动交流等功能</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2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000000" w:fill="FFFFFF"/>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政府公报</w:t>
            </w:r>
          </w:p>
        </w:tc>
        <w:tc>
          <w:tcPr>
            <w:tcW w:w="741" w:type="pct"/>
            <w:vMerge w:val="restart"/>
            <w:shd w:val="clear" w:color="000000" w:fill="FFFFFF"/>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可获取性</w:t>
            </w: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是否在政府网站首页设立政府公报专栏链接</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是否明确纸质版政府公报赠阅范围</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000000" w:fill="FFFFFF"/>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发布时效</w:t>
            </w: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是否能够定期出版发行政府公报</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26"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000000" w:fill="FFFFFF"/>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数字化情况</w:t>
            </w: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是否提供历史政府公报的目录导航和内容检索服务，检索结果需对应到相应的公报期数</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6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是否适应移动互联网发展趋势，推出适合移动平台展示的电子版</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6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基础建设</w:t>
            </w: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政府信息公开专栏</w:t>
            </w:r>
          </w:p>
        </w:tc>
        <w:tc>
          <w:tcPr>
            <w:tcW w:w="741" w:type="pct"/>
            <w:vMerge w:val="restart"/>
            <w:shd w:val="clear" w:color="auto" w:fill="auto"/>
            <w:vAlign w:val="center"/>
          </w:tcPr>
          <w:p>
            <w:pPr>
              <w:widowControl/>
              <w:ind w:left="-199" w:leftChars="-95" w:firstLine="0" w:firstLineChars="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专栏设置规范性</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是否在网站首页位置展示，并命名为“政府信息公开”</w:t>
            </w:r>
          </w:p>
        </w:tc>
        <w:tc>
          <w:tcPr>
            <w:tcW w:w="882" w:type="pct"/>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26"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813"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741"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是否涵盖政府信息公开指南、政府信息公开制度、法定主动公开内容和政府信息公开工作年度报告</w:t>
            </w:r>
          </w:p>
        </w:tc>
        <w:tc>
          <w:tcPr>
            <w:tcW w:w="882" w:type="pct"/>
            <w:vMerge w:val="restart"/>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813"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741"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页面设计是否根据中国政府网运行中心的参考方案进行了调整</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813"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政府信息公开指南</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是否及时更新并标注更新日期</w:t>
            </w:r>
          </w:p>
        </w:tc>
        <w:tc>
          <w:tcPr>
            <w:tcW w:w="882" w:type="pct"/>
            <w:vMerge w:val="restart"/>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13"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813"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741"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内容是否涵盖了政府信息的分类、编排体系、获取方式和政府信息公开工作机构的名称、办公地址、办公时间、联系电话、传真号码、互联网联系方式等</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4"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813"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政府信息公开制度</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是否发布了《中华人民共和国政府信息公开条例》并置顶显示</w:t>
            </w:r>
          </w:p>
        </w:tc>
        <w:tc>
          <w:tcPr>
            <w:tcW w:w="882" w:type="pct"/>
            <w:vMerge w:val="restart"/>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4"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813"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741"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是否发布了政府信息公开方面的地方性法规、自治条例、单行条例、规章</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4"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813"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741"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是否发布了全国政府信息公开工作主管部门发布的法规解释性文件</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813"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741"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是否有其他非所要求的制度性文件发布</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54"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813"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政府信息公开工作年度报告</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是否发布</w:t>
            </w:r>
            <w:r>
              <w:rPr>
                <w:rFonts w:ascii="仿宋_GB2312" w:hAnsi="等线" w:eastAsia="仿宋_GB2312" w:cs="宋体"/>
                <w:color w:val="000000"/>
                <w:kern w:val="0"/>
                <w:sz w:val="24"/>
                <w:szCs w:val="24"/>
              </w:rPr>
              <w:t>2020年度政府信息公开工作年度报告</w:t>
            </w:r>
          </w:p>
        </w:tc>
        <w:tc>
          <w:tcPr>
            <w:tcW w:w="882" w:type="pct"/>
            <w:vMerge w:val="restart"/>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9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813"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741"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报告是否于</w:t>
            </w:r>
            <w:r>
              <w:rPr>
                <w:rFonts w:ascii="仿宋_GB2312" w:hAnsi="等线" w:eastAsia="仿宋_GB2312" w:cs="宋体"/>
                <w:color w:val="000000"/>
                <w:kern w:val="0"/>
                <w:sz w:val="24"/>
                <w:szCs w:val="24"/>
              </w:rPr>
              <w:t>2021年</w:t>
            </w:r>
            <w:r>
              <w:rPr>
                <w:rFonts w:hint="eastAsia" w:ascii="仿宋_GB2312" w:hAnsi="等线" w:eastAsia="仿宋_GB2312" w:cs="宋体"/>
                <w:color w:val="000000"/>
                <w:kern w:val="0"/>
                <w:sz w:val="24"/>
                <w:szCs w:val="24"/>
              </w:rPr>
              <w:t>1月底前</w:t>
            </w:r>
            <w:r>
              <w:rPr>
                <w:rFonts w:ascii="仿宋_GB2312" w:hAnsi="等线" w:eastAsia="仿宋_GB2312" w:cs="宋体"/>
                <w:color w:val="000000"/>
                <w:kern w:val="0"/>
                <w:sz w:val="24"/>
                <w:szCs w:val="24"/>
              </w:rPr>
              <w:t>发布</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39"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813"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741"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涵盖行政机关主动公开政府信息的情况，行政机关收到和处理政府信息公开申请的情况，因政府信息公开工作被申请行政复议、提起行政诉讼的情况，政府信息公开工作存在的主要问题及改进情况，工作考核、社会评议和责任追究结果情况和其他需要报告的事项</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6"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813"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741"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建议和提案办理结果公开情况是否纳入政府信息公开工作年度报告其他需要报告的事项中</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23"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813"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741"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行政机关依据《政府信息公开信息处理费管理办法》收取信息处理费的情况是否纳入政府信息公开工作年度报告其他需要报告的事项中</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11"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813"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741" w:type="pct"/>
            <w:vMerge w:val="continue"/>
            <w:shd w:val="clear" w:color="auto" w:fill="auto"/>
            <w:vAlign w:val="center"/>
          </w:tcPr>
          <w:p>
            <w:pPr>
              <w:widowControl/>
              <w:jc w:val="center"/>
              <w:rPr>
                <w:rFonts w:ascii="仿宋_GB2312" w:hAnsi="等线" w:eastAsia="仿宋_GB2312" w:cs="宋体"/>
                <w:color w:val="000000"/>
                <w:kern w:val="0"/>
                <w:sz w:val="24"/>
                <w:szCs w:val="24"/>
              </w:rPr>
            </w:pP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是否将中小学开展信息公开工作情况纳入本级教育部门政府信息公开工作年度报告其他需要报告的事项中</w:t>
            </w:r>
          </w:p>
        </w:tc>
        <w:tc>
          <w:tcPr>
            <w:tcW w:w="882" w:type="pct"/>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主动公开基本目录</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发布更新情况</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是否在政府网站公开主动公开基本目录，并动态调整更新</w:t>
            </w:r>
          </w:p>
        </w:tc>
        <w:tc>
          <w:tcPr>
            <w:tcW w:w="882" w:type="pct"/>
            <w:vMerge w:val="restart"/>
            <w:shd w:val="clear" w:color="auto" w:fill="auto"/>
            <w:noWrap/>
            <w:vAlign w:val="center"/>
          </w:tcPr>
          <w:p>
            <w:p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22"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内容规范性</w:t>
            </w: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是否明确了各公开事项的主体、内容、时限、方式等</w:t>
            </w:r>
          </w:p>
        </w:tc>
        <w:tc>
          <w:tcPr>
            <w:tcW w:w="882" w:type="pct"/>
            <w:vMerge w:val="continue"/>
            <w:shd w:val="clear" w:color="auto" w:fill="auto"/>
            <w:noWrap/>
            <w:vAlign w:val="center"/>
          </w:tcPr>
          <w:p>
            <w:pP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主体、内容、时限、方式等要素是否准确</w:t>
            </w:r>
          </w:p>
        </w:tc>
        <w:tc>
          <w:tcPr>
            <w:tcW w:w="882" w:type="pct"/>
            <w:vMerge w:val="continue"/>
            <w:shd w:val="clear" w:color="auto" w:fill="auto"/>
            <w:noWrap/>
            <w:vAlign w:val="center"/>
          </w:tcPr>
          <w:p>
            <w:pPr>
              <w:widowControl/>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4"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机制建设</w:t>
            </w:r>
          </w:p>
        </w:tc>
        <w:tc>
          <w:tcPr>
            <w:tcW w:w="1554" w:type="pct"/>
            <w:gridSpan w:val="2"/>
            <w:shd w:val="clear" w:color="auto" w:fill="auto"/>
            <w:vAlign w:val="center"/>
          </w:tcPr>
          <w:p>
            <w:pPr>
              <w:widowControl/>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工作机构</w:t>
            </w:r>
          </w:p>
        </w:tc>
        <w:tc>
          <w:tcPr>
            <w:tcW w:w="1576" w:type="pct"/>
            <w:shd w:val="clear" w:color="auto" w:fill="auto"/>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是否明确政务公开工作机构，并公开相关机构职能</w:t>
            </w:r>
          </w:p>
        </w:tc>
        <w:tc>
          <w:tcPr>
            <w:tcW w:w="882" w:type="pct"/>
            <w:vMerge w:val="restart"/>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业务培训</w:t>
            </w: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培训计划</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是否发布政务公开业务培训计划</w:t>
            </w:r>
          </w:p>
        </w:tc>
        <w:tc>
          <w:tcPr>
            <w:tcW w:w="882" w:type="pct"/>
            <w:vMerge w:val="continue"/>
            <w:tcBorders/>
            <w:shd w:val="clear" w:color="auto" w:fill="auto"/>
            <w:noWrap/>
            <w:vAlign w:val="center"/>
          </w:tcPr>
          <w:p>
            <w:pPr>
              <w:jc w:val="cente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6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开展情况</w:t>
            </w:r>
          </w:p>
        </w:tc>
        <w:tc>
          <w:tcPr>
            <w:tcW w:w="1576" w:type="pct"/>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是否按照计划开展或参加政务公开业务培训</w:t>
            </w:r>
          </w:p>
        </w:tc>
        <w:tc>
          <w:tcPr>
            <w:tcW w:w="882" w:type="pct"/>
            <w:vMerge w:val="continue"/>
            <w:tcBorders/>
            <w:shd w:val="clear" w:color="auto" w:fill="auto"/>
            <w:noWrap/>
            <w:vAlign w:val="center"/>
          </w:tcPr>
          <w:p>
            <w:pPr>
              <w:jc w:val="cente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4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工作推进</w:t>
            </w:r>
          </w:p>
        </w:tc>
        <w:tc>
          <w:tcPr>
            <w:tcW w:w="741" w:type="pct"/>
            <w:vMerge w:val="restart"/>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实施方案或工作措施</w:t>
            </w: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是否发布2021年度政务公开工作实施方案或工作安排</w:t>
            </w:r>
          </w:p>
        </w:tc>
        <w:tc>
          <w:tcPr>
            <w:tcW w:w="882" w:type="pct"/>
            <w:vMerge w:val="continue"/>
            <w:tcBorders/>
            <w:shd w:val="clear" w:color="auto" w:fill="auto"/>
            <w:noWrap/>
            <w:vAlign w:val="center"/>
          </w:tcPr>
          <w:p>
            <w:pPr>
              <w:jc w:val="cente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Merge w:val="continue"/>
            <w:vAlign w:val="center"/>
          </w:tcPr>
          <w:p>
            <w:pPr>
              <w:widowControl/>
              <w:jc w:val="left"/>
              <w:rPr>
                <w:rFonts w:ascii="仿宋_GB2312" w:hAnsi="等线" w:eastAsia="仿宋_GB2312" w:cs="宋体"/>
                <w:color w:val="000000"/>
                <w:kern w:val="0"/>
                <w:sz w:val="24"/>
                <w:szCs w:val="24"/>
              </w:rPr>
            </w:pPr>
          </w:p>
        </w:tc>
        <w:tc>
          <w:tcPr>
            <w:tcW w:w="548" w:type="pct"/>
            <w:vMerge w:val="continue"/>
            <w:vAlign w:val="center"/>
          </w:tcPr>
          <w:p>
            <w:pPr>
              <w:widowControl/>
              <w:jc w:val="left"/>
              <w:rPr>
                <w:rFonts w:ascii="仿宋_GB2312" w:hAnsi="等线" w:eastAsia="仿宋_GB2312" w:cs="宋体"/>
                <w:color w:val="000000"/>
                <w:kern w:val="0"/>
                <w:sz w:val="24"/>
                <w:szCs w:val="24"/>
              </w:rPr>
            </w:pPr>
          </w:p>
        </w:tc>
        <w:tc>
          <w:tcPr>
            <w:tcW w:w="813" w:type="pct"/>
            <w:vMerge w:val="continue"/>
            <w:vAlign w:val="center"/>
          </w:tcPr>
          <w:p>
            <w:pPr>
              <w:widowControl/>
              <w:jc w:val="left"/>
              <w:rPr>
                <w:rFonts w:ascii="仿宋_GB2312" w:hAnsi="等线" w:eastAsia="仿宋_GB2312" w:cs="宋体"/>
                <w:color w:val="000000"/>
                <w:kern w:val="0"/>
                <w:sz w:val="24"/>
                <w:szCs w:val="24"/>
              </w:rPr>
            </w:pPr>
          </w:p>
        </w:tc>
        <w:tc>
          <w:tcPr>
            <w:tcW w:w="741" w:type="pct"/>
            <w:vMerge w:val="continue"/>
            <w:vAlign w:val="center"/>
          </w:tcPr>
          <w:p>
            <w:pPr>
              <w:widowControl/>
              <w:jc w:val="left"/>
              <w:rPr>
                <w:rFonts w:ascii="仿宋_GB2312" w:hAnsi="等线" w:eastAsia="仿宋_GB2312" w:cs="宋体"/>
                <w:color w:val="000000"/>
                <w:kern w:val="0"/>
                <w:sz w:val="24"/>
                <w:szCs w:val="24"/>
              </w:rPr>
            </w:pP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实施方案或工作安排与本地区实际结合情况</w:t>
            </w:r>
          </w:p>
        </w:tc>
        <w:tc>
          <w:tcPr>
            <w:tcW w:w="882" w:type="pct"/>
            <w:vMerge w:val="continue"/>
            <w:tcBorders/>
            <w:shd w:val="clear" w:color="auto" w:fill="auto"/>
            <w:noWrap/>
            <w:vAlign w:val="center"/>
          </w:tcPr>
          <w:p>
            <w:pPr>
              <w:widowControl/>
              <w:jc w:val="cente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20" w:hRule="atLeast"/>
          <w:jc w:val="center"/>
        </w:trPr>
        <w:tc>
          <w:tcPr>
            <w:tcW w:w="437" w:type="pct"/>
            <w:vAlign w:val="center"/>
          </w:tcPr>
          <w:p>
            <w:pPr>
              <w:widowControl/>
              <w:jc w:val="left"/>
              <w:rPr>
                <w:rFonts w:ascii="仿宋_GB2312" w:hAnsi="等线" w:eastAsia="仿宋_GB2312" w:cs="宋体"/>
                <w:color w:val="000000"/>
                <w:kern w:val="0"/>
                <w:sz w:val="24"/>
                <w:szCs w:val="24"/>
              </w:rPr>
            </w:pPr>
          </w:p>
        </w:tc>
        <w:tc>
          <w:tcPr>
            <w:tcW w:w="548" w:type="pct"/>
            <w:vAlign w:val="center"/>
          </w:tcPr>
          <w:p>
            <w:pPr>
              <w:widowControl/>
              <w:jc w:val="left"/>
              <w:rPr>
                <w:rFonts w:ascii="仿宋_GB2312" w:hAnsi="等线" w:eastAsia="仿宋_GB2312" w:cs="宋体"/>
                <w:color w:val="000000"/>
                <w:kern w:val="0"/>
                <w:sz w:val="24"/>
                <w:szCs w:val="24"/>
              </w:rPr>
            </w:pPr>
          </w:p>
        </w:tc>
        <w:tc>
          <w:tcPr>
            <w:tcW w:w="813" w:type="pct"/>
            <w:vAlign w:val="center"/>
          </w:tcPr>
          <w:p>
            <w:pPr>
              <w:widowControl/>
              <w:jc w:val="center"/>
              <w:rPr>
                <w:rFonts w:ascii="仿宋_GB2312" w:hAnsi="等线" w:eastAsia="仿宋_GB2312" w:cs="宋体"/>
                <w:color w:val="000000"/>
                <w:kern w:val="0"/>
                <w:sz w:val="24"/>
                <w:szCs w:val="24"/>
              </w:rPr>
            </w:pPr>
            <w:r>
              <w:rPr>
                <w:rStyle w:val="58"/>
                <w:rFonts w:hint="default"/>
                <w:sz w:val="24"/>
                <w:szCs w:val="24"/>
              </w:rPr>
              <w:t>乡村振兴</w:t>
            </w:r>
          </w:p>
        </w:tc>
        <w:tc>
          <w:tcPr>
            <w:tcW w:w="741" w:type="pct"/>
            <w:vAlign w:val="center"/>
          </w:tcPr>
          <w:p>
            <w:pPr>
              <w:widowControl/>
              <w:jc w:val="left"/>
              <w:rPr>
                <w:rFonts w:ascii="仿宋_GB2312" w:hAnsi="等线" w:eastAsia="仿宋_GB2312" w:cs="宋体"/>
                <w:color w:val="000000"/>
                <w:kern w:val="0"/>
                <w:sz w:val="24"/>
                <w:szCs w:val="24"/>
              </w:rPr>
            </w:pP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eastAsia="仿宋_GB2312"/>
                <w:color w:val="000000"/>
                <w:sz w:val="24"/>
                <w:szCs w:val="24"/>
              </w:rPr>
              <w:t>各县（市、区）政府要在本级政府门户网站设立</w:t>
            </w:r>
            <w:r>
              <w:rPr>
                <w:rFonts w:hint="eastAsia" w:ascii="仿宋_GB2312" w:hAnsi="TimesNewRomanPSMT" w:eastAsia="仿宋_GB2312"/>
                <w:color w:val="000000"/>
                <w:sz w:val="24"/>
                <w:szCs w:val="24"/>
              </w:rPr>
              <w:t>“</w:t>
            </w:r>
            <w:r>
              <w:rPr>
                <w:rFonts w:hint="eastAsia" w:ascii="仿宋_GB2312" w:eastAsia="仿宋_GB2312"/>
                <w:color w:val="000000"/>
                <w:sz w:val="24"/>
                <w:szCs w:val="24"/>
              </w:rPr>
              <w:t>乡村振兴</w:t>
            </w:r>
            <w:r>
              <w:rPr>
                <w:rFonts w:hint="eastAsia" w:ascii="仿宋_GB2312" w:hAnsi="TimesNewRomanPSMT" w:eastAsia="仿宋_GB2312"/>
                <w:color w:val="000000"/>
                <w:sz w:val="24"/>
                <w:szCs w:val="24"/>
              </w:rPr>
              <w:t>”</w:t>
            </w:r>
            <w:r>
              <w:rPr>
                <w:rFonts w:hint="eastAsia" w:ascii="仿宋_GB2312" w:eastAsia="仿宋_GB2312"/>
                <w:color w:val="000000"/>
                <w:sz w:val="24"/>
                <w:szCs w:val="24"/>
              </w:rPr>
              <w:t>有关专栏，并在门户网站明显位置提供链接。准确发布乡村振兴有关重要政策、政策解读、工作进展等信息</w:t>
            </w:r>
          </w:p>
        </w:tc>
        <w:tc>
          <w:tcPr>
            <w:tcW w:w="882" w:type="pct"/>
            <w:vMerge w:val="restart"/>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68" w:hRule="atLeast"/>
          <w:jc w:val="center"/>
        </w:trPr>
        <w:tc>
          <w:tcPr>
            <w:tcW w:w="437" w:type="pct"/>
            <w:vAlign w:val="center"/>
          </w:tcPr>
          <w:p>
            <w:pPr>
              <w:widowControl/>
              <w:jc w:val="left"/>
              <w:rPr>
                <w:rFonts w:ascii="仿宋_GB2312" w:hAnsi="等线" w:eastAsia="仿宋_GB2312" w:cs="宋体"/>
                <w:color w:val="000000"/>
                <w:kern w:val="0"/>
                <w:sz w:val="24"/>
                <w:szCs w:val="24"/>
              </w:rPr>
            </w:pPr>
          </w:p>
        </w:tc>
        <w:tc>
          <w:tcPr>
            <w:tcW w:w="548" w:type="pct"/>
            <w:vAlign w:val="center"/>
          </w:tcPr>
          <w:p>
            <w:pPr>
              <w:widowControl/>
              <w:jc w:val="left"/>
              <w:rPr>
                <w:rFonts w:ascii="仿宋_GB2312" w:hAnsi="等线" w:eastAsia="仿宋_GB2312" w:cs="宋体"/>
                <w:color w:val="000000"/>
                <w:kern w:val="0"/>
                <w:sz w:val="24"/>
                <w:szCs w:val="24"/>
              </w:rPr>
            </w:pPr>
          </w:p>
        </w:tc>
        <w:tc>
          <w:tcPr>
            <w:tcW w:w="813" w:type="pct"/>
            <w:vAlign w:val="center"/>
          </w:tcPr>
          <w:p>
            <w:pPr>
              <w:widowControl/>
              <w:jc w:val="center"/>
              <w:rPr>
                <w:rFonts w:ascii="仿宋_GB2312" w:hAnsi="等线" w:eastAsia="仿宋_GB2312" w:cs="宋体"/>
                <w:color w:val="000000"/>
                <w:kern w:val="0"/>
                <w:sz w:val="24"/>
                <w:szCs w:val="24"/>
              </w:rPr>
            </w:pPr>
            <w:r>
              <w:rPr>
                <w:rStyle w:val="58"/>
                <w:rFonts w:hint="default"/>
                <w:sz w:val="24"/>
                <w:szCs w:val="24"/>
              </w:rPr>
              <w:t>涉农补贴</w:t>
            </w:r>
          </w:p>
        </w:tc>
        <w:tc>
          <w:tcPr>
            <w:tcW w:w="741" w:type="pct"/>
            <w:vAlign w:val="center"/>
          </w:tcPr>
          <w:p>
            <w:pPr>
              <w:widowControl/>
              <w:jc w:val="left"/>
              <w:rPr>
                <w:rFonts w:ascii="仿宋_GB2312" w:hAnsi="等线" w:eastAsia="仿宋_GB2312" w:cs="宋体"/>
                <w:color w:val="000000"/>
                <w:kern w:val="0"/>
                <w:sz w:val="24"/>
                <w:szCs w:val="24"/>
              </w:rPr>
            </w:pP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Style w:val="58"/>
                <w:rFonts w:hint="default"/>
                <w:sz w:val="24"/>
                <w:szCs w:val="24"/>
              </w:rPr>
              <w:t>各县（市、区）政府要在本级政府门户网站政府信息公开专栏设立</w:t>
            </w:r>
            <w:r>
              <w:rPr>
                <w:rStyle w:val="59"/>
                <w:rFonts w:hint="eastAsia" w:ascii="仿宋_GB2312" w:eastAsia="仿宋_GB2312"/>
                <w:sz w:val="24"/>
                <w:szCs w:val="24"/>
              </w:rPr>
              <w:t>“</w:t>
            </w:r>
            <w:r>
              <w:rPr>
                <w:rStyle w:val="58"/>
                <w:rFonts w:hint="default"/>
                <w:sz w:val="24"/>
                <w:szCs w:val="24"/>
              </w:rPr>
              <w:t>涉农补贴</w:t>
            </w:r>
            <w:r>
              <w:rPr>
                <w:rStyle w:val="59"/>
                <w:rFonts w:hint="eastAsia" w:ascii="仿宋_GB2312" w:eastAsia="仿宋_GB2312"/>
                <w:sz w:val="24"/>
                <w:szCs w:val="24"/>
              </w:rPr>
              <w:t>”</w:t>
            </w:r>
            <w:r>
              <w:rPr>
                <w:rStyle w:val="58"/>
                <w:rFonts w:hint="default"/>
                <w:sz w:val="24"/>
                <w:szCs w:val="24"/>
              </w:rPr>
              <w:t>有关专栏或目录。准确发布本地区涉农补贴基层政务公开标准、资金申请政策、申请指南和结果信息等。全面对照《涉农补贴领域基层政务公开标准指引》和本地区涉农补贴基层政务公开事项标准目录，检查是否全面落实了标准指引和标准目录的全部内容</w:t>
            </w:r>
          </w:p>
        </w:tc>
        <w:tc>
          <w:tcPr>
            <w:tcW w:w="882" w:type="pct"/>
            <w:vMerge w:val="continue"/>
            <w:shd w:val="clear" w:color="auto" w:fill="auto"/>
            <w:noWrap/>
            <w:vAlign w:val="center"/>
          </w:tcPr>
          <w:p>
            <w:pPr>
              <w:widowControl/>
              <w:jc w:val="center"/>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Align w:val="center"/>
          </w:tcPr>
          <w:p>
            <w:pPr>
              <w:widowControl/>
              <w:jc w:val="left"/>
              <w:rPr>
                <w:rFonts w:ascii="仿宋_GB2312" w:hAnsi="等线" w:eastAsia="仿宋_GB2312" w:cs="宋体"/>
                <w:color w:val="000000"/>
                <w:kern w:val="0"/>
                <w:sz w:val="24"/>
                <w:szCs w:val="24"/>
              </w:rPr>
            </w:pPr>
          </w:p>
        </w:tc>
        <w:tc>
          <w:tcPr>
            <w:tcW w:w="548" w:type="pct"/>
            <w:vAlign w:val="center"/>
          </w:tcPr>
          <w:p>
            <w:pPr>
              <w:widowControl/>
              <w:jc w:val="left"/>
              <w:rPr>
                <w:rFonts w:ascii="仿宋_GB2312" w:hAnsi="等线" w:eastAsia="仿宋_GB2312" w:cs="宋体"/>
                <w:color w:val="000000"/>
                <w:kern w:val="0"/>
                <w:sz w:val="24"/>
                <w:szCs w:val="24"/>
              </w:rPr>
            </w:pPr>
          </w:p>
        </w:tc>
        <w:tc>
          <w:tcPr>
            <w:tcW w:w="813" w:type="pct"/>
            <w:vAlign w:val="center"/>
          </w:tcPr>
          <w:p>
            <w:pPr>
              <w:widowControl/>
              <w:jc w:val="center"/>
              <w:rPr>
                <w:rStyle w:val="58"/>
                <w:rFonts w:hint="default"/>
                <w:sz w:val="24"/>
                <w:szCs w:val="24"/>
              </w:rPr>
            </w:pPr>
            <w:r>
              <w:rPr>
                <w:rStyle w:val="58"/>
                <w:rFonts w:hint="default"/>
                <w:sz w:val="24"/>
                <w:szCs w:val="24"/>
              </w:rPr>
              <w:t>公共文化服务</w:t>
            </w:r>
          </w:p>
        </w:tc>
        <w:tc>
          <w:tcPr>
            <w:tcW w:w="741" w:type="pct"/>
            <w:vAlign w:val="center"/>
          </w:tcPr>
          <w:p>
            <w:pPr>
              <w:widowControl/>
              <w:jc w:val="left"/>
              <w:rPr>
                <w:rFonts w:ascii="仿宋_GB2312" w:hAnsi="等线" w:eastAsia="仿宋_GB2312" w:cs="宋体"/>
                <w:color w:val="000000"/>
                <w:kern w:val="0"/>
                <w:sz w:val="24"/>
                <w:szCs w:val="24"/>
              </w:rPr>
            </w:pP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Style w:val="58"/>
                <w:rFonts w:hint="default"/>
                <w:sz w:val="24"/>
                <w:szCs w:val="24"/>
              </w:rPr>
              <w:t>各县（市、区）政府要在本级政府门户网站政府信息公开专栏设立</w:t>
            </w:r>
            <w:r>
              <w:rPr>
                <w:rStyle w:val="59"/>
                <w:rFonts w:hint="eastAsia" w:ascii="仿宋_GB2312" w:eastAsia="仿宋_GB2312"/>
                <w:sz w:val="24"/>
                <w:szCs w:val="24"/>
              </w:rPr>
              <w:t>“</w:t>
            </w:r>
            <w:r>
              <w:rPr>
                <w:rStyle w:val="58"/>
                <w:rFonts w:hint="default"/>
                <w:sz w:val="24"/>
                <w:szCs w:val="24"/>
              </w:rPr>
              <w:t>公共文化服务</w:t>
            </w:r>
            <w:r>
              <w:rPr>
                <w:rStyle w:val="59"/>
                <w:rFonts w:hint="eastAsia" w:ascii="仿宋_GB2312" w:eastAsia="仿宋_GB2312"/>
                <w:sz w:val="24"/>
                <w:szCs w:val="24"/>
              </w:rPr>
              <w:t>”</w:t>
            </w:r>
            <w:r>
              <w:rPr>
                <w:rStyle w:val="58"/>
                <w:rFonts w:hint="default"/>
                <w:sz w:val="24"/>
                <w:szCs w:val="24"/>
              </w:rPr>
              <w:t>有关专栏或目录。准确发布本地区公共文化服务基层政务公开标准、公共服务文物保护管理机构名录及公益性文化服务活动信息等。全面对照《公共文化服务领域基层政务公开标准指引》和本地区公共文化服务基层政务公开事项标准目录，检查是否全面落实了标准指引和标准目录的全部内容</w:t>
            </w:r>
          </w:p>
        </w:tc>
        <w:tc>
          <w:tcPr>
            <w:tcW w:w="882" w:type="pct"/>
            <w:shd w:val="clear" w:color="auto" w:fill="auto"/>
            <w:noWrap/>
            <w:vAlign w:val="center"/>
          </w:tcPr>
          <w:p>
            <w:pPr>
              <w:widowControl/>
              <w:jc w:val="both"/>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7" w:hRule="atLeast"/>
          <w:jc w:val="center"/>
        </w:trPr>
        <w:tc>
          <w:tcPr>
            <w:tcW w:w="437" w:type="pct"/>
            <w:vAlign w:val="center"/>
          </w:tcPr>
          <w:p>
            <w:pPr>
              <w:widowControl/>
              <w:jc w:val="left"/>
              <w:rPr>
                <w:rFonts w:ascii="仿宋_GB2312" w:hAnsi="等线" w:eastAsia="仿宋_GB2312" w:cs="宋体"/>
                <w:color w:val="000000"/>
                <w:kern w:val="0"/>
                <w:sz w:val="24"/>
                <w:szCs w:val="24"/>
              </w:rPr>
            </w:pPr>
          </w:p>
        </w:tc>
        <w:tc>
          <w:tcPr>
            <w:tcW w:w="548" w:type="pct"/>
            <w:vAlign w:val="center"/>
          </w:tcPr>
          <w:p>
            <w:pPr>
              <w:widowControl/>
              <w:jc w:val="left"/>
              <w:rPr>
                <w:rFonts w:ascii="仿宋_GB2312" w:hAnsi="等线" w:eastAsia="仿宋_GB2312" w:cs="宋体"/>
                <w:color w:val="000000"/>
                <w:kern w:val="0"/>
                <w:sz w:val="24"/>
                <w:szCs w:val="24"/>
              </w:rPr>
            </w:pPr>
          </w:p>
        </w:tc>
        <w:tc>
          <w:tcPr>
            <w:tcW w:w="813" w:type="pct"/>
            <w:vAlign w:val="center"/>
          </w:tcPr>
          <w:p>
            <w:pPr>
              <w:widowControl/>
              <w:jc w:val="center"/>
              <w:rPr>
                <w:rStyle w:val="58"/>
                <w:rFonts w:hint="default"/>
                <w:sz w:val="24"/>
                <w:szCs w:val="24"/>
              </w:rPr>
            </w:pPr>
            <w:r>
              <w:rPr>
                <w:rStyle w:val="58"/>
                <w:rFonts w:hint="default"/>
                <w:sz w:val="24"/>
                <w:szCs w:val="24"/>
              </w:rPr>
              <w:t>重大政策转载</w:t>
            </w:r>
          </w:p>
        </w:tc>
        <w:tc>
          <w:tcPr>
            <w:tcW w:w="741" w:type="pct"/>
            <w:vAlign w:val="center"/>
          </w:tcPr>
          <w:p>
            <w:pPr>
              <w:widowControl/>
              <w:jc w:val="left"/>
              <w:rPr>
                <w:rFonts w:ascii="仿宋_GB2312" w:hAnsi="等线" w:eastAsia="仿宋_GB2312" w:cs="宋体"/>
                <w:color w:val="000000"/>
                <w:kern w:val="0"/>
                <w:sz w:val="24"/>
                <w:szCs w:val="24"/>
              </w:rPr>
            </w:pP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ascii="仿宋_GB2312" w:eastAsia="仿宋_GB2312"/>
                <w:color w:val="000000"/>
                <w:sz w:val="24"/>
                <w:szCs w:val="24"/>
              </w:rPr>
              <w:t>各市政府和各县（市、区）政府要通过本级政府门户网站、政务新媒体等及时转载党中央、国务院重大决策部署等权威信息。核查政府门户网站和政务新媒体中转载的信息，是否注明来源，并确保内容准确无误</w:t>
            </w:r>
          </w:p>
        </w:tc>
        <w:tc>
          <w:tcPr>
            <w:tcW w:w="882" w:type="pct"/>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7" w:hRule="atLeast"/>
          <w:jc w:val="center"/>
        </w:trPr>
        <w:tc>
          <w:tcPr>
            <w:tcW w:w="437" w:type="pct"/>
            <w:vAlign w:val="center"/>
          </w:tcPr>
          <w:p>
            <w:pPr>
              <w:widowControl/>
              <w:jc w:val="left"/>
              <w:rPr>
                <w:rFonts w:ascii="仿宋_GB2312" w:hAnsi="等线" w:eastAsia="仿宋_GB2312" w:cs="宋体"/>
                <w:color w:val="000000"/>
                <w:kern w:val="0"/>
                <w:sz w:val="24"/>
                <w:szCs w:val="24"/>
              </w:rPr>
            </w:pPr>
          </w:p>
        </w:tc>
        <w:tc>
          <w:tcPr>
            <w:tcW w:w="548" w:type="pct"/>
            <w:vAlign w:val="center"/>
          </w:tcPr>
          <w:p>
            <w:pPr>
              <w:widowControl/>
              <w:jc w:val="left"/>
              <w:rPr>
                <w:rFonts w:ascii="仿宋_GB2312" w:hAnsi="等线" w:eastAsia="仿宋_GB2312" w:cs="宋体"/>
                <w:color w:val="000000"/>
                <w:kern w:val="0"/>
                <w:sz w:val="24"/>
                <w:szCs w:val="24"/>
              </w:rPr>
            </w:pPr>
          </w:p>
        </w:tc>
        <w:tc>
          <w:tcPr>
            <w:tcW w:w="813" w:type="pct"/>
            <w:vAlign w:val="center"/>
          </w:tcPr>
          <w:p>
            <w:pPr>
              <w:widowControl/>
              <w:jc w:val="center"/>
              <w:rPr>
                <w:rStyle w:val="58"/>
                <w:rFonts w:hint="default"/>
                <w:sz w:val="24"/>
                <w:szCs w:val="24"/>
              </w:rPr>
            </w:pPr>
            <w:r>
              <w:rPr>
                <w:rFonts w:hint="eastAsia" w:ascii="仿宋_GB2312" w:eastAsia="仿宋_GB2312"/>
                <w:color w:val="000000"/>
                <w:sz w:val="24"/>
                <w:szCs w:val="24"/>
              </w:rPr>
              <w:t>政务舆情回应</w:t>
            </w:r>
          </w:p>
        </w:tc>
        <w:tc>
          <w:tcPr>
            <w:tcW w:w="741" w:type="pct"/>
            <w:vAlign w:val="center"/>
          </w:tcPr>
          <w:p>
            <w:pPr>
              <w:widowControl/>
              <w:jc w:val="left"/>
              <w:rPr>
                <w:rFonts w:ascii="仿宋_GB2312" w:hAnsi="等线" w:eastAsia="仿宋_GB2312" w:cs="宋体"/>
                <w:color w:val="000000"/>
                <w:kern w:val="0"/>
                <w:sz w:val="24"/>
                <w:szCs w:val="24"/>
              </w:rPr>
            </w:pPr>
          </w:p>
        </w:tc>
        <w:tc>
          <w:tcPr>
            <w:tcW w:w="1576" w:type="pct"/>
            <w:shd w:val="clear" w:color="000000" w:fill="FFFFFF"/>
            <w:vAlign w:val="center"/>
          </w:tcPr>
          <w:p>
            <w:pPr>
              <w:widowControl/>
              <w:rPr>
                <w:rFonts w:ascii="仿宋_GB2312" w:hAnsi="等线" w:eastAsia="仿宋_GB2312" w:cs="宋体"/>
                <w:color w:val="000000"/>
                <w:kern w:val="0"/>
                <w:sz w:val="24"/>
                <w:szCs w:val="24"/>
              </w:rPr>
            </w:pPr>
            <w:r>
              <w:rPr>
                <w:rFonts w:hint="eastAsia" w:ascii="仿宋_GB2312" w:eastAsia="仿宋_GB2312"/>
                <w:color w:val="000000"/>
                <w:sz w:val="24"/>
                <w:szCs w:val="24"/>
              </w:rPr>
              <w:t>各市政府和各县（市、区）政府要严格落实政务舆情回应责任。及时回应涉及本地区的政务舆情，对于涉及特别重大、重大突发事件的政务舆情，要在</w:t>
            </w:r>
            <w:r>
              <w:rPr>
                <w:rFonts w:hint="eastAsia" w:ascii="仿宋_GB2312" w:hAnsi="TimesNewRomanPSMT" w:eastAsia="仿宋_GB2312"/>
                <w:color w:val="000000"/>
                <w:sz w:val="24"/>
                <w:szCs w:val="24"/>
              </w:rPr>
              <w:t>5</w:t>
            </w:r>
            <w:r>
              <w:rPr>
                <w:rFonts w:hint="eastAsia" w:ascii="仿宋_GB2312" w:eastAsia="仿宋_GB2312"/>
                <w:color w:val="000000"/>
                <w:sz w:val="24"/>
                <w:szCs w:val="24"/>
              </w:rPr>
              <w:t>个小时内发布权威信息，在</w:t>
            </w:r>
            <w:r>
              <w:rPr>
                <w:rFonts w:hint="eastAsia" w:ascii="仿宋_GB2312" w:hAnsi="TimesNewRomanPSMT" w:eastAsia="仿宋_GB2312"/>
                <w:color w:val="000000"/>
                <w:sz w:val="24"/>
                <w:szCs w:val="24"/>
              </w:rPr>
              <w:t>24</w:t>
            </w:r>
            <w:r>
              <w:rPr>
                <w:rFonts w:hint="eastAsia" w:ascii="仿宋_GB2312" w:eastAsia="仿宋_GB2312"/>
                <w:color w:val="000000"/>
                <w:sz w:val="24"/>
                <w:szCs w:val="24"/>
              </w:rPr>
              <w:t>小时内举行新闻发布会，其他舆情要在</w:t>
            </w:r>
            <w:r>
              <w:rPr>
                <w:rFonts w:hint="eastAsia" w:ascii="仿宋_GB2312" w:hAnsi="TimesNewRomanPSMT" w:eastAsia="仿宋_GB2312"/>
                <w:color w:val="000000"/>
                <w:sz w:val="24"/>
                <w:szCs w:val="24"/>
              </w:rPr>
              <w:t>48</w:t>
            </w:r>
            <w:r>
              <w:rPr>
                <w:rFonts w:hint="eastAsia" w:ascii="仿宋_GB2312" w:eastAsia="仿宋_GB2312"/>
                <w:color w:val="000000"/>
                <w:sz w:val="24"/>
                <w:szCs w:val="24"/>
              </w:rPr>
              <w:t>小时内予以回应。确保舆情回应的效果，回应要有针对性，能够有效平息舆情</w:t>
            </w:r>
          </w:p>
        </w:tc>
        <w:tc>
          <w:tcPr>
            <w:tcW w:w="882" w:type="pct"/>
            <w:shd w:val="clear" w:color="auto" w:fill="auto"/>
            <w:noWrap/>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各镇（街道）</w:t>
            </w:r>
            <w:r>
              <w:rPr>
                <w:rFonts w:hint="eastAsia" w:ascii="仿宋_GB2312" w:hAnsi="等线" w:eastAsia="仿宋_GB2312" w:cs="宋体"/>
                <w:color w:val="000000"/>
                <w:kern w:val="0"/>
                <w:sz w:val="24"/>
                <w:szCs w:val="24"/>
              </w:rPr>
              <w:t>及所有部门、单位</w:t>
            </w:r>
          </w:p>
        </w:tc>
      </w:tr>
      <w:bookmarkEnd w:id="0"/>
    </w:tbl>
    <w:p>
      <w:bookmarkStart w:id="1" w:name="_GoBack"/>
      <w:bookmarkEnd w:id="1"/>
    </w:p>
    <w:sectPr>
      <w:headerReference r:id="rId3" w:type="default"/>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Yu Mincho Light">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8"/>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4F"/>
    <w:rsid w:val="00004483"/>
    <w:rsid w:val="0003218C"/>
    <w:rsid w:val="00082A9E"/>
    <w:rsid w:val="000C0267"/>
    <w:rsid w:val="00125C16"/>
    <w:rsid w:val="001449EC"/>
    <w:rsid w:val="001772B6"/>
    <w:rsid w:val="002067F2"/>
    <w:rsid w:val="002671F9"/>
    <w:rsid w:val="002C7697"/>
    <w:rsid w:val="002E692E"/>
    <w:rsid w:val="00302972"/>
    <w:rsid w:val="00345F5B"/>
    <w:rsid w:val="00394F06"/>
    <w:rsid w:val="003E1E2B"/>
    <w:rsid w:val="004221F0"/>
    <w:rsid w:val="0047283C"/>
    <w:rsid w:val="004B2733"/>
    <w:rsid w:val="004E583F"/>
    <w:rsid w:val="00533BC7"/>
    <w:rsid w:val="005456FB"/>
    <w:rsid w:val="00553F83"/>
    <w:rsid w:val="00567040"/>
    <w:rsid w:val="006946F0"/>
    <w:rsid w:val="0071617A"/>
    <w:rsid w:val="007F4577"/>
    <w:rsid w:val="00847B30"/>
    <w:rsid w:val="008C33FA"/>
    <w:rsid w:val="00973BA3"/>
    <w:rsid w:val="00A355AB"/>
    <w:rsid w:val="00A50359"/>
    <w:rsid w:val="00B74372"/>
    <w:rsid w:val="00B8344F"/>
    <w:rsid w:val="00BB3E81"/>
    <w:rsid w:val="00BB7FEA"/>
    <w:rsid w:val="00C94CB6"/>
    <w:rsid w:val="00E11EC1"/>
    <w:rsid w:val="00E71BCF"/>
    <w:rsid w:val="00EA4C2B"/>
    <w:rsid w:val="00F048DE"/>
    <w:rsid w:val="00F47806"/>
    <w:rsid w:val="05685651"/>
    <w:rsid w:val="092B2A83"/>
    <w:rsid w:val="13AF6339"/>
    <w:rsid w:val="1EB52457"/>
    <w:rsid w:val="3578004A"/>
    <w:rsid w:val="48084BC2"/>
    <w:rsid w:val="4E0421C5"/>
    <w:rsid w:val="50407F58"/>
    <w:rsid w:val="56A24FB9"/>
    <w:rsid w:val="57CA222E"/>
    <w:rsid w:val="5FD25576"/>
    <w:rsid w:val="6D8F5D15"/>
    <w:rsid w:val="78506F9F"/>
    <w:rsid w:val="79F2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9"/>
    <w:pPr>
      <w:keepNext/>
      <w:keepLines/>
      <w:spacing w:before="340" w:after="330" w:line="360" w:lineRule="auto"/>
      <w:outlineLvl w:val="0"/>
    </w:pPr>
    <w:rPr>
      <w:rFonts w:eastAsia="黑体"/>
      <w:b/>
      <w:bCs/>
      <w:kern w:val="44"/>
      <w:sz w:val="36"/>
      <w:szCs w:val="44"/>
    </w:rPr>
  </w:style>
  <w:style w:type="paragraph" w:styleId="4">
    <w:name w:val="heading 2"/>
    <w:basedOn w:val="1"/>
    <w:next w:val="1"/>
    <w:link w:val="14"/>
    <w:unhideWhenUsed/>
    <w:qFormat/>
    <w:uiPriority w:val="9"/>
    <w:pPr>
      <w:keepNext/>
      <w:keepLines/>
      <w:spacing w:before="260" w:after="260" w:line="360" w:lineRule="auto"/>
      <w:outlineLvl w:val="1"/>
    </w:pPr>
    <w:rPr>
      <w:rFonts w:eastAsia="仿宋_GB2312" w:asciiTheme="majorHAnsi" w:hAnsiTheme="majorHAnsi" w:cstheme="majorBidi"/>
      <w:b/>
      <w:bCs/>
      <w:sz w:val="32"/>
      <w:szCs w:val="32"/>
    </w:rPr>
  </w:style>
  <w:style w:type="paragraph" w:styleId="5">
    <w:name w:val="heading 3"/>
    <w:basedOn w:val="1"/>
    <w:next w:val="1"/>
    <w:link w:val="15"/>
    <w:unhideWhenUsed/>
    <w:qFormat/>
    <w:uiPriority w:val="9"/>
    <w:pPr>
      <w:keepNext/>
      <w:keepLines/>
      <w:spacing w:before="260" w:after="260" w:line="360" w:lineRule="auto"/>
      <w:ind w:firstLine="643" w:firstLineChars="200"/>
      <w:outlineLvl w:val="2"/>
    </w:pPr>
    <w:rPr>
      <w:rFonts w:eastAsia="仿宋"/>
      <w:b/>
      <w:bCs/>
      <w:sz w:val="32"/>
      <w:szCs w:val="32"/>
    </w:rPr>
  </w:style>
  <w:style w:type="paragraph" w:styleId="6">
    <w:name w:val="heading 4"/>
    <w:basedOn w:val="1"/>
    <w:next w:val="1"/>
    <w:link w:val="1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rPr>
  </w:style>
  <w:style w:type="paragraph" w:styleId="7">
    <w:name w:val="Balloon Text"/>
    <w:basedOn w:val="1"/>
    <w:link w:val="57"/>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customStyle="1" w:styleId="13">
    <w:name w:val="标题 1 字符"/>
    <w:basedOn w:val="11"/>
    <w:link w:val="3"/>
    <w:qFormat/>
    <w:uiPriority w:val="99"/>
    <w:rPr>
      <w:rFonts w:eastAsia="黑体"/>
      <w:b/>
      <w:bCs/>
      <w:kern w:val="44"/>
      <w:sz w:val="36"/>
      <w:szCs w:val="44"/>
    </w:rPr>
  </w:style>
  <w:style w:type="character" w:customStyle="1" w:styleId="14">
    <w:name w:val="标题 2 字符"/>
    <w:basedOn w:val="11"/>
    <w:link w:val="4"/>
    <w:qFormat/>
    <w:uiPriority w:val="9"/>
    <w:rPr>
      <w:rFonts w:eastAsia="仿宋_GB2312" w:asciiTheme="majorHAnsi" w:hAnsiTheme="majorHAnsi" w:cstheme="majorBidi"/>
      <w:b/>
      <w:bCs/>
      <w:sz w:val="32"/>
      <w:szCs w:val="32"/>
    </w:rPr>
  </w:style>
  <w:style w:type="character" w:customStyle="1" w:styleId="15">
    <w:name w:val="标题 3 字符"/>
    <w:basedOn w:val="11"/>
    <w:link w:val="5"/>
    <w:qFormat/>
    <w:uiPriority w:val="9"/>
    <w:rPr>
      <w:rFonts w:eastAsia="仿宋"/>
      <w:b/>
      <w:bCs/>
      <w:sz w:val="32"/>
      <w:szCs w:val="32"/>
    </w:rPr>
  </w:style>
  <w:style w:type="character" w:customStyle="1" w:styleId="16">
    <w:name w:val="标题 4 字符"/>
    <w:basedOn w:val="11"/>
    <w:link w:val="6"/>
    <w:qFormat/>
    <w:uiPriority w:val="9"/>
    <w:rPr>
      <w:rFonts w:asciiTheme="majorHAnsi" w:hAnsiTheme="majorHAnsi" w:eastAsiaTheme="majorEastAsia" w:cstheme="majorBidi"/>
      <w:b/>
      <w:bCs/>
      <w:sz w:val="28"/>
      <w:szCs w:val="28"/>
    </w:rPr>
  </w:style>
  <w:style w:type="character" w:customStyle="1" w:styleId="17">
    <w:name w:val="页眉 字符"/>
    <w:basedOn w:val="11"/>
    <w:link w:val="9"/>
    <w:qFormat/>
    <w:uiPriority w:val="99"/>
    <w:rPr>
      <w:sz w:val="18"/>
      <w:szCs w:val="18"/>
    </w:rPr>
  </w:style>
  <w:style w:type="character" w:customStyle="1" w:styleId="18">
    <w:name w:val="页脚 字符"/>
    <w:basedOn w:val="11"/>
    <w:link w:val="8"/>
    <w:qFormat/>
    <w:uiPriority w:val="99"/>
    <w:rPr>
      <w:sz w:val="18"/>
      <w:szCs w:val="18"/>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1">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2">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3">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color w:val="000000"/>
      <w:kern w:val="0"/>
      <w:sz w:val="24"/>
      <w:szCs w:val="24"/>
    </w:rPr>
  </w:style>
  <w:style w:type="paragraph" w:customStyle="1" w:styleId="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2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黑体" w:hAnsi="黑体" w:eastAsia="黑体" w:cs="宋体"/>
      <w:kern w:val="0"/>
      <w:sz w:val="24"/>
      <w:szCs w:val="24"/>
    </w:rPr>
  </w:style>
  <w:style w:type="paragraph" w:customStyle="1" w:styleId="2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黑体" w:hAnsi="黑体" w:eastAsia="黑体" w:cs="宋体"/>
      <w:kern w:val="0"/>
      <w:sz w:val="24"/>
      <w:szCs w:val="24"/>
    </w:rPr>
  </w:style>
  <w:style w:type="paragraph" w:customStyle="1" w:styleId="2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2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3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31">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3">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kern w:val="0"/>
      <w:sz w:val="24"/>
      <w:szCs w:val="24"/>
    </w:rPr>
  </w:style>
  <w:style w:type="paragraph" w:customStyle="1" w:styleId="35">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37">
    <w:name w:val="xl8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3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4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41">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42">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43">
    <w:name w:val="xl8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44">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45">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46">
    <w:name w:val="xl8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47">
    <w:name w:val="xl9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48">
    <w:name w:val="xl9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49">
    <w:name w:val="xl92"/>
    <w:basedOn w:val="1"/>
    <w:qFormat/>
    <w:uiPriority w:val="0"/>
    <w:pPr>
      <w:widowControl/>
      <w:pBdr>
        <w:lef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50">
    <w:name w:val="xl93"/>
    <w:basedOn w:val="1"/>
    <w:qFormat/>
    <w:uiPriority w:val="0"/>
    <w:pPr>
      <w:widowControl/>
      <w:pBdr>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51">
    <w:name w:val="xl94"/>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52">
    <w:name w:val="xl9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53">
    <w:name w:val="xl9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54">
    <w:name w:val="xl9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55">
    <w:name w:val="xl9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56">
    <w:name w:val="List Paragraph1"/>
    <w:basedOn w:val="1"/>
    <w:qFormat/>
    <w:uiPriority w:val="99"/>
    <w:pPr>
      <w:ind w:firstLine="420" w:firstLineChars="200"/>
    </w:pPr>
    <w:rPr>
      <w:rFonts w:ascii="Yu Mincho Light" w:hAnsi="Yu Mincho Light" w:eastAsia="等线" w:cs="Yu Mincho Light"/>
      <w:szCs w:val="21"/>
    </w:rPr>
  </w:style>
  <w:style w:type="character" w:customStyle="1" w:styleId="57">
    <w:name w:val="批注框文本 字符"/>
    <w:basedOn w:val="11"/>
    <w:link w:val="7"/>
    <w:semiHidden/>
    <w:qFormat/>
    <w:uiPriority w:val="99"/>
    <w:rPr>
      <w:sz w:val="18"/>
      <w:szCs w:val="18"/>
    </w:rPr>
  </w:style>
  <w:style w:type="character" w:customStyle="1" w:styleId="58">
    <w:name w:val="fontstyle01"/>
    <w:basedOn w:val="11"/>
    <w:qFormat/>
    <w:uiPriority w:val="0"/>
    <w:rPr>
      <w:rFonts w:hint="eastAsia" w:ascii="仿宋_GB2312" w:eastAsia="仿宋_GB2312"/>
      <w:color w:val="000000"/>
      <w:sz w:val="32"/>
      <w:szCs w:val="32"/>
    </w:rPr>
  </w:style>
  <w:style w:type="character" w:customStyle="1" w:styleId="59">
    <w:name w:val="fontstyle21"/>
    <w:basedOn w:val="11"/>
    <w:qFormat/>
    <w:uiPriority w:val="0"/>
    <w:rPr>
      <w:rFonts w:hint="default" w:ascii="TimesNewRomanPSMT" w:hAnsi="TimesNewRomanPSMT"/>
      <w:color w:val="000000"/>
      <w:sz w:val="32"/>
      <w:szCs w:val="32"/>
    </w:rPr>
  </w:style>
  <w:style w:type="character" w:customStyle="1" w:styleId="60">
    <w:name w:val="fontstyle31"/>
    <w:basedOn w:val="11"/>
    <w:qFormat/>
    <w:uiPriority w:val="0"/>
    <w:rPr>
      <w:rFonts w:hint="eastAsia" w:ascii="宋体" w:hAnsi="宋体" w:eastAsia="宋体"/>
      <w:color w:val="000000"/>
      <w:sz w:val="32"/>
      <w:szCs w:val="32"/>
    </w:rPr>
  </w:style>
  <w:style w:type="character" w:customStyle="1" w:styleId="61">
    <w:name w:val="fontstyle41"/>
    <w:basedOn w:val="11"/>
    <w:qFormat/>
    <w:uiPriority w:val="0"/>
    <w:rPr>
      <w:rFonts w:hint="eastAsia" w:ascii="宋体" w:hAnsi="宋体" w:eastAsia="宋体"/>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1262</Words>
  <Characters>7194</Characters>
  <Lines>59</Lines>
  <Paragraphs>16</Paragraphs>
  <TotalTime>7</TotalTime>
  <ScaleCrop>false</ScaleCrop>
  <LinksUpToDate>false</LinksUpToDate>
  <CharactersWithSpaces>8440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2021-11-27T14:45:00Z</dcterms:created>
  <dc:creator>60507</dc:creator>
  <cp:lastModifiedBy>Administrator</cp:lastModifiedBy>
  <cp:lastPrinted>2021-12-03T01:39:00Z</cp:lastPrinted>
  <dcterms:modified xsi:type="dcterms:W3CDTF">2021-12-06T08:13:18Z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10E8BDB858D84B8DA9075F04F14B0702</vt:lpwstr>
  </property>
</Properties>
</file>