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ABE6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distribute"/>
        <w:textAlignment w:val="auto"/>
        <w:rPr>
          <w:rFonts w:hint="eastAsia" w:ascii="方正小标宋简体" w:hAnsi="方正小标宋简体" w:eastAsia="方正小标宋简体"/>
          <w:color w:val="FF0000"/>
          <w:spacing w:val="20"/>
          <w:sz w:val="64"/>
        </w:rPr>
      </w:pPr>
      <w:r>
        <w:rPr>
          <w:rFonts w:hint="eastAsia" w:ascii="方正小标宋简体" w:hAnsi="方正小标宋简体" w:eastAsia="方正小标宋简体"/>
          <w:color w:val="FF0000"/>
          <w:spacing w:val="20"/>
          <w:sz w:val="64"/>
        </w:rPr>
        <w:t>淄博市博山区发展和改革局</w:t>
      </w:r>
    </w:p>
    <w:p w14:paraId="288693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distribute"/>
        <w:textAlignment w:val="auto"/>
        <w:rPr>
          <w:rFonts w:hint="default" w:ascii="方正小标宋简体" w:hAnsi="方正小标宋简体" w:eastAsia="方正小标宋简体"/>
          <w:color w:val="FF0000"/>
          <w:spacing w:val="20"/>
          <w:sz w:val="64"/>
          <w:lang w:val="en-US" w:eastAsia="zh-CN"/>
        </w:rPr>
      </w:pPr>
      <w:r>
        <w:rPr>
          <w:rFonts w:hint="eastAsia" w:ascii="方正小标宋简体" w:hAnsi="方正小标宋简体" w:eastAsia="方正小标宋简体"/>
          <w:color w:val="FF0000"/>
          <w:spacing w:val="20"/>
          <w:sz w:val="64"/>
          <w:lang w:val="en-US" w:eastAsia="zh-CN"/>
        </w:rPr>
        <w:t>淄博市博山区民政局</w:t>
      </w:r>
    </w:p>
    <w:p w14:paraId="308491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华文中宋" w:hAnsi="华文中宋" w:eastAsia="华文中宋"/>
          <w:b/>
          <w:color w:val="FF0000"/>
          <w:spacing w:val="106"/>
          <w:sz w:val="66"/>
          <w:szCs w:val="6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-66675</wp:posOffset>
                </wp:positionH>
                <wp:positionV relativeFrom="paragraph">
                  <wp:posOffset>206375</wp:posOffset>
                </wp:positionV>
                <wp:extent cx="5490210" cy="4445"/>
                <wp:effectExtent l="0" t="28575" r="15240" b="4318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90210" cy="4445"/>
                        </a:xfrm>
                        <a:prstGeom prst="line">
                          <a:avLst/>
                        </a:prstGeom>
                        <a:ln w="57150" cap="flat" cmpd="thickThin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5.25pt;margin-top:16.25pt;height:0.35pt;width:432.3pt;z-index:251659264;mso-width-relative:page;mso-height-relative:page;" filled="f" stroked="t" coordsize="21600,21600" o:gfxdata="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DIrTnR1QAAAAkBAAAPAAAAAAAAAAEAIAAAACIAAABkcnMvZG93bnJl&#10;di54bWxQSwECFAAUAAAACACHTuJApi2c1QACAAD8AwAADgAAAAAAAAABACAAAAAkAQAAZHJzL2Uy&#10;b0RvYy54bWxQSwUGAAAAAAYABgBZAQAAlgUAAAAA&#10;">
                <v:fill on="f" focussize="0,0"/>
                <v:stroke weight="4.5pt" color="#FF0000" linestyle="thickThin" joinstyle="round"/>
                <v:imagedata o:title=""/>
                <o:lock v:ext="edit" aspectratio="f"/>
              </v:line>
            </w:pict>
          </mc:Fallback>
        </mc:AlternateContent>
      </w:r>
    </w:p>
    <w:p w14:paraId="1C9651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w w:val="90"/>
          <w:sz w:val="44"/>
          <w:szCs w:val="44"/>
        </w:rPr>
      </w:pPr>
    </w:p>
    <w:p w14:paraId="5ABB94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w w:val="9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w w:val="90"/>
          <w:sz w:val="44"/>
          <w:szCs w:val="44"/>
        </w:rPr>
        <w:t>关于继续执行公墓维护管理费收费政策的通知</w:t>
      </w:r>
    </w:p>
    <w:p w14:paraId="73B927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</w:p>
    <w:p w14:paraId="2237F3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淄博市博山区永安公墓有限公司：</w:t>
      </w:r>
    </w:p>
    <w:p w14:paraId="58116B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为保持我区公墓维护管理费收费政策的延续性，经研究，决定继续执行《关于明确公墓维护管理费收费政策（试行）的通知》（博发改发〔2024〕20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号），本通知自2025年12月9日起执行，有效期1年。</w:t>
      </w:r>
    </w:p>
    <w:p w14:paraId="0202A4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57BDE5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1598" w:leftChars="304" w:hanging="960" w:hangingChars="3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附件：关于明确公墓维护管理费收费政策（试行）的通知</w:t>
      </w:r>
    </w:p>
    <w:p w14:paraId="423500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1609" w:firstLineChars="503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2BE8D3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1609" w:firstLineChars="503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54FD18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博山区发展和改革局            博山区民政局</w:t>
      </w:r>
    </w:p>
    <w:p w14:paraId="6E8AE6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2025年12月1日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E936F9"/>
    <w:rsid w:val="1B256925"/>
    <w:rsid w:val="1FFC6939"/>
    <w:rsid w:val="30590D65"/>
    <w:rsid w:val="3DF8538F"/>
    <w:rsid w:val="52FE68D6"/>
    <w:rsid w:val="5C416D00"/>
    <w:rsid w:val="76051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196</Words>
  <Characters>208</Characters>
  <Lines>0</Lines>
  <Paragraphs>0</Paragraphs>
  <TotalTime>2</TotalTime>
  <ScaleCrop>false</ScaleCrop>
  <LinksUpToDate>false</LinksUpToDate>
  <CharactersWithSpaces>246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2025-10-10T03:07:00Z</dcterms:created>
  <dc:creator>Administrator</dc:creator>
  <cp:lastModifiedBy>张喆</cp:lastModifiedBy>
  <cp:lastPrinted>2025-10-14T07:46:00Z</cp:lastPrinted>
  <dcterms:modified xsi:type="dcterms:W3CDTF">2025-12-02T02:50:57Z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eyJoZGlkIjoiNDA4MTA3NjFiZjAzMjM0YTNiOWFhZWFiZDVkOGRjZWEiLCJ1c2VySWQiOiIxMDU3MTQ3NTg0In0=</vt:lpwstr>
  </property>
  <property fmtid="{D5CDD505-2E9C-101B-9397-08002B2CF9AE}" pid="4" name="ICV">
    <vt:lpwstr>72FF0A91E50A43FBA7617EDF336C4C03_12</vt:lpwstr>
  </property>
</Properties>
</file>