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3D3D3D"/>
          <w:kern w:val="0"/>
          <w:sz w:val="44"/>
          <w:szCs w:val="44"/>
          <w:lang w:val="en-US" w:eastAsia="zh-CN" w:bidi="ar"/>
        </w:rPr>
      </w:pPr>
      <w:bookmarkStart w:id="0" w:name="_GoBack"/>
      <w:r>
        <w:rPr>
          <w:rFonts w:hint="eastAsia" w:ascii="方正小标宋简体" w:hAnsi="方正小标宋简体" w:eastAsia="方正小标宋简体" w:cs="方正小标宋简体"/>
          <w:b w:val="0"/>
          <w:bCs/>
          <w:color w:val="3D3D3D"/>
          <w:kern w:val="0"/>
          <w:sz w:val="44"/>
          <w:szCs w:val="44"/>
          <w:lang w:val="en-US" w:eastAsia="zh-CN" w:bidi="ar"/>
        </w:rPr>
        <w:t>博山区发展和改革局</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3D3D3D"/>
          <w:kern w:val="0"/>
          <w:sz w:val="44"/>
          <w:szCs w:val="44"/>
          <w:lang w:val="en-US" w:eastAsia="zh-CN" w:bidi="ar"/>
        </w:rPr>
      </w:pPr>
      <w:r>
        <w:rPr>
          <w:rFonts w:hint="eastAsia" w:ascii="方正小标宋简体" w:hAnsi="方正小标宋简体" w:eastAsia="方正小标宋简体" w:cs="方正小标宋简体"/>
          <w:b w:val="0"/>
          <w:bCs/>
          <w:color w:val="3D3D3D"/>
          <w:kern w:val="0"/>
          <w:sz w:val="44"/>
          <w:szCs w:val="44"/>
          <w:lang w:val="en-US" w:eastAsia="zh-CN" w:bidi="ar"/>
        </w:rPr>
        <w:t>2019年政府信息公开工作年度报告</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是根据《中华人民共和国政府信息公开条例》（以下简称《条例》），由博山区发展和改革局编制。全文包括概述，主动公开政府信息情况，依申请公开政府信息情况，因政府信息公开申请行政复议、提起行政诉讼情况，政府信息公开工作存在的主要问题和改进措施。本年度报告统计时限是2019年1月1日至12月31日。公布方式为主动公开，联系方式：淄博市博山区县前街46号，邮编：255200，电话：0533-4180053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工作开展以来，我局将此项工作纳入年度工作总体部署，确定了具体分管领导，专门配备1名兼职工作人员负责具体实施公开工作，确保任务明确，责任到人。截至2019年12月31日，政府信息公开工作运行正常，政府信息公开咨询、申请以及答复工作进展顺利，能够及时回应社会关切，对重点领域的政府信息公开工作有条不紊地推进。结合《条例》的实施，我局对本部门的信息公开工作进行了梳理和规范，明确了本部门信息公开工作机构及其职责、信息公开的范围、信息公开的方式和程序，建立了信息公开保密审查及监督检查制度。在实施政府信息公开工作过程中，严格区分公开和不予公开的信息内容，真正做到了管理规范、全面细致、运行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W w:w="906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31"/>
        <w:gridCol w:w="2012"/>
        <w:gridCol w:w="2054"/>
        <w:gridCol w:w="2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15" w:type="dxa"/>
          <w:jc w:val="center"/>
        </w:trPr>
        <w:tc>
          <w:tcPr>
            <w:tcW w:w="906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信息内容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本年新制作数量</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本年新</w:t>
            </w:r>
          </w:p>
          <w:p>
            <w:pPr>
              <w:pStyle w:val="2"/>
              <w:keepNext w:val="0"/>
              <w:keepLines w:val="0"/>
              <w:widowControl/>
              <w:suppressLineNumbers w:val="0"/>
              <w:jc w:val="center"/>
            </w:pPr>
            <w:r>
              <w:rPr>
                <w:bdr w:val="none" w:color="auto" w:sz="0" w:space="0"/>
              </w:rPr>
              <w:t>公开数量</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对外公开</w:t>
            </w:r>
          </w:p>
          <w:p>
            <w:pPr>
              <w:pStyle w:val="2"/>
              <w:keepNext w:val="0"/>
              <w:keepLines w:val="0"/>
              <w:widowControl/>
              <w:suppressLineNumbers w:val="0"/>
              <w:jc w:val="center"/>
            </w:pPr>
            <w:r>
              <w:rPr>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规章</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规范性文件</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jc w:val="center"/>
        </w:trPr>
        <w:tc>
          <w:tcPr>
            <w:tcW w:w="906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信息内容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上一年项目数量</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本年减</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行政许可</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347</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25</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其他对外管理服务事项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jc w:val="center"/>
        </w:trPr>
        <w:tc>
          <w:tcPr>
            <w:tcW w:w="906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信息内容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上一年项目数量</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本年增/减</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行政处罚</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行政强制</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0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22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jc w:val="center"/>
        </w:trPr>
        <w:tc>
          <w:tcPr>
            <w:tcW w:w="906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信息内容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上一年项目数量</w:t>
            </w:r>
          </w:p>
        </w:tc>
        <w:tc>
          <w:tcPr>
            <w:tcW w:w="43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行政事业性收费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43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15" w:type="dxa"/>
          <w:jc w:val="center"/>
        </w:trPr>
        <w:tc>
          <w:tcPr>
            <w:tcW w:w="906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信息内容</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采购项目数量</w:t>
            </w:r>
          </w:p>
        </w:tc>
        <w:tc>
          <w:tcPr>
            <w:tcW w:w="43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15" w:type="dxa"/>
          <w:jc w:val="center"/>
        </w:trPr>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政府集中采购</w:t>
            </w:r>
          </w:p>
        </w:tc>
        <w:tc>
          <w:tcPr>
            <w:tcW w:w="2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c>
          <w:tcPr>
            <w:tcW w:w="43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5"/>
        <w:textAlignment w:val="auto"/>
        <w:rPr>
          <w:rFonts w:hint="eastAsia" w:ascii="黑体" w:hAnsi="黑体" w:eastAsia="黑体" w:cs="黑体"/>
          <w:sz w:val="32"/>
          <w:szCs w:val="32"/>
        </w:rPr>
      </w:pPr>
      <w:r>
        <w:rPr>
          <w:rFonts w:hint="eastAsia" w:ascii="黑体" w:hAnsi="黑体" w:eastAsia="黑体" w:cs="黑体"/>
          <w:sz w:val="32"/>
          <w:szCs w:val="32"/>
        </w:rPr>
        <w:t> 三、收到和处理政府信息公开申请情况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12月26日，我局收到魏冠军申请公开“博山智能制造产业园建设项目立项批复文件及申报材料”。我局及时与申请人联系，该申请人由于征地问题，对项目合法性提出异议。我局行政许可科于2019年12月30日将相关资料邮寄给申请人。</w:t>
      </w:r>
    </w:p>
    <w:tbl>
      <w:tblPr>
        <w:tblW w:w="982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5"/>
        <w:gridCol w:w="1525"/>
        <w:gridCol w:w="2554"/>
        <w:gridCol w:w="592"/>
        <w:gridCol w:w="716"/>
        <w:gridCol w:w="716"/>
        <w:gridCol w:w="716"/>
        <w:gridCol w:w="716"/>
        <w:gridCol w:w="716"/>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4739"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（本列数据的勾稽关系为：第一项加第二项之和，等于第三项加第四项之和）</w:t>
            </w:r>
          </w:p>
        </w:tc>
        <w:tc>
          <w:tcPr>
            <w:tcW w:w="4996" w:type="dxa"/>
            <w:gridSpan w:val="7"/>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blCellSpacing w:w="15" w:type="dxa"/>
          <w:jc w:val="center"/>
        </w:trPr>
        <w:tc>
          <w:tcPr>
            <w:tcW w:w="4739"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62"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自然人</w:t>
            </w:r>
          </w:p>
        </w:tc>
        <w:tc>
          <w:tcPr>
            <w:tcW w:w="355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1"/>
                <w:szCs w:val="21"/>
                <w:bdr w:val="none" w:color="auto" w:sz="0" w:space="0"/>
              </w:rPr>
              <w:t>法人或其他组织</w:t>
            </w:r>
          </w:p>
        </w:tc>
        <w:tc>
          <w:tcPr>
            <w:tcW w:w="824"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blCellSpacing w:w="15" w:type="dxa"/>
          <w:jc w:val="center"/>
        </w:trPr>
        <w:tc>
          <w:tcPr>
            <w:tcW w:w="4739"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62"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商业企业</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科研机构</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社会公益组织</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法律服务机构</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其他</w:t>
            </w:r>
          </w:p>
        </w:tc>
        <w:tc>
          <w:tcPr>
            <w:tcW w:w="82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jc w:val="center"/>
        </w:trPr>
        <w:tc>
          <w:tcPr>
            <w:tcW w:w="4739"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一、本年新收政府信息公开申请数量</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1</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jc w:val="center"/>
        </w:trPr>
        <w:tc>
          <w:tcPr>
            <w:tcW w:w="4739"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二、上年结转政府信息公开申请数量</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both"/>
            </w:pPr>
            <w:r>
              <w:rPr>
                <w:rFonts w:hint="eastAsia" w:ascii="宋体" w:hAnsi="宋体" w:eastAsia="宋体" w:cs="宋体"/>
                <w:sz w:val="21"/>
                <w:szCs w:val="21"/>
                <w:bdr w:val="none" w:color="auto" w:sz="0" w:space="0"/>
              </w:rPr>
              <w:t>三、本年度办理结果</w:t>
            </w:r>
          </w:p>
        </w:tc>
        <w:tc>
          <w:tcPr>
            <w:tcW w:w="4049"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（一）予以公开</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1</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049"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（二）部分公开（区分处理的，只计这一情形，不计其他情形）</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sz w:val="21"/>
                <w:szCs w:val="21"/>
              </w:rPr>
            </w:pPr>
            <w:r>
              <w:rPr>
                <w:rFonts w:hint="eastAsia" w:ascii="宋体" w:hAnsi="宋体" w:eastAsia="宋体" w:cs="宋体"/>
                <w:sz w:val="21"/>
                <w:szCs w:val="21"/>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（三）不予公开</w:t>
            </w: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1．属于国家秘密</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2．其他法律行政法规禁止公开</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sz w:val="21"/>
                <w:szCs w:val="21"/>
              </w:rPr>
            </w:pPr>
            <w:r>
              <w:rPr>
                <w:rFonts w:hint="eastAsia" w:ascii="宋体" w:hAnsi="宋体" w:eastAsia="宋体" w:cs="宋体"/>
                <w:sz w:val="21"/>
                <w:szCs w:val="21"/>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3．危及“三安全一稳定”</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4．保护第三方合法权益</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5．属于三类内部事务信息</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6．属于四类过程性信息</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7．属于行政执法案卷</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8．属于行政查询事项</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（四）无法提供</w:t>
            </w: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1．本机关不掌握相关政府信息</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2．没有现成信息需要另行制作</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3．补正后申请内容仍不明确</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（五）不予处理</w:t>
            </w: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1．信访举报投诉类申请</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2．重复申请</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3．要求提供公开出版物</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z w:val="18"/>
                <w:szCs w:val="18"/>
                <w:bdr w:val="none" w:color="auto" w:sz="0" w:space="0"/>
              </w:rPr>
              <w:t>4．无正当理由大量反复申请</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15" w:type="dxa"/>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180"/>
            </w:pPr>
            <w:r>
              <w:rPr>
                <w:rFonts w:hint="eastAsia" w:ascii="宋体" w:hAnsi="宋体" w:eastAsia="宋体" w:cs="宋体"/>
                <w:sz w:val="18"/>
                <w:szCs w:val="18"/>
              </w:rPr>
              <w:t>5．要求行政机关确认或重新出具已获取信息</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jc w:val="center"/>
        </w:trPr>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049"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（六）其他处理（备注：刑事侦查案卷不予公开）</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4049"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8"/>
                <w:szCs w:val="18"/>
                <w:bdr w:val="none" w:color="auto" w:sz="0" w:space="0"/>
              </w:rPr>
              <w:t>（七）总计</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jc w:val="center"/>
        </w:trPr>
        <w:tc>
          <w:tcPr>
            <w:tcW w:w="4739"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1"/>
                <w:szCs w:val="21"/>
                <w:bdr w:val="none" w:color="auto" w:sz="0" w:space="0"/>
              </w:rPr>
              <w:t>四、结转下年度继续办理</w:t>
            </w:r>
          </w:p>
        </w:tc>
        <w:tc>
          <w:tcPr>
            <w:tcW w:w="5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0</w:t>
            </w:r>
          </w:p>
        </w:tc>
        <w:tc>
          <w:tcPr>
            <w:tcW w:w="68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w:t>
            </w:r>
          </w:p>
        </w:tc>
        <w:tc>
          <w:tcPr>
            <w:tcW w:w="82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0</w:t>
            </w:r>
          </w:p>
        </w:tc>
      </w:tr>
    </w:tbl>
    <w:p>
      <w:pPr>
        <w:pStyle w:val="2"/>
        <w:keepNext w:val="0"/>
        <w:keepLines w:val="0"/>
        <w:widowControl/>
        <w:suppressLineNumbers w:val="0"/>
        <w:rPr>
          <w:rFonts w:hint="eastAsia" w:ascii="黑体" w:hAnsi="黑体" w:eastAsia="黑体" w:cs="黑体"/>
          <w:sz w:val="32"/>
          <w:szCs w:val="32"/>
        </w:rPr>
      </w:pPr>
      <w:r>
        <w:rPr>
          <w:rFonts w:hint="eastAsia" w:ascii="仿宋_GB2312" w:eastAsia="仿宋_GB2312" w:cs="仿宋_GB2312"/>
          <w:sz w:val="31"/>
          <w:szCs w:val="31"/>
        </w:rPr>
        <w:t> </w:t>
      </w:r>
      <w:r>
        <w:rPr>
          <w:rFonts w:hint="eastAsia" w:ascii="黑体" w:hAnsi="黑体" w:eastAsia="黑体" w:cs="黑体"/>
          <w:sz w:val="32"/>
          <w:szCs w:val="32"/>
        </w:rPr>
        <w:t>四、政府信息公开行政复议、行政诉讼情况</w:t>
      </w:r>
    </w:p>
    <w:tbl>
      <w:tblPr>
        <w:tblW w:w="102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8"/>
        <w:gridCol w:w="700"/>
        <w:gridCol w:w="700"/>
        <w:gridCol w:w="677"/>
        <w:gridCol w:w="602"/>
        <w:gridCol w:w="700"/>
        <w:gridCol w:w="700"/>
        <w:gridCol w:w="700"/>
        <w:gridCol w:w="700"/>
        <w:gridCol w:w="579"/>
        <w:gridCol w:w="816"/>
        <w:gridCol w:w="654"/>
        <w:gridCol w:w="747"/>
        <w:gridCol w:w="701"/>
        <w:gridCol w:w="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jc w:val="center"/>
        </w:trPr>
        <w:tc>
          <w:tcPr>
            <w:tcW w:w="340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行政复议</w:t>
            </w:r>
          </w:p>
        </w:tc>
        <w:tc>
          <w:tcPr>
            <w:tcW w:w="6810" w:type="dxa"/>
            <w:gridSpan w:val="10"/>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7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结果维持</w:t>
            </w:r>
          </w:p>
        </w:tc>
        <w:tc>
          <w:tcPr>
            <w:tcW w:w="7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结果纠正</w:t>
            </w:r>
          </w:p>
        </w:tc>
        <w:tc>
          <w:tcPr>
            <w:tcW w:w="7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其他结果</w:t>
            </w:r>
          </w:p>
        </w:tc>
        <w:tc>
          <w:tcPr>
            <w:tcW w:w="67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尚未审结</w:t>
            </w:r>
          </w:p>
        </w:tc>
        <w:tc>
          <w:tcPr>
            <w:tcW w:w="60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bdr w:val="none" w:color="auto" w:sz="0" w:space="0"/>
              </w:rPr>
              <w:t>总计</w:t>
            </w:r>
          </w:p>
        </w:tc>
        <w:tc>
          <w:tcPr>
            <w:tcW w:w="340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未经复议直接起诉</w:t>
            </w:r>
          </w:p>
        </w:tc>
        <w:tc>
          <w:tcPr>
            <w:tcW w:w="340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7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结果维持</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结果纠正</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其他结果</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尚未审结</w:t>
            </w:r>
          </w:p>
        </w:tc>
        <w:tc>
          <w:tcPr>
            <w:tcW w:w="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总计</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结果维持</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结果纠正</w:t>
            </w: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其他结果</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尚未审结</w:t>
            </w:r>
          </w:p>
        </w:tc>
        <w:tc>
          <w:tcPr>
            <w:tcW w:w="4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0 </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0 </w:t>
            </w:r>
          </w:p>
        </w:tc>
        <w:tc>
          <w:tcPr>
            <w:tcW w:w="6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1</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0 </w:t>
            </w:r>
          </w:p>
        </w:tc>
        <w:tc>
          <w:tcPr>
            <w:tcW w:w="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0</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bdr w:val="none" w:color="auto" w:sz="0" w:space="0"/>
                <w:lang w:val="en-US" w:eastAsia="zh-CN" w:bidi="ar"/>
              </w:rPr>
              <w:t> 0</w:t>
            </w:r>
          </w:p>
        </w:tc>
        <w:tc>
          <w:tcPr>
            <w:tcW w:w="4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在政府信息公开工作中取得了一些成绩，但工作中依然还存在着差距和不足，主要表现在：信息公开的内容与公众的需求还存在一定差距；信息公开工作录入格式还有待进一步规范；信息公开工作人员的业务水平还有待进一步加强。下一步，着重加强以下三个方面的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一是继续加大政府信息公开力度。按照要求，除保密范围外的政府信息全部公开，及时更新公开信息内容。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二是规范政府信息公开录入工作。根据区政府信息发布保密审查工作规范，进一步规范信息录入的格式。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三是加大对政府公开信息工作人员的培训力度。组织政府信息工作人员认真学习政府信息公开工作各种文件和规章制度，积极参加区政府组织的相关业务培训，不断提高工作人员的能力和素质。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10E1C"/>
    <w:rsid w:val="7CA1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2021-12-06T02:41:00Z</dcterms:created>
  <dc:creator>Administrator</dc:creator>
  <cp:lastModifiedBy>Administrator</cp:lastModifiedBy>
  <dcterms:modified xsi:type="dcterms:W3CDTF">2021-12-06T02:51:49Z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BC90619B2B7A4CA38F9B0F96D733AAA5</vt:lpwstr>
  </property>
</Properties>
</file>