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84" w:rsidRPr="001A0AAA" w:rsidRDefault="00940384" w:rsidP="00940384">
      <w:pPr>
        <w:widowControl/>
        <w:spacing w:line="576" w:lineRule="exact"/>
        <w:jc w:val="center"/>
        <w:rPr>
          <w:rFonts w:ascii="方正小标宋_GBK" w:eastAsia="方正小标宋_GBK" w:hAnsi="宋体" w:cs="宋体"/>
          <w:color w:val="231F20"/>
          <w:kern w:val="0"/>
          <w:sz w:val="44"/>
          <w:szCs w:val="44"/>
        </w:rPr>
      </w:pPr>
      <w:r w:rsidRPr="001A0AAA">
        <w:rPr>
          <w:rFonts w:ascii="方正小标宋_GBK" w:eastAsia="方正小标宋_GBK" w:hAnsi="宋体" w:cs="宋体" w:hint="eastAsia"/>
          <w:color w:val="231F20"/>
          <w:kern w:val="0"/>
          <w:sz w:val="44"/>
          <w:szCs w:val="44"/>
        </w:rPr>
        <w:t>博山区区级国有资本经营预算</w:t>
      </w:r>
    </w:p>
    <w:p w:rsidR="00940384" w:rsidRPr="00940384" w:rsidRDefault="00940384" w:rsidP="00940384">
      <w:pPr>
        <w:widowControl/>
        <w:spacing w:line="576" w:lineRule="exact"/>
        <w:jc w:val="center"/>
        <w:rPr>
          <w:rFonts w:ascii="宋体" w:eastAsia="宋体" w:hAnsi="宋体" w:cs="宋体"/>
          <w:kern w:val="0"/>
          <w:sz w:val="44"/>
          <w:szCs w:val="44"/>
        </w:rPr>
      </w:pPr>
      <w:r w:rsidRPr="001A0AAA">
        <w:rPr>
          <w:rFonts w:ascii="方正小标宋_GBK" w:eastAsia="方正小标宋_GBK" w:hAnsi="宋体" w:cs="宋体" w:hint="eastAsia"/>
          <w:color w:val="231F20"/>
          <w:kern w:val="0"/>
          <w:sz w:val="44"/>
          <w:szCs w:val="44"/>
        </w:rPr>
        <w:t>管理办法</w:t>
      </w:r>
      <w:r w:rsidRPr="00940384">
        <w:rPr>
          <w:rFonts w:ascii="方正小标宋_GBK" w:eastAsia="方正小标宋_GBK" w:hAnsi="宋体" w:cs="宋体" w:hint="eastAsia"/>
          <w:color w:val="231F20"/>
          <w:kern w:val="0"/>
          <w:sz w:val="44"/>
          <w:szCs w:val="44"/>
        </w:rPr>
        <w:t>（草案）</w:t>
      </w:r>
    </w:p>
    <w:p w:rsidR="00940384" w:rsidRDefault="00940384" w:rsidP="00940384">
      <w:pPr>
        <w:widowControl/>
        <w:spacing w:line="576" w:lineRule="exact"/>
        <w:jc w:val="center"/>
        <w:rPr>
          <w:rFonts w:ascii="黑体" w:eastAsia="黑体" w:hAnsi="黑体" w:cs="宋体"/>
          <w:color w:val="231F20"/>
          <w:kern w:val="0"/>
          <w:sz w:val="32"/>
          <w:szCs w:val="32"/>
        </w:rPr>
      </w:pPr>
    </w:p>
    <w:p w:rsidR="00940384" w:rsidRPr="001A0AAA" w:rsidRDefault="00940384" w:rsidP="00940384">
      <w:pPr>
        <w:widowControl/>
        <w:spacing w:line="576" w:lineRule="exact"/>
        <w:jc w:val="center"/>
        <w:rPr>
          <w:rFonts w:ascii="黑体" w:eastAsia="黑体" w:hAnsi="黑体" w:cs="宋体"/>
          <w:color w:val="231F20"/>
          <w:kern w:val="0"/>
          <w:sz w:val="32"/>
          <w:szCs w:val="32"/>
        </w:rPr>
      </w:pPr>
      <w:r w:rsidRPr="001A0AAA">
        <w:rPr>
          <w:rFonts w:ascii="黑体" w:eastAsia="黑体" w:hAnsi="黑体" w:cs="宋体" w:hint="eastAsia"/>
          <w:color w:val="231F20"/>
          <w:kern w:val="0"/>
          <w:sz w:val="32"/>
          <w:szCs w:val="32"/>
        </w:rPr>
        <w:t>第一章</w:t>
      </w:r>
      <w:r w:rsidRPr="001A0AAA">
        <w:rPr>
          <w:rFonts w:ascii="黑体" w:eastAsia="黑体" w:hAnsi="黑体" w:cs="宋体"/>
          <w:color w:val="231F20"/>
          <w:kern w:val="0"/>
          <w:sz w:val="32"/>
          <w:szCs w:val="32"/>
        </w:rPr>
        <w:t xml:space="preserve">  </w:t>
      </w:r>
      <w:r w:rsidRPr="001A0AAA">
        <w:rPr>
          <w:rFonts w:ascii="黑体" w:eastAsia="黑体" w:hAnsi="黑体" w:cs="宋体" w:hint="eastAsia"/>
          <w:color w:val="231F20"/>
          <w:kern w:val="0"/>
          <w:sz w:val="32"/>
          <w:szCs w:val="32"/>
        </w:rPr>
        <w:t>总 则</w:t>
      </w:r>
      <w:bookmarkStart w:id="0" w:name="_GoBack"/>
      <w:bookmarkEnd w:id="0"/>
    </w:p>
    <w:p w:rsidR="00940384" w:rsidRPr="00993C65" w:rsidRDefault="00940384" w:rsidP="00940384">
      <w:pPr>
        <w:widowControl/>
        <w:spacing w:line="576" w:lineRule="exact"/>
        <w:jc w:val="center"/>
        <w:rPr>
          <w:rFonts w:ascii="宋体" w:eastAsia="宋体" w:hAnsi="宋体" w:cs="宋体"/>
          <w:color w:val="231F20"/>
          <w:kern w:val="0"/>
          <w:sz w:val="32"/>
          <w:szCs w:val="32"/>
        </w:rPr>
      </w:pPr>
      <w:r w:rsidRPr="00993C65">
        <w:rPr>
          <w:rFonts w:ascii="宋体" w:eastAsia="宋体" w:hAnsi="宋体" w:cs="宋体" w:hint="eastAsia"/>
          <w:color w:val="231F20"/>
          <w:kern w:val="0"/>
          <w:sz w:val="32"/>
          <w:szCs w:val="32"/>
        </w:rPr>
        <w:t xml:space="preserve"> </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B70CA3">
        <w:rPr>
          <w:rFonts w:ascii="黑体" w:eastAsia="黑体" w:hAnsi="黑体" w:cs="宋体" w:hint="eastAsia"/>
          <w:color w:val="231F20"/>
          <w:kern w:val="0"/>
          <w:sz w:val="32"/>
          <w:szCs w:val="32"/>
        </w:rPr>
        <w:t>第一条</w:t>
      </w:r>
      <w:r>
        <w:rPr>
          <w:rFonts w:ascii="仿宋_GB2312" w:eastAsia="仿宋_GB2312" w:hAnsi="宋体" w:cs="宋体"/>
          <w:color w:val="231F20"/>
          <w:kern w:val="0"/>
          <w:sz w:val="32"/>
          <w:szCs w:val="32"/>
        </w:rPr>
        <w:t xml:space="preserve"> </w:t>
      </w:r>
      <w:r w:rsidRPr="00F273B9">
        <w:rPr>
          <w:rFonts w:ascii="仿宋_GB2312" w:eastAsia="仿宋_GB2312" w:hAnsi="宋体" w:cs="宋体" w:hint="eastAsia"/>
          <w:color w:val="231F20"/>
          <w:kern w:val="0"/>
          <w:sz w:val="32"/>
          <w:szCs w:val="32"/>
        </w:rPr>
        <w:t>为加强和规范</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级国有资本经营预算管理</w:t>
      </w:r>
      <w:r>
        <w:rPr>
          <w:rFonts w:ascii="仿宋_GB2312" w:eastAsia="仿宋_GB2312" w:hAnsi="宋体" w:cs="宋体" w:hint="eastAsia"/>
          <w:color w:val="231F20"/>
          <w:kern w:val="0"/>
          <w:sz w:val="32"/>
          <w:szCs w:val="32"/>
        </w:rPr>
        <w:t>，</w:t>
      </w:r>
      <w:r w:rsidRPr="00F273B9">
        <w:rPr>
          <w:rFonts w:ascii="仿宋_GB2312" w:eastAsia="仿宋_GB2312" w:hAnsi="宋体" w:cs="宋体" w:hint="eastAsia"/>
          <w:color w:val="231F20"/>
          <w:kern w:val="0"/>
          <w:sz w:val="32"/>
          <w:szCs w:val="32"/>
        </w:rPr>
        <w:t>优化国有资本配置</w:t>
      </w:r>
      <w:r>
        <w:rPr>
          <w:rFonts w:ascii="仿宋_GB2312" w:eastAsia="仿宋_GB2312" w:hAnsi="宋体" w:cs="宋体" w:hint="eastAsia"/>
          <w:color w:val="231F20"/>
          <w:kern w:val="0"/>
          <w:sz w:val="32"/>
          <w:szCs w:val="32"/>
        </w:rPr>
        <w:t>，</w:t>
      </w:r>
      <w:r w:rsidRPr="00F273B9">
        <w:rPr>
          <w:rFonts w:ascii="仿宋_GB2312" w:eastAsia="仿宋_GB2312" w:hAnsi="宋体" w:cs="宋体" w:hint="eastAsia"/>
          <w:color w:val="231F20"/>
          <w:kern w:val="0"/>
          <w:sz w:val="32"/>
          <w:szCs w:val="32"/>
        </w:rPr>
        <w:t>增强政府预算调控能力，根据《中华人民共和国预算法》《中华人民共和国企业国有资产法》《中华人民共和国预算法实施条例》《山东省省级国有资本经营预算管理办法》</w:t>
      </w:r>
      <w:r>
        <w:rPr>
          <w:rFonts w:ascii="仿宋_GB2312" w:eastAsia="仿宋_GB2312" w:hAnsi="宋体" w:cs="宋体" w:hint="eastAsia"/>
          <w:color w:val="231F20"/>
          <w:kern w:val="0"/>
          <w:sz w:val="32"/>
          <w:szCs w:val="32"/>
        </w:rPr>
        <w:t>《淄博市市级国有资本经营预算管理办法》</w:t>
      </w:r>
      <w:r w:rsidRPr="00F273B9">
        <w:rPr>
          <w:rFonts w:ascii="仿宋_GB2312" w:eastAsia="仿宋_GB2312" w:hAnsi="宋体" w:cs="宋体" w:hint="eastAsia"/>
          <w:color w:val="231F20"/>
          <w:kern w:val="0"/>
          <w:sz w:val="32"/>
          <w:szCs w:val="32"/>
        </w:rPr>
        <w:t>等法律法规和有关政策规定</w:t>
      </w:r>
      <w:r>
        <w:rPr>
          <w:rFonts w:ascii="仿宋_GB2312" w:eastAsia="仿宋_GB2312" w:hAnsi="宋体" w:cs="宋体" w:hint="eastAsia"/>
          <w:color w:val="231F20"/>
          <w:kern w:val="0"/>
          <w:sz w:val="32"/>
          <w:szCs w:val="32"/>
        </w:rPr>
        <w:t>，</w:t>
      </w:r>
      <w:r w:rsidRPr="00F273B9">
        <w:rPr>
          <w:rFonts w:ascii="仿宋_GB2312" w:eastAsia="仿宋_GB2312" w:hAnsi="宋体" w:cs="宋体" w:hint="eastAsia"/>
          <w:color w:val="231F20"/>
          <w:kern w:val="0"/>
          <w:sz w:val="32"/>
          <w:szCs w:val="32"/>
        </w:rPr>
        <w:t>制定本办法</w:t>
      </w:r>
      <w:r>
        <w:rPr>
          <w:rFonts w:ascii="仿宋_GB2312" w:eastAsia="仿宋_GB2312" w:hAnsi="宋体" w:cs="宋体" w:hint="eastAsia"/>
          <w:color w:val="231F20"/>
          <w:kern w:val="0"/>
          <w:sz w:val="32"/>
          <w:szCs w:val="32"/>
        </w:rPr>
        <w:t>。</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B70CA3">
        <w:rPr>
          <w:rFonts w:ascii="黑体" w:eastAsia="黑体" w:hAnsi="黑体" w:cs="宋体" w:hint="eastAsia"/>
          <w:color w:val="231F20"/>
          <w:kern w:val="0"/>
          <w:sz w:val="32"/>
          <w:szCs w:val="32"/>
        </w:rPr>
        <w:t>第二条</w:t>
      </w:r>
      <w:r w:rsidRPr="00F273B9">
        <w:rPr>
          <w:rFonts w:ascii="仿宋_GB2312" w:eastAsia="仿宋_GB2312" w:hAnsi="宋体" w:cs="宋体" w:hint="eastAsia"/>
          <w:color w:val="231F20"/>
          <w:kern w:val="0"/>
          <w:sz w:val="32"/>
          <w:szCs w:val="32"/>
        </w:rPr>
        <w:t xml:space="preserve"> </w:t>
      </w:r>
      <w:r>
        <w:rPr>
          <w:rFonts w:ascii="仿宋_GB2312" w:eastAsia="仿宋_GB2312" w:hAnsi="宋体" w:cs="宋体" w:hint="eastAsia"/>
          <w:color w:val="231F20"/>
          <w:kern w:val="0"/>
          <w:sz w:val="32"/>
          <w:szCs w:val="32"/>
        </w:rPr>
        <w:t>本办法所称区级国有资本经营预算，是指区</w:t>
      </w:r>
      <w:r w:rsidRPr="00F273B9">
        <w:rPr>
          <w:rFonts w:ascii="仿宋_GB2312" w:eastAsia="仿宋_GB2312" w:hAnsi="宋体" w:cs="宋体" w:hint="eastAsia"/>
          <w:color w:val="231F20"/>
          <w:kern w:val="0"/>
          <w:sz w:val="32"/>
          <w:szCs w:val="32"/>
        </w:rPr>
        <w:t xml:space="preserve">政府以所有者身份依法取得国有资本收益，并对所得收益作出支出安排的收支预算。 </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36064A">
        <w:rPr>
          <w:rFonts w:ascii="黑体" w:eastAsia="黑体" w:hAnsi="黑体" w:cs="宋体" w:hint="eastAsia"/>
          <w:color w:val="231F20"/>
          <w:kern w:val="0"/>
          <w:sz w:val="32"/>
          <w:szCs w:val="32"/>
        </w:rPr>
        <w:t>第三条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本办法适用于区财政局、区</w:t>
      </w:r>
      <w:r w:rsidRPr="00F273B9">
        <w:rPr>
          <w:rFonts w:ascii="仿宋_GB2312" w:eastAsia="仿宋_GB2312" w:hAnsi="宋体" w:cs="宋体" w:hint="eastAsia"/>
          <w:color w:val="231F20"/>
          <w:kern w:val="0"/>
          <w:sz w:val="32"/>
          <w:szCs w:val="32"/>
        </w:rPr>
        <w:t>级国有资本经营预算单位（以下简称国资预算</w:t>
      </w:r>
      <w:r>
        <w:rPr>
          <w:rFonts w:ascii="仿宋_GB2312" w:eastAsia="仿宋_GB2312" w:hAnsi="宋体" w:cs="宋体" w:hint="eastAsia"/>
          <w:color w:val="231F20"/>
          <w:kern w:val="0"/>
          <w:sz w:val="32"/>
          <w:szCs w:val="32"/>
        </w:rPr>
        <w:t>单位）和区</w:t>
      </w:r>
      <w:r w:rsidRPr="00F273B9">
        <w:rPr>
          <w:rFonts w:ascii="仿宋_GB2312" w:eastAsia="仿宋_GB2312" w:hAnsi="宋体" w:cs="宋体" w:hint="eastAsia"/>
          <w:color w:val="231F20"/>
          <w:kern w:val="0"/>
          <w:sz w:val="32"/>
          <w:szCs w:val="32"/>
        </w:rPr>
        <w:t>级国有资本经营预算企业（以下简称国资预算企业）国有资本经营预算的编制、执行、调整、决算、绩效管理、监督等事项</w:t>
      </w:r>
      <w:r>
        <w:rPr>
          <w:rFonts w:ascii="仿宋_GB2312" w:eastAsia="仿宋_GB2312" w:hAnsi="宋体" w:cs="宋体" w:hint="eastAsia"/>
          <w:color w:val="231F20"/>
          <w:kern w:val="0"/>
          <w:sz w:val="32"/>
          <w:szCs w:val="32"/>
        </w:rPr>
        <w:t>。</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231F20"/>
          <w:kern w:val="0"/>
          <w:sz w:val="32"/>
          <w:szCs w:val="32"/>
        </w:rPr>
        <w:t>本办法所称国资预算单位，是指代表区政府履行出资人职责的区</w:t>
      </w:r>
      <w:r w:rsidRPr="00F273B9">
        <w:rPr>
          <w:rFonts w:ascii="仿宋_GB2312" w:eastAsia="仿宋_GB2312" w:hAnsi="宋体" w:cs="宋体" w:hint="eastAsia"/>
          <w:color w:val="231F20"/>
          <w:kern w:val="0"/>
          <w:sz w:val="32"/>
          <w:szCs w:val="32"/>
        </w:rPr>
        <w:t xml:space="preserve">级部门、单位。 </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231F20"/>
          <w:kern w:val="0"/>
          <w:sz w:val="32"/>
          <w:szCs w:val="32"/>
        </w:rPr>
        <w:t>本办法所称国资预算企业，是指各类区</w:t>
      </w:r>
      <w:r w:rsidRPr="00F273B9">
        <w:rPr>
          <w:rFonts w:ascii="仿宋_GB2312" w:eastAsia="仿宋_GB2312" w:hAnsi="宋体" w:cs="宋体" w:hint="eastAsia"/>
          <w:color w:val="231F20"/>
          <w:kern w:val="0"/>
          <w:sz w:val="32"/>
          <w:szCs w:val="32"/>
        </w:rPr>
        <w:t xml:space="preserve">属国有独资企业和国有控股、参股企业以及企业化管理事业单位。 </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3472E4">
        <w:rPr>
          <w:rFonts w:ascii="黑体" w:eastAsia="黑体" w:hAnsi="黑体" w:cs="宋体" w:hint="eastAsia"/>
          <w:color w:val="231F20"/>
          <w:kern w:val="0"/>
          <w:sz w:val="32"/>
          <w:szCs w:val="32"/>
        </w:rPr>
        <w:lastRenderedPageBreak/>
        <w:t>第四条</w:t>
      </w:r>
      <w:r w:rsidRPr="00F273B9">
        <w:rPr>
          <w:rFonts w:ascii="仿宋_GB2312" w:eastAsia="仿宋_GB2312" w:hAnsi="宋体" w:cs="宋体" w:hint="eastAsia"/>
          <w:color w:val="231F20"/>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级国有资本经营预算管理坚持全面覆</w:t>
      </w:r>
      <w:r>
        <w:rPr>
          <w:rFonts w:ascii="仿宋_GB2312" w:eastAsia="仿宋_GB2312" w:hAnsi="宋体" w:cs="宋体" w:hint="eastAsia"/>
          <w:color w:val="231F20"/>
          <w:kern w:val="0"/>
          <w:sz w:val="32"/>
          <w:szCs w:val="32"/>
        </w:rPr>
        <w:t>盖、独立完整、收支平衡、讲求绩效原则，并加强与一般公共预算衔接</w:t>
      </w:r>
      <w:r w:rsidRPr="003472E4">
        <w:rPr>
          <w:rFonts w:ascii="仿宋_GB2312" w:eastAsia="仿宋_GB2312" w:hAnsi="宋体" w:cs="宋体" w:hint="eastAsia"/>
          <w:color w:val="231F20"/>
          <w:kern w:val="0"/>
          <w:sz w:val="32"/>
          <w:szCs w:val="32"/>
        </w:rPr>
        <w:t>，</w:t>
      </w:r>
      <w:r w:rsidRPr="00F273B9">
        <w:rPr>
          <w:rFonts w:ascii="仿宋_GB2312" w:eastAsia="仿宋_GB2312" w:hAnsi="宋体" w:cs="宋体" w:hint="eastAsia"/>
          <w:color w:val="231F20"/>
          <w:kern w:val="0"/>
          <w:sz w:val="32"/>
          <w:szCs w:val="32"/>
        </w:rPr>
        <w:t>加大向一般公共预算调出力度。</w:t>
      </w:r>
    </w:p>
    <w:p w:rsidR="00940384" w:rsidRDefault="00940384" w:rsidP="00940384">
      <w:pPr>
        <w:widowControl/>
        <w:spacing w:line="576" w:lineRule="exact"/>
        <w:jc w:val="center"/>
        <w:rPr>
          <w:rFonts w:ascii="宋体" w:eastAsia="宋体" w:hAnsi="宋体" w:cs="宋体"/>
          <w:color w:val="231F20"/>
          <w:kern w:val="0"/>
          <w:sz w:val="32"/>
          <w:szCs w:val="32"/>
        </w:rPr>
      </w:pP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第二章 管理职责</w:t>
      </w:r>
    </w:p>
    <w:p w:rsidR="00940384" w:rsidRPr="00993C65" w:rsidRDefault="00940384" w:rsidP="00940384">
      <w:pPr>
        <w:widowControl/>
        <w:spacing w:line="576" w:lineRule="exact"/>
        <w:jc w:val="center"/>
        <w:rPr>
          <w:rFonts w:ascii="宋体" w:eastAsia="宋体" w:hAnsi="宋体" w:cs="宋体"/>
          <w:color w:val="231F20"/>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3472E4">
        <w:rPr>
          <w:rFonts w:ascii="黑体" w:eastAsia="黑体" w:hAnsi="黑体" w:cs="宋体" w:hint="eastAsia"/>
          <w:color w:val="231F20"/>
          <w:kern w:val="0"/>
          <w:sz w:val="32"/>
          <w:szCs w:val="32"/>
        </w:rPr>
        <w:t>第五条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级国有资本经营预算管理由</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财政局、国资预算单位和国资预算企业各司其职，共同负责。</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3472E4">
        <w:rPr>
          <w:rFonts w:ascii="黑体" w:eastAsia="黑体" w:hAnsi="黑体" w:cs="宋体" w:hint="eastAsia"/>
          <w:color w:val="231F20"/>
          <w:kern w:val="0"/>
          <w:sz w:val="32"/>
          <w:szCs w:val="32"/>
        </w:rPr>
        <w:t>第六条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财政局主要负责：</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（一）制定</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级国有资本经营预算管理的相关制度；</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（二）组织</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级国有资本经营预算收入；</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（三）拟定</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级国有资本经营预算支出方向和重点；</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（四）审核汇总国有资本经营预算建议草案，编制</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级国有资本经营预（决）算草案和预算调整方案；</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（五）批复国资预算单位国有资本经营预（决）算；</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（六）组织和指导国资预算单位实施全过程绩效管理；</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（七）对</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级国有资本经营预算管理情况进行财会监督。</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3472E4">
        <w:rPr>
          <w:rFonts w:ascii="黑体" w:eastAsia="黑体" w:hAnsi="黑体" w:cs="宋体" w:hint="eastAsia"/>
          <w:color w:val="231F20"/>
          <w:kern w:val="0"/>
          <w:sz w:val="32"/>
          <w:szCs w:val="32"/>
        </w:rPr>
        <w:t>第七条</w:t>
      </w:r>
      <w:r>
        <w:rPr>
          <w:rFonts w:ascii="仿宋_GB2312" w:eastAsia="仿宋_GB2312" w:hAnsi="宋体" w:cs="宋体" w:hint="eastAsia"/>
          <w:kern w:val="0"/>
          <w:sz w:val="32"/>
          <w:szCs w:val="32"/>
        </w:rPr>
        <w:t xml:space="preserve"> </w:t>
      </w:r>
      <w:r w:rsidRPr="00F273B9">
        <w:rPr>
          <w:rFonts w:ascii="仿宋_GB2312" w:eastAsia="仿宋_GB2312" w:hAnsi="宋体" w:cs="宋体" w:hint="eastAsia"/>
          <w:color w:val="231F20"/>
          <w:kern w:val="0"/>
          <w:sz w:val="32"/>
          <w:szCs w:val="32"/>
        </w:rPr>
        <w:t>国资预算单位主要负责：</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（一）组织所监管（所属）企业编报国有资本经营预算收支计划并进行审核，提出本单位年度国有资本经营预算建议草案；</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（二）组织本单位国有资本经营预算的执行；</w:t>
      </w:r>
    </w:p>
    <w:p w:rsidR="00940384"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lastRenderedPageBreak/>
        <w:t>（三）编制本单位国有资本经营决算草案；</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（四）批复所监管（所属）企业国有资本经营预（决）算；</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（五）负责本单位国有资本经营预算全过程绩效管理；</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（六）配合</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财政局对所监管（所属）企业国有资本经营预算管理情况进行财会监督。</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3472E4">
        <w:rPr>
          <w:rFonts w:ascii="黑体" w:eastAsia="黑体" w:hAnsi="黑体" w:cs="宋体" w:hint="eastAsia"/>
          <w:color w:val="231F20"/>
          <w:kern w:val="0"/>
          <w:sz w:val="32"/>
          <w:szCs w:val="32"/>
        </w:rPr>
        <w:t>第八条</w:t>
      </w:r>
      <w:r>
        <w:rPr>
          <w:rFonts w:ascii="仿宋_GB2312" w:eastAsia="仿宋_GB2312" w:hAnsi="宋体" w:cs="宋体" w:hint="eastAsia"/>
          <w:kern w:val="0"/>
          <w:sz w:val="32"/>
          <w:szCs w:val="32"/>
        </w:rPr>
        <w:t xml:space="preserve"> </w:t>
      </w:r>
      <w:r w:rsidRPr="00F273B9">
        <w:rPr>
          <w:rFonts w:ascii="仿宋_GB2312" w:eastAsia="仿宋_GB2312" w:hAnsi="宋体" w:cs="宋体" w:hint="eastAsia"/>
          <w:color w:val="231F20"/>
          <w:kern w:val="0"/>
          <w:sz w:val="32"/>
          <w:szCs w:val="32"/>
        </w:rPr>
        <w:t>国资预算企业主要负责：</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（一）提出国有资本经营预算收支计划；</w:t>
      </w:r>
    </w:p>
    <w:p w:rsidR="00940384"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（二）按照规定申报、上缴国有资本经营预算收入；</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（三）根据国有资本经营预算批复安排支出，报告国有资本经营预算执行、决算、绩效管理等情况并依法接受监督。</w:t>
      </w:r>
    </w:p>
    <w:p w:rsidR="00940384" w:rsidRDefault="00940384" w:rsidP="00940384">
      <w:pPr>
        <w:widowControl/>
        <w:spacing w:line="576" w:lineRule="exact"/>
        <w:jc w:val="center"/>
        <w:rPr>
          <w:rFonts w:ascii="宋体" w:eastAsia="宋体" w:hAnsi="宋体" w:cs="宋体"/>
          <w:color w:val="231F20"/>
          <w:kern w:val="0"/>
          <w:sz w:val="32"/>
          <w:szCs w:val="32"/>
        </w:rPr>
      </w:pP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第三章 收支范围</w:t>
      </w:r>
    </w:p>
    <w:p w:rsidR="00940384" w:rsidRPr="00993C65" w:rsidRDefault="00940384" w:rsidP="00940384">
      <w:pPr>
        <w:widowControl/>
        <w:spacing w:line="576" w:lineRule="exact"/>
        <w:jc w:val="center"/>
        <w:rPr>
          <w:rFonts w:ascii="宋体" w:eastAsia="宋体" w:hAnsi="宋体" w:cs="宋体"/>
          <w:color w:val="231F20"/>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3472E4">
        <w:rPr>
          <w:rFonts w:ascii="黑体" w:eastAsia="黑体" w:hAnsi="黑体" w:cs="宋体" w:hint="eastAsia"/>
          <w:color w:val="231F20"/>
          <w:kern w:val="0"/>
          <w:sz w:val="32"/>
          <w:szCs w:val="32"/>
        </w:rPr>
        <w:t>第九条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级国有资本经营预算收入主要包括利润收入、股息红利收入、产权转让收入、清算收入和其他收入。</w:t>
      </w:r>
    </w:p>
    <w:p w:rsidR="00940384" w:rsidRDefault="00940384" w:rsidP="00940384">
      <w:pPr>
        <w:widowControl/>
        <w:spacing w:line="576" w:lineRule="exact"/>
        <w:ind w:firstLineChars="200" w:firstLine="640"/>
        <w:jc w:val="left"/>
        <w:rPr>
          <w:rFonts w:ascii="仿宋_GB2312" w:eastAsia="仿宋_GB2312" w:hAnsi="宋体" w:cs="宋体"/>
          <w:color w:val="231F20"/>
          <w:kern w:val="0"/>
          <w:sz w:val="32"/>
          <w:szCs w:val="32"/>
        </w:rPr>
      </w:pPr>
      <w:r w:rsidRPr="00AE7BEB">
        <w:rPr>
          <w:rFonts w:ascii="黑体" w:eastAsia="黑体" w:hAnsi="黑体" w:cs="宋体" w:hint="eastAsia"/>
          <w:color w:val="231F20"/>
          <w:kern w:val="0"/>
          <w:sz w:val="32"/>
          <w:szCs w:val="32"/>
        </w:rPr>
        <w:t>第十条</w:t>
      </w:r>
      <w:r>
        <w:rPr>
          <w:rFonts w:ascii="仿宋_GB2312" w:eastAsia="仿宋_GB2312" w:hAnsi="宋体" w:cs="宋体"/>
          <w:color w:val="231F20"/>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属国有独资企业、企业化管理事业单位按照不低于30%的比例上缴利润收入，</w:t>
      </w:r>
      <w:r>
        <w:rPr>
          <w:rFonts w:ascii="仿宋_GB2312" w:eastAsia="仿宋_GB2312" w:hAnsi="宋体" w:cs="宋体" w:hint="eastAsia"/>
          <w:color w:val="231F20"/>
          <w:kern w:val="0"/>
          <w:sz w:val="32"/>
          <w:szCs w:val="32"/>
        </w:rPr>
        <w:t>区政府另有规定的除外。利润收入上缴比例实行动态调整，由区财政局提出建议，报区政府批准后执行。</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231F20"/>
          <w:kern w:val="0"/>
          <w:sz w:val="32"/>
          <w:szCs w:val="32"/>
        </w:rPr>
        <w:lastRenderedPageBreak/>
        <w:t>为实现特定调控目标，经区政府同意，可在区</w:t>
      </w:r>
      <w:r w:rsidRPr="00F273B9">
        <w:rPr>
          <w:rFonts w:ascii="仿宋_GB2312" w:eastAsia="仿宋_GB2312" w:hAnsi="宋体" w:cs="宋体" w:hint="eastAsia"/>
          <w:color w:val="231F20"/>
          <w:kern w:val="0"/>
          <w:sz w:val="32"/>
          <w:szCs w:val="32"/>
        </w:rPr>
        <w:t>属国有独资企业按规定比例上缴利润的基础上，依法依规向其收取固定数额利润。</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231F20"/>
          <w:kern w:val="0"/>
          <w:sz w:val="32"/>
          <w:szCs w:val="32"/>
        </w:rPr>
        <w:t>承担区</w:t>
      </w:r>
      <w:r w:rsidRPr="00F273B9">
        <w:rPr>
          <w:rFonts w:ascii="仿宋_GB2312" w:eastAsia="仿宋_GB2312" w:hAnsi="宋体" w:cs="宋体" w:hint="eastAsia"/>
          <w:color w:val="231F20"/>
          <w:kern w:val="0"/>
          <w:sz w:val="32"/>
          <w:szCs w:val="32"/>
        </w:rPr>
        <w:t>属储备粮任务的政策性企业，可免缴利润收入。</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AE7BEB">
        <w:rPr>
          <w:rFonts w:ascii="黑体" w:eastAsia="黑体" w:hAnsi="黑体" w:cs="宋体" w:hint="eastAsia"/>
          <w:color w:val="231F20"/>
          <w:kern w:val="0"/>
          <w:sz w:val="32"/>
          <w:szCs w:val="32"/>
        </w:rPr>
        <w:t>第十一条</w:t>
      </w:r>
      <w:r>
        <w:rPr>
          <w:rFonts w:ascii="仿宋_GB2312" w:eastAsia="仿宋_GB2312" w:hAnsi="宋体" w:cs="宋体" w:hint="eastAsia"/>
          <w:kern w:val="0"/>
          <w:sz w:val="32"/>
          <w:szCs w:val="32"/>
        </w:rPr>
        <w:t xml:space="preserve"> </w:t>
      </w:r>
      <w:r w:rsidRPr="00F273B9">
        <w:rPr>
          <w:rFonts w:ascii="仿宋_GB2312" w:eastAsia="仿宋_GB2312" w:hAnsi="宋体" w:cs="宋体" w:hint="eastAsia"/>
          <w:color w:val="231F20"/>
          <w:kern w:val="0"/>
          <w:sz w:val="32"/>
          <w:szCs w:val="32"/>
        </w:rPr>
        <w:t>国资预算单位持有股权的</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属国有控股、参股企业应付国资预算单位的股息红利，按照股东会或者股东大会决议通过的利润分配方案，全额上缴。</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AE7BEB">
        <w:rPr>
          <w:rFonts w:ascii="黑体" w:eastAsia="黑体" w:hAnsi="黑体" w:cs="宋体" w:hint="eastAsia"/>
          <w:color w:val="231F20"/>
          <w:kern w:val="0"/>
          <w:sz w:val="32"/>
          <w:szCs w:val="32"/>
        </w:rPr>
        <w:t>第十二条</w:t>
      </w:r>
      <w:r>
        <w:rPr>
          <w:rFonts w:ascii="仿宋_GB2312" w:eastAsia="仿宋_GB2312" w:hAnsi="宋体" w:cs="宋体" w:hint="eastAsia"/>
          <w:kern w:val="0"/>
          <w:sz w:val="32"/>
          <w:szCs w:val="32"/>
        </w:rPr>
        <w:t xml:space="preserve"> </w:t>
      </w:r>
      <w:r w:rsidRPr="00F273B9">
        <w:rPr>
          <w:rFonts w:ascii="仿宋_GB2312" w:eastAsia="仿宋_GB2312" w:hAnsi="宋体" w:cs="宋体" w:hint="eastAsia"/>
          <w:color w:val="231F20"/>
          <w:kern w:val="0"/>
          <w:sz w:val="32"/>
          <w:szCs w:val="32"/>
        </w:rPr>
        <w:t>转让国资预算单位持有的</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属企业国有产权（股权）形成的净收入，全额上缴。</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AE7BEB">
        <w:rPr>
          <w:rFonts w:ascii="黑体" w:eastAsia="黑体" w:hAnsi="黑体" w:cs="宋体" w:hint="eastAsia"/>
          <w:color w:val="231F20"/>
          <w:kern w:val="0"/>
          <w:sz w:val="32"/>
          <w:szCs w:val="32"/>
        </w:rPr>
        <w:t>第十三条</w:t>
      </w:r>
      <w:r>
        <w:rPr>
          <w:rFonts w:ascii="仿宋_GB2312" w:eastAsia="仿宋_GB2312" w:hAnsi="宋体" w:cs="宋体" w:hint="eastAsia"/>
          <w:kern w:val="0"/>
          <w:sz w:val="32"/>
          <w:szCs w:val="32"/>
        </w:rPr>
        <w:t xml:space="preserve"> </w:t>
      </w:r>
      <w:r w:rsidRPr="00F273B9">
        <w:rPr>
          <w:rFonts w:ascii="仿宋_GB2312" w:eastAsia="仿宋_GB2312" w:hAnsi="宋体" w:cs="宋体" w:hint="eastAsia"/>
          <w:color w:val="231F20"/>
          <w:kern w:val="0"/>
          <w:sz w:val="32"/>
          <w:szCs w:val="32"/>
        </w:rPr>
        <w:t>国资预算单位持有股权的</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属国有独资企业清算净收入，以及</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属国有控股、参股企业取得的清算净收入中属于国资预算单位应分享的部分，全额上缴。</w:t>
      </w:r>
    </w:p>
    <w:p w:rsidR="00940384" w:rsidRPr="0027232E" w:rsidRDefault="00940384" w:rsidP="00940384">
      <w:pPr>
        <w:widowControl/>
        <w:spacing w:line="576" w:lineRule="exact"/>
        <w:ind w:firstLineChars="200" w:firstLine="640"/>
        <w:jc w:val="left"/>
        <w:rPr>
          <w:rFonts w:ascii="仿宋_GB2312" w:eastAsia="仿宋_GB2312" w:hAnsi="宋体" w:cs="宋体"/>
          <w:kern w:val="0"/>
          <w:sz w:val="32"/>
          <w:szCs w:val="32"/>
        </w:rPr>
      </w:pPr>
      <w:r w:rsidRPr="0027232E">
        <w:rPr>
          <w:rFonts w:ascii="黑体" w:eastAsia="黑体" w:hAnsi="黑体" w:cs="宋体" w:hint="eastAsia"/>
          <w:color w:val="231F20"/>
          <w:kern w:val="0"/>
          <w:sz w:val="32"/>
          <w:szCs w:val="32"/>
        </w:rPr>
        <w:t>第十四条</w:t>
      </w:r>
      <w:r>
        <w:rPr>
          <w:rFonts w:ascii="仿宋_GB2312" w:eastAsia="仿宋_GB2312" w:hAnsi="宋体" w:cs="宋体" w:hint="eastAsia"/>
          <w:kern w:val="0"/>
          <w:sz w:val="32"/>
          <w:szCs w:val="32"/>
        </w:rPr>
        <w:t xml:space="preserve"> 区</w:t>
      </w:r>
      <w:r w:rsidRPr="00F273B9">
        <w:rPr>
          <w:rFonts w:ascii="仿宋_GB2312" w:eastAsia="仿宋_GB2312" w:hAnsi="宋体" w:cs="宋体" w:hint="eastAsia"/>
          <w:color w:val="231F20"/>
          <w:kern w:val="0"/>
          <w:sz w:val="32"/>
          <w:szCs w:val="32"/>
        </w:rPr>
        <w:t xml:space="preserve">级国有资本经营预算支出主要包括： </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（一）资本性支出</w:t>
      </w:r>
      <w:r>
        <w:rPr>
          <w:rFonts w:ascii="仿宋_GB2312" w:eastAsia="仿宋_GB2312" w:hAnsi="宋体" w:cs="宋体" w:hint="eastAsia"/>
          <w:color w:val="231F20"/>
          <w:kern w:val="0"/>
          <w:sz w:val="32"/>
          <w:szCs w:val="32"/>
        </w:rPr>
        <w:t>，</w:t>
      </w:r>
      <w:r w:rsidRPr="00F273B9">
        <w:rPr>
          <w:rFonts w:ascii="仿宋_GB2312" w:eastAsia="仿宋_GB2312" w:hAnsi="宋体" w:cs="宋体" w:hint="eastAsia"/>
          <w:color w:val="231F20"/>
          <w:kern w:val="0"/>
          <w:sz w:val="32"/>
          <w:szCs w:val="32"/>
        </w:rPr>
        <w:t>主要包括关系全</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经济社会发展重要行业和关键领域的重大项目支出、国家资本金注入、实施战略性收购支出等；</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231F20"/>
          <w:kern w:val="0"/>
          <w:sz w:val="32"/>
          <w:szCs w:val="32"/>
        </w:rPr>
        <w:t>（二）费用性支出，主要包括处置国有企业历史遗留问题、支持国有企业改革发展以及经区</w:t>
      </w:r>
      <w:r w:rsidRPr="00F273B9">
        <w:rPr>
          <w:rFonts w:ascii="仿宋_GB2312" w:eastAsia="仿宋_GB2312" w:hAnsi="宋体" w:cs="宋体" w:hint="eastAsia"/>
          <w:color w:val="231F20"/>
          <w:kern w:val="0"/>
          <w:sz w:val="32"/>
          <w:szCs w:val="32"/>
        </w:rPr>
        <w:t>政府批准的对国有企业其他方面的补助性支出；</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（三）转移性支出，主要包括向一般公共预算调出资金、对下级政府转移支付等支出；</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 xml:space="preserve">（四）其他支出。 </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231F20"/>
          <w:kern w:val="0"/>
          <w:sz w:val="32"/>
          <w:szCs w:val="32"/>
        </w:rPr>
        <w:lastRenderedPageBreak/>
        <w:t>区</w:t>
      </w:r>
      <w:r w:rsidRPr="00F273B9">
        <w:rPr>
          <w:rFonts w:ascii="仿宋_GB2312" w:eastAsia="仿宋_GB2312" w:hAnsi="宋体" w:cs="宋体" w:hint="eastAsia"/>
          <w:color w:val="231F20"/>
          <w:kern w:val="0"/>
          <w:sz w:val="32"/>
          <w:szCs w:val="32"/>
        </w:rPr>
        <w:t>级国有资</w:t>
      </w:r>
      <w:r>
        <w:rPr>
          <w:rFonts w:ascii="仿宋_GB2312" w:eastAsia="仿宋_GB2312" w:hAnsi="宋体" w:cs="宋体" w:hint="eastAsia"/>
          <w:color w:val="231F20"/>
          <w:kern w:val="0"/>
          <w:sz w:val="32"/>
          <w:szCs w:val="32"/>
        </w:rPr>
        <w:t>本经营预算支出的方向和重点，应当根据国家宏观经济政策需要，以及区委、区</w:t>
      </w:r>
      <w:r w:rsidRPr="00F273B9">
        <w:rPr>
          <w:rFonts w:ascii="仿宋_GB2312" w:eastAsia="仿宋_GB2312" w:hAnsi="宋体" w:cs="宋体" w:hint="eastAsia"/>
          <w:color w:val="231F20"/>
          <w:kern w:val="0"/>
          <w:sz w:val="32"/>
          <w:szCs w:val="32"/>
        </w:rPr>
        <w:t>政府确定的不同时期国有企业改革发展任务适时进行调整。</w:t>
      </w:r>
    </w:p>
    <w:p w:rsidR="00940384" w:rsidRDefault="00940384" w:rsidP="00940384">
      <w:pPr>
        <w:widowControl/>
        <w:spacing w:line="576" w:lineRule="exact"/>
        <w:jc w:val="center"/>
        <w:rPr>
          <w:rFonts w:ascii="宋体" w:eastAsia="宋体" w:hAnsi="宋体" w:cs="宋体"/>
          <w:color w:val="231F20"/>
          <w:kern w:val="0"/>
          <w:sz w:val="32"/>
          <w:szCs w:val="32"/>
        </w:rPr>
      </w:pP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第四章 预算编制</w:t>
      </w:r>
    </w:p>
    <w:p w:rsidR="00940384" w:rsidRPr="0027232E" w:rsidRDefault="00940384" w:rsidP="00940384">
      <w:pPr>
        <w:widowControl/>
        <w:spacing w:line="576" w:lineRule="exact"/>
        <w:jc w:val="center"/>
        <w:rPr>
          <w:rFonts w:ascii="宋体" w:eastAsia="宋体" w:hAnsi="宋体" w:cs="宋体"/>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27232E">
        <w:rPr>
          <w:rFonts w:ascii="黑体" w:eastAsia="黑体" w:hAnsi="黑体" w:cs="宋体" w:hint="eastAsia"/>
          <w:color w:val="231F20"/>
          <w:kern w:val="0"/>
          <w:sz w:val="32"/>
          <w:szCs w:val="32"/>
        </w:rPr>
        <w:t>第十五条</w:t>
      </w:r>
      <w:r>
        <w:rPr>
          <w:rFonts w:ascii="仿宋_GB2312" w:eastAsia="仿宋_GB2312" w:hAnsi="宋体" w:cs="宋体" w:hint="eastAsia"/>
          <w:color w:val="231F20"/>
          <w:kern w:val="0"/>
          <w:sz w:val="32"/>
          <w:szCs w:val="32"/>
        </w:rPr>
        <w:t xml:space="preserve"> </w:t>
      </w:r>
      <w:r>
        <w:rPr>
          <w:rFonts w:ascii="仿宋_GB2312" w:eastAsia="仿宋_GB2312" w:hAnsi="宋体" w:cs="宋体" w:hint="eastAsia"/>
          <w:kern w:val="0"/>
          <w:sz w:val="32"/>
          <w:szCs w:val="32"/>
        </w:rPr>
        <w:t>区</w:t>
      </w:r>
      <w:r>
        <w:rPr>
          <w:rFonts w:ascii="仿宋_GB2312" w:eastAsia="仿宋_GB2312" w:hAnsi="宋体" w:cs="宋体" w:hint="eastAsia"/>
          <w:color w:val="231F20"/>
          <w:kern w:val="0"/>
          <w:sz w:val="32"/>
          <w:szCs w:val="32"/>
        </w:rPr>
        <w:t>级国有资本经营预算按年度单独编制，并按照规定编制中期区</w:t>
      </w:r>
      <w:r w:rsidRPr="00F273B9">
        <w:rPr>
          <w:rFonts w:ascii="仿宋_GB2312" w:eastAsia="仿宋_GB2312" w:hAnsi="宋体" w:cs="宋体" w:hint="eastAsia"/>
          <w:color w:val="231F20"/>
          <w:kern w:val="0"/>
          <w:sz w:val="32"/>
          <w:szCs w:val="32"/>
        </w:rPr>
        <w:t>级国有资本经营预算收支规划。</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27232E">
        <w:rPr>
          <w:rFonts w:ascii="黑体" w:eastAsia="黑体" w:hAnsi="黑体" w:cs="宋体" w:hint="eastAsia"/>
          <w:color w:val="231F20"/>
          <w:kern w:val="0"/>
          <w:sz w:val="32"/>
          <w:szCs w:val="32"/>
        </w:rPr>
        <w:t>第十六条</w:t>
      </w:r>
      <w:r>
        <w:rPr>
          <w:rFonts w:ascii="仿宋_GB2312" w:eastAsia="仿宋_GB2312" w:hAnsi="宋体" w:cs="宋体" w:hint="eastAsia"/>
          <w:color w:val="231F20"/>
          <w:kern w:val="0"/>
          <w:sz w:val="32"/>
          <w:szCs w:val="32"/>
        </w:rPr>
        <w:t xml:space="preserve"> </w:t>
      </w:r>
      <w:r>
        <w:rPr>
          <w:rFonts w:ascii="仿宋_GB2312" w:eastAsia="仿宋_GB2312" w:hAnsi="宋体" w:cs="宋体" w:hint="eastAsia"/>
          <w:kern w:val="0"/>
          <w:sz w:val="32"/>
          <w:szCs w:val="32"/>
        </w:rPr>
        <w:t>区</w:t>
      </w:r>
      <w:r w:rsidRPr="00F273B9">
        <w:rPr>
          <w:rFonts w:ascii="仿宋_GB2312" w:eastAsia="仿宋_GB2312" w:hAnsi="宋体" w:cs="宋体" w:hint="eastAsia"/>
          <w:color w:val="231F20"/>
          <w:kern w:val="0"/>
          <w:sz w:val="32"/>
          <w:szCs w:val="32"/>
        </w:rPr>
        <w:t>财政局根据</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属企业年度盈利等情况、国有资本经营预算收入收取政策和国有资本经营预算支出政策等，结合国资</w:t>
      </w:r>
      <w:r>
        <w:rPr>
          <w:rFonts w:ascii="仿宋_GB2312" w:eastAsia="仿宋_GB2312" w:hAnsi="宋体" w:cs="宋体" w:hint="eastAsia"/>
          <w:color w:val="231F20"/>
          <w:kern w:val="0"/>
          <w:sz w:val="32"/>
          <w:szCs w:val="32"/>
        </w:rPr>
        <w:t>预算单位提报的国有资本经营预算支出建议草案，进行统筹平衡，编制区级国有资本经营预算草案，经区政府审定后，报区</w:t>
      </w:r>
      <w:r w:rsidRPr="00F273B9">
        <w:rPr>
          <w:rFonts w:ascii="仿宋_GB2312" w:eastAsia="仿宋_GB2312" w:hAnsi="宋体" w:cs="宋体" w:hint="eastAsia"/>
          <w:color w:val="231F20"/>
          <w:kern w:val="0"/>
          <w:sz w:val="32"/>
          <w:szCs w:val="32"/>
        </w:rPr>
        <w:t>人民代表大会审查。</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第十七条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区级国有资本经营预算草案经区人民代表大会批准后，区</w:t>
      </w:r>
      <w:r w:rsidRPr="00F273B9">
        <w:rPr>
          <w:rFonts w:ascii="仿宋_GB2312" w:eastAsia="仿宋_GB2312" w:hAnsi="宋体" w:cs="宋体" w:hint="eastAsia"/>
          <w:color w:val="231F20"/>
          <w:kern w:val="0"/>
          <w:sz w:val="32"/>
          <w:szCs w:val="32"/>
        </w:rPr>
        <w:t>财政局应当在20</w:t>
      </w:r>
      <w:r>
        <w:rPr>
          <w:rFonts w:ascii="仿宋_GB2312" w:eastAsia="仿宋_GB2312" w:hAnsi="宋体" w:cs="宋体" w:hint="eastAsia"/>
          <w:color w:val="231F20"/>
          <w:kern w:val="0"/>
          <w:sz w:val="32"/>
          <w:szCs w:val="32"/>
        </w:rPr>
        <w:t>日内向有关国资预算单位批复预算。国资预算单位应当在接到区</w:t>
      </w:r>
      <w:r w:rsidRPr="00F273B9">
        <w:rPr>
          <w:rFonts w:ascii="仿宋_GB2312" w:eastAsia="仿宋_GB2312" w:hAnsi="宋体" w:cs="宋体" w:hint="eastAsia"/>
          <w:color w:val="231F20"/>
          <w:kern w:val="0"/>
          <w:sz w:val="32"/>
          <w:szCs w:val="32"/>
        </w:rPr>
        <w:t>财政局批复的本单位预算后15日内向所监管（所属）企业批复预算。</w:t>
      </w:r>
    </w:p>
    <w:p w:rsidR="00940384" w:rsidRDefault="00940384" w:rsidP="00940384">
      <w:pPr>
        <w:widowControl/>
        <w:spacing w:line="576" w:lineRule="exact"/>
        <w:jc w:val="center"/>
        <w:rPr>
          <w:rFonts w:ascii="宋体" w:eastAsia="宋体" w:hAnsi="宋体" w:cs="宋体"/>
          <w:color w:val="231F20"/>
          <w:kern w:val="0"/>
          <w:sz w:val="32"/>
          <w:szCs w:val="32"/>
        </w:rPr>
      </w:pP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 xml:space="preserve">第五章 </w:t>
      </w:r>
      <w:r w:rsidRPr="00626DDF">
        <w:rPr>
          <w:rFonts w:ascii="黑体" w:eastAsia="黑体" w:hAnsi="黑体" w:cs="宋体"/>
          <w:color w:val="231F20"/>
          <w:kern w:val="0"/>
          <w:sz w:val="32"/>
          <w:szCs w:val="32"/>
        </w:rPr>
        <w:t xml:space="preserve"> </w:t>
      </w:r>
      <w:r w:rsidRPr="00626DDF">
        <w:rPr>
          <w:rFonts w:ascii="黑体" w:eastAsia="黑体" w:hAnsi="黑体" w:cs="宋体" w:hint="eastAsia"/>
          <w:color w:val="231F20"/>
          <w:kern w:val="0"/>
          <w:sz w:val="32"/>
          <w:szCs w:val="32"/>
        </w:rPr>
        <w:t>预算执行</w:t>
      </w:r>
    </w:p>
    <w:p w:rsidR="00940384" w:rsidRPr="00993C65" w:rsidRDefault="00940384" w:rsidP="00940384">
      <w:pPr>
        <w:widowControl/>
        <w:spacing w:line="576" w:lineRule="exact"/>
        <w:jc w:val="center"/>
        <w:rPr>
          <w:rFonts w:ascii="宋体" w:eastAsia="宋体" w:hAnsi="宋体" w:cs="宋体"/>
          <w:color w:val="231F20"/>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第十八条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国资预算企业应将按规定上缴的国有资本收益及时、足额上缴区</w:t>
      </w:r>
      <w:r w:rsidRPr="00F273B9">
        <w:rPr>
          <w:rFonts w:ascii="仿宋_GB2312" w:eastAsia="仿宋_GB2312" w:hAnsi="宋体" w:cs="宋体" w:hint="eastAsia"/>
          <w:color w:val="231F20"/>
          <w:kern w:val="0"/>
          <w:sz w:val="32"/>
          <w:szCs w:val="32"/>
        </w:rPr>
        <w:t>财政，任何部门和单位不得擅自减免。</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lastRenderedPageBreak/>
        <w:t>第十九条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级国有资本经营预算支出应当按照经批复的预算执行，未经批准不得擅自调剂。</w:t>
      </w:r>
    </w:p>
    <w:p w:rsidR="00940384"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第二十条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级国有资本经营预算资金的收付按照财政国库集中收付制度有关规定执行。</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第二十一条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级国有资本经营预算年度执行中有超收收入的，应当在下一年度安排使用；出现短收的，应当通过减少支出实现收支平衡。国家另有规定的除外。</w:t>
      </w:r>
    </w:p>
    <w:p w:rsidR="00940384" w:rsidRDefault="00940384" w:rsidP="00940384">
      <w:pPr>
        <w:widowControl/>
        <w:spacing w:line="576" w:lineRule="exact"/>
        <w:jc w:val="center"/>
        <w:rPr>
          <w:rFonts w:ascii="宋体" w:eastAsia="宋体" w:hAnsi="宋体" w:cs="宋体"/>
          <w:color w:val="231F20"/>
          <w:kern w:val="0"/>
          <w:sz w:val="32"/>
          <w:szCs w:val="32"/>
        </w:rPr>
      </w:pP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 xml:space="preserve">第六章 </w:t>
      </w:r>
      <w:r w:rsidRPr="00626DDF">
        <w:rPr>
          <w:rFonts w:ascii="黑体" w:eastAsia="黑体" w:hAnsi="黑体" w:cs="宋体"/>
          <w:color w:val="231F20"/>
          <w:kern w:val="0"/>
          <w:sz w:val="32"/>
          <w:szCs w:val="32"/>
        </w:rPr>
        <w:t xml:space="preserve"> </w:t>
      </w:r>
      <w:r w:rsidRPr="00626DDF">
        <w:rPr>
          <w:rFonts w:ascii="黑体" w:eastAsia="黑体" w:hAnsi="黑体" w:cs="宋体" w:hint="eastAsia"/>
          <w:color w:val="231F20"/>
          <w:kern w:val="0"/>
          <w:sz w:val="32"/>
          <w:szCs w:val="32"/>
        </w:rPr>
        <w:t>预算调整</w:t>
      </w:r>
    </w:p>
    <w:p w:rsidR="00940384" w:rsidRDefault="00940384" w:rsidP="00940384">
      <w:pPr>
        <w:widowControl/>
        <w:spacing w:line="576" w:lineRule="exact"/>
        <w:jc w:val="left"/>
        <w:rPr>
          <w:rFonts w:ascii="仿宋_GB2312" w:eastAsia="仿宋_GB2312" w:hAnsi="宋体" w:cs="宋体"/>
          <w:color w:val="231F20"/>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第二十二条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经区人民代表大会批准的区</w:t>
      </w:r>
      <w:r w:rsidRPr="00F273B9">
        <w:rPr>
          <w:rFonts w:ascii="仿宋_GB2312" w:eastAsia="仿宋_GB2312" w:hAnsi="宋体" w:cs="宋体" w:hint="eastAsia"/>
          <w:color w:val="231F20"/>
          <w:kern w:val="0"/>
          <w:sz w:val="32"/>
          <w:szCs w:val="32"/>
        </w:rPr>
        <w:t>级国有资本经营预算，在执行中出现下列情况之一的，应当进行预算调整：</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t>（一）需要增加或者减少预算总支出的；</w:t>
      </w:r>
    </w:p>
    <w:p w:rsidR="00940384" w:rsidRDefault="00940384" w:rsidP="00940384">
      <w:pPr>
        <w:widowControl/>
        <w:spacing w:line="576" w:lineRule="exact"/>
        <w:ind w:firstLineChars="200" w:firstLine="640"/>
        <w:jc w:val="left"/>
        <w:rPr>
          <w:rFonts w:ascii="仿宋_GB2312" w:eastAsia="仿宋_GB2312" w:hAnsi="宋体" w:cs="宋体"/>
          <w:color w:val="231F20"/>
          <w:kern w:val="0"/>
          <w:sz w:val="32"/>
          <w:szCs w:val="32"/>
        </w:rPr>
      </w:pPr>
      <w:r w:rsidRPr="00F273B9">
        <w:rPr>
          <w:rFonts w:ascii="仿宋_GB2312" w:eastAsia="仿宋_GB2312" w:hAnsi="宋体" w:cs="宋体" w:hint="eastAsia"/>
          <w:color w:val="231F20"/>
          <w:kern w:val="0"/>
          <w:sz w:val="32"/>
          <w:szCs w:val="32"/>
        </w:rPr>
        <w:t>（二）需要调整预算安排的重点支出数额的。</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财政局应当编制国有资本经营</w:t>
      </w:r>
      <w:r>
        <w:rPr>
          <w:rFonts w:ascii="仿宋_GB2312" w:eastAsia="仿宋_GB2312" w:hAnsi="宋体" w:cs="宋体" w:hint="eastAsia"/>
          <w:color w:val="231F20"/>
          <w:kern w:val="0"/>
          <w:sz w:val="32"/>
          <w:szCs w:val="32"/>
        </w:rPr>
        <w:t>预算调整方案，说明预算调整的理由、项目和数额，按照规定程序，报区</w:t>
      </w:r>
      <w:r w:rsidRPr="00F273B9">
        <w:rPr>
          <w:rFonts w:ascii="仿宋_GB2312" w:eastAsia="仿宋_GB2312" w:hAnsi="宋体" w:cs="宋体" w:hint="eastAsia"/>
          <w:color w:val="231F20"/>
          <w:kern w:val="0"/>
          <w:sz w:val="32"/>
          <w:szCs w:val="32"/>
        </w:rPr>
        <w:t>人民代</w:t>
      </w:r>
      <w:r>
        <w:rPr>
          <w:rFonts w:ascii="仿宋_GB2312" w:eastAsia="仿宋_GB2312" w:hAnsi="宋体" w:cs="宋体" w:hint="eastAsia"/>
          <w:color w:val="231F20"/>
          <w:kern w:val="0"/>
          <w:sz w:val="32"/>
          <w:szCs w:val="32"/>
        </w:rPr>
        <w:t>表大会常务委员会审查和批准。在预算执行中，因中央、省、市增加不需要区</w:t>
      </w:r>
      <w:r w:rsidRPr="00F273B9">
        <w:rPr>
          <w:rFonts w:ascii="仿宋_GB2312" w:eastAsia="仿宋_GB2312" w:hAnsi="宋体" w:cs="宋体" w:hint="eastAsia"/>
          <w:color w:val="231F20"/>
          <w:kern w:val="0"/>
          <w:sz w:val="32"/>
          <w:szCs w:val="32"/>
        </w:rPr>
        <w:t>政府提供配套资金的专项转移支付而引起的预算支出变化，不属于预算调整。</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第二十三条</w:t>
      </w:r>
      <w:r>
        <w:rPr>
          <w:rFonts w:ascii="仿宋_GB2312" w:eastAsia="仿宋_GB2312" w:hAnsi="宋体" w:cs="宋体"/>
          <w:color w:val="231F20"/>
          <w:kern w:val="0"/>
          <w:sz w:val="32"/>
          <w:szCs w:val="32"/>
        </w:rPr>
        <w:t xml:space="preserve"> </w:t>
      </w:r>
      <w:r w:rsidRPr="00F273B9">
        <w:rPr>
          <w:rFonts w:ascii="仿宋_GB2312" w:eastAsia="仿宋_GB2312" w:hAnsi="宋体" w:cs="宋体" w:hint="eastAsia"/>
          <w:color w:val="231F20"/>
          <w:kern w:val="0"/>
          <w:sz w:val="32"/>
          <w:szCs w:val="32"/>
        </w:rPr>
        <w:t>因国家和省、市</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政策调整等</w:t>
      </w:r>
      <w:r>
        <w:rPr>
          <w:rFonts w:ascii="仿宋_GB2312" w:eastAsia="仿宋_GB2312" w:hAnsi="宋体" w:cs="宋体" w:hint="eastAsia"/>
          <w:color w:val="231F20"/>
          <w:kern w:val="0"/>
          <w:sz w:val="32"/>
          <w:szCs w:val="32"/>
        </w:rPr>
        <w:t>特殊情况需要调整预算的，国资预算单位应当以书面形式提出申请，报区</w:t>
      </w:r>
      <w:r w:rsidRPr="00F273B9">
        <w:rPr>
          <w:rFonts w:ascii="仿宋_GB2312" w:eastAsia="仿宋_GB2312" w:hAnsi="宋体" w:cs="宋体" w:hint="eastAsia"/>
          <w:color w:val="231F20"/>
          <w:kern w:val="0"/>
          <w:sz w:val="32"/>
          <w:szCs w:val="32"/>
        </w:rPr>
        <w:t xml:space="preserve">财政局审核。 </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lastRenderedPageBreak/>
        <w:t>第二十四条</w:t>
      </w:r>
      <w:r>
        <w:rPr>
          <w:rFonts w:ascii="仿宋_GB2312" w:eastAsia="仿宋_GB2312" w:hAnsi="宋体" w:cs="宋体"/>
          <w:color w:val="231F20"/>
          <w:kern w:val="0"/>
          <w:sz w:val="32"/>
          <w:szCs w:val="32"/>
        </w:rPr>
        <w:t xml:space="preserve"> </w:t>
      </w:r>
      <w:r>
        <w:rPr>
          <w:rFonts w:ascii="仿宋_GB2312" w:eastAsia="仿宋_GB2312" w:hAnsi="宋体" w:cs="宋体" w:hint="eastAsia"/>
          <w:color w:val="231F20"/>
          <w:kern w:val="0"/>
          <w:sz w:val="32"/>
          <w:szCs w:val="32"/>
        </w:rPr>
        <w:t>年度区</w:t>
      </w:r>
      <w:r w:rsidRPr="00F273B9">
        <w:rPr>
          <w:rFonts w:ascii="仿宋_GB2312" w:eastAsia="仿宋_GB2312" w:hAnsi="宋体" w:cs="宋体" w:hint="eastAsia"/>
          <w:color w:val="231F20"/>
          <w:kern w:val="0"/>
          <w:sz w:val="32"/>
          <w:szCs w:val="32"/>
        </w:rPr>
        <w:t>级国有资本经营预算确定后，企业改变产权或财务隶属关系引起预算级次和关系变化的，应当同时办理预算划转手续。</w:t>
      </w:r>
    </w:p>
    <w:p w:rsidR="00940384" w:rsidRDefault="00940384" w:rsidP="00940384">
      <w:pPr>
        <w:widowControl/>
        <w:spacing w:line="576" w:lineRule="exact"/>
        <w:jc w:val="center"/>
        <w:rPr>
          <w:rFonts w:ascii="宋体" w:eastAsia="宋体" w:hAnsi="宋体" w:cs="宋体"/>
          <w:color w:val="231F20"/>
          <w:kern w:val="0"/>
          <w:sz w:val="32"/>
          <w:szCs w:val="32"/>
        </w:rPr>
      </w:pP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 xml:space="preserve">第七章 </w:t>
      </w:r>
      <w:r w:rsidRPr="00626DDF">
        <w:rPr>
          <w:rFonts w:ascii="黑体" w:eastAsia="黑体" w:hAnsi="黑体" w:cs="宋体"/>
          <w:color w:val="231F20"/>
          <w:kern w:val="0"/>
          <w:sz w:val="32"/>
          <w:szCs w:val="32"/>
        </w:rPr>
        <w:t xml:space="preserve"> </w:t>
      </w:r>
      <w:r w:rsidRPr="00626DDF">
        <w:rPr>
          <w:rFonts w:ascii="黑体" w:eastAsia="黑体" w:hAnsi="黑体" w:cs="宋体" w:hint="eastAsia"/>
          <w:color w:val="231F20"/>
          <w:kern w:val="0"/>
          <w:sz w:val="32"/>
          <w:szCs w:val="32"/>
        </w:rPr>
        <w:t>决</w:t>
      </w:r>
      <w:r>
        <w:rPr>
          <w:rFonts w:ascii="黑体" w:eastAsia="黑体" w:hAnsi="黑体" w:cs="宋体" w:hint="eastAsia"/>
          <w:color w:val="231F20"/>
          <w:kern w:val="0"/>
          <w:sz w:val="32"/>
          <w:szCs w:val="32"/>
        </w:rPr>
        <w:t xml:space="preserve"> </w:t>
      </w:r>
      <w:r w:rsidRPr="00626DDF">
        <w:rPr>
          <w:rFonts w:ascii="黑体" w:eastAsia="黑体" w:hAnsi="黑体" w:cs="宋体" w:hint="eastAsia"/>
          <w:color w:val="231F20"/>
          <w:kern w:val="0"/>
          <w:sz w:val="32"/>
          <w:szCs w:val="32"/>
        </w:rPr>
        <w:t>算</w:t>
      </w:r>
    </w:p>
    <w:p w:rsidR="00940384" w:rsidRPr="00993C65" w:rsidRDefault="00940384" w:rsidP="00940384">
      <w:pPr>
        <w:widowControl/>
        <w:spacing w:line="576" w:lineRule="exact"/>
        <w:jc w:val="center"/>
        <w:rPr>
          <w:rFonts w:ascii="宋体" w:eastAsia="宋体" w:hAnsi="宋体" w:cs="宋体"/>
          <w:color w:val="231F20"/>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第二十五条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区财政局按照编制决算的统一要求，部署编制年度区</w:t>
      </w:r>
      <w:r w:rsidRPr="00F273B9">
        <w:rPr>
          <w:rFonts w:ascii="仿宋_GB2312" w:eastAsia="仿宋_GB2312" w:hAnsi="宋体" w:cs="宋体" w:hint="eastAsia"/>
          <w:color w:val="231F20"/>
          <w:kern w:val="0"/>
          <w:sz w:val="32"/>
          <w:szCs w:val="32"/>
        </w:rPr>
        <w:t>级国有资本</w:t>
      </w:r>
      <w:r>
        <w:rPr>
          <w:rFonts w:ascii="仿宋_GB2312" w:eastAsia="仿宋_GB2312" w:hAnsi="宋体" w:cs="宋体" w:hint="eastAsia"/>
          <w:color w:val="231F20"/>
          <w:kern w:val="0"/>
          <w:sz w:val="32"/>
          <w:szCs w:val="32"/>
        </w:rPr>
        <w:t>经营决算草案工作。国资预算单位编制本单位国有资本经营决算草案报区</w:t>
      </w:r>
      <w:r w:rsidRPr="00F273B9">
        <w:rPr>
          <w:rFonts w:ascii="仿宋_GB2312" w:eastAsia="仿宋_GB2312" w:hAnsi="宋体" w:cs="宋体" w:hint="eastAsia"/>
          <w:color w:val="231F20"/>
          <w:kern w:val="0"/>
          <w:sz w:val="32"/>
          <w:szCs w:val="32"/>
        </w:rPr>
        <w:t>财政局。</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第二十六条</w:t>
      </w:r>
      <w:r>
        <w:rPr>
          <w:rFonts w:ascii="仿宋_GB2312" w:eastAsia="仿宋_GB2312" w:hAnsi="宋体" w:cs="宋体"/>
          <w:color w:val="231F20"/>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财政局根据</w:t>
      </w:r>
      <w:r>
        <w:rPr>
          <w:rFonts w:ascii="仿宋_GB2312" w:eastAsia="仿宋_GB2312" w:hAnsi="宋体" w:cs="宋体" w:hint="eastAsia"/>
          <w:color w:val="231F20"/>
          <w:kern w:val="0"/>
          <w:sz w:val="32"/>
          <w:szCs w:val="32"/>
        </w:rPr>
        <w:t>当年国有资本经营预算执行情况和国资预算单位上报的决算草案，编制区</w:t>
      </w:r>
      <w:r w:rsidRPr="00F273B9">
        <w:rPr>
          <w:rFonts w:ascii="仿宋_GB2312" w:eastAsia="仿宋_GB2312" w:hAnsi="宋体" w:cs="宋体" w:hint="eastAsia"/>
          <w:color w:val="231F20"/>
          <w:kern w:val="0"/>
          <w:sz w:val="32"/>
          <w:szCs w:val="32"/>
        </w:rPr>
        <w:t>级国有资本经营决算草案。</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第二十七条</w:t>
      </w:r>
      <w:r>
        <w:rPr>
          <w:rFonts w:ascii="仿宋_GB2312" w:eastAsia="仿宋_GB2312" w:hAnsi="宋体" w:cs="宋体"/>
          <w:color w:val="231F20"/>
          <w:kern w:val="0"/>
          <w:sz w:val="32"/>
          <w:szCs w:val="32"/>
        </w:rPr>
        <w:t xml:space="preserve"> </w:t>
      </w:r>
      <w:r>
        <w:rPr>
          <w:rFonts w:ascii="仿宋_GB2312" w:eastAsia="仿宋_GB2312" w:hAnsi="宋体" w:cs="宋体" w:hint="eastAsia"/>
          <w:color w:val="231F20"/>
          <w:kern w:val="0"/>
          <w:sz w:val="32"/>
          <w:szCs w:val="32"/>
        </w:rPr>
        <w:t>区级国有资本经营决算草案，经区政府审计部门审计后，报区政府审定，并按规定提请区</w:t>
      </w:r>
      <w:r w:rsidRPr="00F273B9">
        <w:rPr>
          <w:rFonts w:ascii="仿宋_GB2312" w:eastAsia="仿宋_GB2312" w:hAnsi="宋体" w:cs="宋体" w:hint="eastAsia"/>
          <w:color w:val="231F20"/>
          <w:kern w:val="0"/>
          <w:sz w:val="32"/>
          <w:szCs w:val="32"/>
        </w:rPr>
        <w:t>人民代表大会常务委员会审查。</w:t>
      </w:r>
    </w:p>
    <w:p w:rsidR="00940384" w:rsidRPr="00993C65" w:rsidRDefault="00940384" w:rsidP="00940384">
      <w:pPr>
        <w:widowControl/>
        <w:spacing w:line="576" w:lineRule="exact"/>
        <w:ind w:firstLineChars="200" w:firstLine="640"/>
        <w:jc w:val="left"/>
        <w:rPr>
          <w:rFonts w:ascii="黑体" w:eastAsia="黑体" w:hAnsi="黑体" w:cs="宋体"/>
          <w:color w:val="231F20"/>
          <w:kern w:val="0"/>
          <w:sz w:val="32"/>
          <w:szCs w:val="32"/>
        </w:rPr>
      </w:pPr>
      <w:r w:rsidRPr="00993C65">
        <w:rPr>
          <w:rFonts w:ascii="黑体" w:eastAsia="黑体" w:hAnsi="黑体" w:cs="宋体" w:hint="eastAsia"/>
          <w:color w:val="231F20"/>
          <w:kern w:val="0"/>
          <w:sz w:val="32"/>
          <w:szCs w:val="32"/>
        </w:rPr>
        <w:t>第二十八条</w:t>
      </w:r>
      <w:r>
        <w:rPr>
          <w:rFonts w:ascii="黑体" w:eastAsia="黑体" w:hAnsi="黑体" w:cs="宋体" w:hint="eastAsia"/>
          <w:color w:val="231F20"/>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级国有资本经</w:t>
      </w:r>
      <w:r>
        <w:rPr>
          <w:rFonts w:ascii="仿宋_GB2312" w:eastAsia="仿宋_GB2312" w:hAnsi="宋体" w:cs="宋体" w:hint="eastAsia"/>
          <w:color w:val="231F20"/>
          <w:kern w:val="0"/>
          <w:sz w:val="32"/>
          <w:szCs w:val="32"/>
        </w:rPr>
        <w:t>营决算草案经区人民代表大会常务委员会批准后，区</w:t>
      </w:r>
      <w:r w:rsidRPr="00F273B9">
        <w:rPr>
          <w:rFonts w:ascii="仿宋_GB2312" w:eastAsia="仿宋_GB2312" w:hAnsi="宋体" w:cs="宋体" w:hint="eastAsia"/>
          <w:color w:val="231F20"/>
          <w:kern w:val="0"/>
          <w:sz w:val="32"/>
          <w:szCs w:val="32"/>
        </w:rPr>
        <w:t>财政局应当在20</w:t>
      </w:r>
      <w:r>
        <w:rPr>
          <w:rFonts w:ascii="仿宋_GB2312" w:eastAsia="仿宋_GB2312" w:hAnsi="宋体" w:cs="宋体" w:hint="eastAsia"/>
          <w:color w:val="231F20"/>
          <w:kern w:val="0"/>
          <w:sz w:val="32"/>
          <w:szCs w:val="32"/>
        </w:rPr>
        <w:t>日内向有关国资预算单位批复决算。国资预算单位应当在接到区</w:t>
      </w:r>
      <w:r w:rsidRPr="00F273B9">
        <w:rPr>
          <w:rFonts w:ascii="仿宋_GB2312" w:eastAsia="仿宋_GB2312" w:hAnsi="宋体" w:cs="宋体" w:hint="eastAsia"/>
          <w:color w:val="231F20"/>
          <w:kern w:val="0"/>
          <w:sz w:val="32"/>
          <w:szCs w:val="32"/>
        </w:rPr>
        <w:t xml:space="preserve">财政局批复的本单位决算后15日内向所监管（所属）企业批复决算。 </w:t>
      </w:r>
    </w:p>
    <w:p w:rsidR="00940384" w:rsidRDefault="00940384" w:rsidP="00940384">
      <w:pPr>
        <w:widowControl/>
        <w:spacing w:line="576" w:lineRule="exact"/>
        <w:jc w:val="center"/>
        <w:rPr>
          <w:rFonts w:ascii="宋体" w:eastAsia="宋体" w:hAnsi="宋体" w:cs="宋体"/>
          <w:color w:val="231F20"/>
          <w:kern w:val="0"/>
          <w:sz w:val="32"/>
          <w:szCs w:val="32"/>
        </w:rPr>
      </w:pP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第八章</w:t>
      </w:r>
      <w:r w:rsidRPr="00626DDF">
        <w:rPr>
          <w:rFonts w:ascii="黑体" w:eastAsia="黑体" w:hAnsi="黑体" w:cs="宋体"/>
          <w:color w:val="231F20"/>
          <w:kern w:val="0"/>
          <w:sz w:val="32"/>
          <w:szCs w:val="32"/>
        </w:rPr>
        <w:t xml:space="preserve">  </w:t>
      </w:r>
      <w:r w:rsidRPr="00626DDF">
        <w:rPr>
          <w:rFonts w:ascii="黑体" w:eastAsia="黑体" w:hAnsi="黑体" w:cs="宋体" w:hint="eastAsia"/>
          <w:color w:val="231F20"/>
          <w:kern w:val="0"/>
          <w:sz w:val="32"/>
          <w:szCs w:val="32"/>
        </w:rPr>
        <w:t>绩效管理</w:t>
      </w:r>
    </w:p>
    <w:p w:rsidR="00940384" w:rsidRPr="00993C65" w:rsidRDefault="00940384" w:rsidP="00940384">
      <w:pPr>
        <w:widowControl/>
        <w:spacing w:line="576" w:lineRule="exact"/>
        <w:jc w:val="center"/>
        <w:rPr>
          <w:rFonts w:ascii="宋体" w:eastAsia="宋体" w:hAnsi="宋体" w:cs="宋体"/>
          <w:color w:val="231F20"/>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lastRenderedPageBreak/>
        <w:t>第二十九条</w:t>
      </w:r>
      <w:r>
        <w:rPr>
          <w:rFonts w:ascii="仿宋_GB2312" w:eastAsia="仿宋_GB2312" w:hAnsi="宋体" w:cs="宋体"/>
          <w:color w:val="231F20"/>
          <w:kern w:val="0"/>
          <w:sz w:val="32"/>
          <w:szCs w:val="32"/>
        </w:rPr>
        <w:t xml:space="preserve"> </w:t>
      </w:r>
      <w:r>
        <w:rPr>
          <w:rFonts w:ascii="仿宋_GB2312" w:eastAsia="仿宋_GB2312" w:hAnsi="宋体" w:cs="宋体" w:hint="eastAsia"/>
          <w:color w:val="231F20"/>
          <w:kern w:val="0"/>
          <w:sz w:val="32"/>
          <w:szCs w:val="32"/>
        </w:rPr>
        <w:t>区财政局牵头实施区</w:t>
      </w:r>
      <w:r w:rsidRPr="00F273B9">
        <w:rPr>
          <w:rFonts w:ascii="仿宋_GB2312" w:eastAsia="仿宋_GB2312" w:hAnsi="宋体" w:cs="宋体" w:hint="eastAsia"/>
          <w:color w:val="231F20"/>
          <w:kern w:val="0"/>
          <w:sz w:val="32"/>
          <w:szCs w:val="32"/>
        </w:rPr>
        <w:t>级国有资本经营预算绩效管理。</w:t>
      </w:r>
    </w:p>
    <w:p w:rsidR="00940384" w:rsidRPr="00273C71" w:rsidRDefault="00940384" w:rsidP="00940384">
      <w:pPr>
        <w:widowControl/>
        <w:spacing w:line="576" w:lineRule="exact"/>
        <w:ind w:firstLineChars="200" w:firstLine="640"/>
        <w:jc w:val="left"/>
        <w:rPr>
          <w:rFonts w:ascii="黑体" w:eastAsia="黑体" w:hAnsi="黑体" w:cs="宋体"/>
          <w:color w:val="231F20"/>
          <w:kern w:val="0"/>
          <w:sz w:val="32"/>
          <w:szCs w:val="32"/>
        </w:rPr>
      </w:pPr>
      <w:r w:rsidRPr="00993C65">
        <w:rPr>
          <w:rFonts w:ascii="黑体" w:eastAsia="黑体" w:hAnsi="黑体" w:cs="宋体" w:hint="eastAsia"/>
          <w:color w:val="231F20"/>
          <w:kern w:val="0"/>
          <w:sz w:val="32"/>
          <w:szCs w:val="32"/>
        </w:rPr>
        <w:t>第三十条</w:t>
      </w:r>
      <w:r>
        <w:rPr>
          <w:rFonts w:ascii="黑体" w:eastAsia="黑体" w:hAnsi="黑体" w:cs="宋体" w:hint="eastAsia"/>
          <w:color w:val="231F20"/>
          <w:kern w:val="0"/>
          <w:sz w:val="32"/>
          <w:szCs w:val="32"/>
        </w:rPr>
        <w:t xml:space="preserve"> </w:t>
      </w:r>
      <w:r>
        <w:rPr>
          <w:rFonts w:ascii="仿宋_GB2312" w:eastAsia="仿宋_GB2312" w:hAnsi="宋体" w:cs="宋体" w:hint="eastAsia"/>
          <w:color w:val="231F20"/>
          <w:kern w:val="0"/>
          <w:sz w:val="32"/>
          <w:szCs w:val="32"/>
        </w:rPr>
        <w:t>国资预算单位对区</w:t>
      </w:r>
      <w:r w:rsidRPr="00F273B9">
        <w:rPr>
          <w:rFonts w:ascii="仿宋_GB2312" w:eastAsia="仿宋_GB2312" w:hAnsi="宋体" w:cs="宋体" w:hint="eastAsia"/>
          <w:color w:val="231F20"/>
          <w:kern w:val="0"/>
          <w:sz w:val="32"/>
          <w:szCs w:val="32"/>
        </w:rPr>
        <w:t>级国有资本经营预算实施全过程绩效管理，科学设立绩效目标，按规定开展事前绩效评估，加强绩效运行监控和绩效评价。</w:t>
      </w:r>
    </w:p>
    <w:p w:rsidR="00940384" w:rsidRPr="005F4CC5" w:rsidRDefault="00940384" w:rsidP="00940384">
      <w:pPr>
        <w:widowControl/>
        <w:spacing w:line="576" w:lineRule="exact"/>
        <w:ind w:firstLineChars="200" w:firstLine="640"/>
        <w:jc w:val="left"/>
        <w:rPr>
          <w:rFonts w:ascii="黑体" w:eastAsia="黑体" w:hAnsi="黑体" w:cs="宋体"/>
          <w:color w:val="231F20"/>
          <w:kern w:val="0"/>
          <w:sz w:val="32"/>
          <w:szCs w:val="32"/>
        </w:rPr>
      </w:pPr>
      <w:r w:rsidRPr="00993C65">
        <w:rPr>
          <w:rFonts w:ascii="黑体" w:eastAsia="黑体" w:hAnsi="黑体" w:cs="宋体" w:hint="eastAsia"/>
          <w:color w:val="231F20"/>
          <w:kern w:val="0"/>
          <w:sz w:val="32"/>
          <w:szCs w:val="32"/>
        </w:rPr>
        <w:t>第三十一条</w:t>
      </w:r>
      <w:r>
        <w:rPr>
          <w:rFonts w:ascii="黑体" w:eastAsia="黑体" w:hAnsi="黑体" w:cs="宋体" w:hint="eastAsia"/>
          <w:color w:val="231F20"/>
          <w:kern w:val="0"/>
          <w:sz w:val="32"/>
          <w:szCs w:val="32"/>
        </w:rPr>
        <w:t xml:space="preserve"> </w:t>
      </w:r>
      <w:r w:rsidRPr="00F273B9">
        <w:rPr>
          <w:rFonts w:ascii="仿宋_GB2312" w:eastAsia="仿宋_GB2312" w:hAnsi="宋体" w:cs="宋体" w:hint="eastAsia"/>
          <w:color w:val="231F20"/>
          <w:kern w:val="0"/>
          <w:sz w:val="32"/>
          <w:szCs w:val="32"/>
        </w:rPr>
        <w:t>国资预算单位应当对所监管（所属）企业设置上缴国有资本收益情况的考核指标，纳入企业年度高质量发展绩效考核内容。</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第三十二条</w:t>
      </w:r>
      <w:r>
        <w:rPr>
          <w:rFonts w:ascii="仿宋_GB2312" w:eastAsia="仿宋_GB2312" w:hAnsi="宋体" w:cs="宋体"/>
          <w:color w:val="231F20"/>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 xml:space="preserve">财政局和国资预算单位将预算绩效管理结果作为加强预算管理和安排以后年度预算支出的重要依据。 </w:t>
      </w:r>
    </w:p>
    <w:p w:rsidR="00940384" w:rsidRDefault="00940384" w:rsidP="00940384">
      <w:pPr>
        <w:widowControl/>
        <w:spacing w:line="576" w:lineRule="exact"/>
        <w:jc w:val="center"/>
        <w:rPr>
          <w:rFonts w:ascii="宋体" w:eastAsia="宋体" w:hAnsi="宋体" w:cs="宋体"/>
          <w:color w:val="231F20"/>
          <w:kern w:val="0"/>
          <w:sz w:val="32"/>
          <w:szCs w:val="32"/>
        </w:rPr>
      </w:pP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 xml:space="preserve">第九章 </w:t>
      </w:r>
      <w:r w:rsidRPr="00626DDF">
        <w:rPr>
          <w:rFonts w:ascii="黑体" w:eastAsia="黑体" w:hAnsi="黑体" w:cs="宋体"/>
          <w:color w:val="231F20"/>
          <w:kern w:val="0"/>
          <w:sz w:val="32"/>
          <w:szCs w:val="32"/>
        </w:rPr>
        <w:t xml:space="preserve"> </w:t>
      </w:r>
      <w:r w:rsidRPr="00626DDF">
        <w:rPr>
          <w:rFonts w:ascii="黑体" w:eastAsia="黑体" w:hAnsi="黑体" w:cs="宋体" w:hint="eastAsia"/>
          <w:color w:val="231F20"/>
          <w:kern w:val="0"/>
          <w:sz w:val="32"/>
          <w:szCs w:val="32"/>
        </w:rPr>
        <w:t>监</w:t>
      </w:r>
      <w:r>
        <w:rPr>
          <w:rFonts w:ascii="黑体" w:eastAsia="黑体" w:hAnsi="黑体" w:cs="宋体" w:hint="eastAsia"/>
          <w:color w:val="231F20"/>
          <w:kern w:val="0"/>
          <w:sz w:val="32"/>
          <w:szCs w:val="32"/>
        </w:rPr>
        <w:t xml:space="preserve"> </w:t>
      </w:r>
      <w:r w:rsidRPr="00626DDF">
        <w:rPr>
          <w:rFonts w:ascii="黑体" w:eastAsia="黑体" w:hAnsi="黑体" w:cs="宋体" w:hint="eastAsia"/>
          <w:color w:val="231F20"/>
          <w:kern w:val="0"/>
          <w:sz w:val="32"/>
          <w:szCs w:val="32"/>
        </w:rPr>
        <w:t>督</w:t>
      </w:r>
    </w:p>
    <w:p w:rsidR="00940384" w:rsidRPr="005F4CC5" w:rsidRDefault="00940384" w:rsidP="00940384">
      <w:pPr>
        <w:widowControl/>
        <w:spacing w:line="576" w:lineRule="exact"/>
        <w:jc w:val="center"/>
        <w:rPr>
          <w:rFonts w:ascii="宋体" w:eastAsia="宋体" w:hAnsi="宋体" w:cs="宋体"/>
          <w:color w:val="231F20"/>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第三十三条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区财政局、区审计局等部门依法对区</w:t>
      </w:r>
      <w:r w:rsidRPr="00F273B9">
        <w:rPr>
          <w:rFonts w:ascii="仿宋_GB2312" w:eastAsia="仿宋_GB2312" w:hAnsi="宋体" w:cs="宋体" w:hint="eastAsia"/>
          <w:color w:val="231F20"/>
          <w:kern w:val="0"/>
          <w:sz w:val="32"/>
          <w:szCs w:val="32"/>
        </w:rPr>
        <w:t>级国有资本经营预算进行财会监督和审计监督。</w:t>
      </w: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5F4CC5">
        <w:rPr>
          <w:rFonts w:ascii="黑体" w:eastAsia="黑体" w:hAnsi="黑体" w:cs="宋体" w:hint="eastAsia"/>
          <w:color w:val="231F20"/>
          <w:kern w:val="0"/>
          <w:sz w:val="32"/>
          <w:szCs w:val="32"/>
        </w:rPr>
        <w:t>第三十四条</w:t>
      </w:r>
      <w:r>
        <w:rPr>
          <w:rFonts w:ascii="仿宋_GB2312" w:eastAsia="仿宋_GB2312" w:hAnsi="宋体" w:cs="宋体" w:hint="eastAsia"/>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财政局和有关国资预算单位应当按照国家和省、市</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关于预（决）算公开的相关规定，做好国有资本经营预（决）算公开工作。</w:t>
      </w:r>
    </w:p>
    <w:p w:rsidR="00940384" w:rsidRDefault="00940384" w:rsidP="00940384">
      <w:pPr>
        <w:widowControl/>
        <w:spacing w:line="576" w:lineRule="exact"/>
        <w:ind w:firstLineChars="200" w:firstLine="640"/>
        <w:jc w:val="left"/>
        <w:rPr>
          <w:rFonts w:ascii="仿宋_GB2312" w:eastAsia="仿宋_GB2312" w:hAnsi="宋体" w:cs="宋体"/>
          <w:color w:val="231F20"/>
          <w:kern w:val="0"/>
          <w:sz w:val="32"/>
          <w:szCs w:val="32"/>
        </w:rPr>
        <w:sectPr w:rsidR="00940384" w:rsidSect="00022D2F">
          <w:footerReference w:type="even" r:id="rId6"/>
          <w:footerReference w:type="default" r:id="rId7"/>
          <w:pgSz w:w="11906" w:h="16838"/>
          <w:pgMar w:top="2098" w:right="1474" w:bottom="1985" w:left="1588" w:header="851" w:footer="1134" w:gutter="0"/>
          <w:pgNumType w:fmt="numberInDash"/>
          <w:cols w:space="425"/>
          <w:docGrid w:type="lines" w:linePitch="312"/>
        </w:sectPr>
      </w:pPr>
      <w:r w:rsidRPr="00993C65">
        <w:rPr>
          <w:rFonts w:ascii="黑体" w:eastAsia="黑体" w:hAnsi="黑体" w:cs="宋体" w:hint="eastAsia"/>
          <w:color w:val="231F20"/>
          <w:kern w:val="0"/>
          <w:sz w:val="32"/>
          <w:szCs w:val="32"/>
        </w:rPr>
        <w:t>第三十五条</w:t>
      </w:r>
      <w:r w:rsidRPr="00F273B9">
        <w:rPr>
          <w:rFonts w:ascii="仿宋_GB2312" w:eastAsia="仿宋_GB2312" w:hAnsi="宋体" w:cs="宋体" w:hint="eastAsia"/>
          <w:color w:val="231F20"/>
          <w:kern w:val="0"/>
          <w:sz w:val="32"/>
          <w:szCs w:val="32"/>
        </w:rPr>
        <w:t xml:space="preserve"> </w:t>
      </w:r>
      <w:r>
        <w:rPr>
          <w:rFonts w:ascii="仿宋_GB2312" w:eastAsia="仿宋_GB2312" w:hAnsi="宋体" w:cs="宋体" w:hint="eastAsia"/>
          <w:color w:val="231F20"/>
          <w:kern w:val="0"/>
          <w:sz w:val="32"/>
          <w:szCs w:val="32"/>
        </w:rPr>
        <w:t>对区</w:t>
      </w:r>
      <w:r w:rsidRPr="00F273B9">
        <w:rPr>
          <w:rFonts w:ascii="仿宋_GB2312" w:eastAsia="仿宋_GB2312" w:hAnsi="宋体" w:cs="宋体" w:hint="eastAsia"/>
          <w:color w:val="231F20"/>
          <w:kern w:val="0"/>
          <w:sz w:val="32"/>
          <w:szCs w:val="32"/>
        </w:rPr>
        <w:t>级国有资本经营预算编制、执行、调整、决算、绩效管理、监督等过程中违反本办法规定的，依照《中华人民共和国预算法》</w:t>
      </w:r>
      <w:r>
        <w:rPr>
          <w:rFonts w:ascii="仿宋_GB2312" w:eastAsia="仿宋_GB2312" w:hAnsi="宋体" w:cs="宋体" w:hint="eastAsia"/>
          <w:color w:val="231F20"/>
          <w:kern w:val="0"/>
          <w:sz w:val="32"/>
          <w:szCs w:val="32"/>
        </w:rPr>
        <w:t>、</w:t>
      </w:r>
      <w:r w:rsidRPr="00F273B9">
        <w:rPr>
          <w:rFonts w:ascii="仿宋_GB2312" w:eastAsia="仿宋_GB2312" w:hAnsi="宋体" w:cs="宋体" w:hint="eastAsia"/>
          <w:color w:val="231F20"/>
          <w:kern w:val="0"/>
          <w:sz w:val="32"/>
          <w:szCs w:val="32"/>
        </w:rPr>
        <w:t>《财政违法行为处罚处分条例》等有</w:t>
      </w:r>
    </w:p>
    <w:p w:rsidR="00940384" w:rsidRDefault="00940384" w:rsidP="00940384">
      <w:pPr>
        <w:widowControl/>
        <w:spacing w:line="576" w:lineRule="exact"/>
        <w:ind w:firstLineChars="200" w:firstLine="640"/>
        <w:jc w:val="left"/>
        <w:rPr>
          <w:rFonts w:ascii="仿宋_GB2312" w:eastAsia="仿宋_GB2312" w:hAnsi="宋体" w:cs="宋体"/>
          <w:kern w:val="0"/>
          <w:sz w:val="32"/>
          <w:szCs w:val="32"/>
        </w:rPr>
      </w:pPr>
      <w:r w:rsidRPr="00F273B9">
        <w:rPr>
          <w:rFonts w:ascii="仿宋_GB2312" w:eastAsia="仿宋_GB2312" w:hAnsi="宋体" w:cs="宋体" w:hint="eastAsia"/>
          <w:color w:val="231F20"/>
          <w:kern w:val="0"/>
          <w:sz w:val="32"/>
          <w:szCs w:val="32"/>
        </w:rPr>
        <w:lastRenderedPageBreak/>
        <w:t xml:space="preserve">关规定进行处理、处罚和处分，依法追究有关单位及相关人员责任。 </w:t>
      </w:r>
    </w:p>
    <w:p w:rsidR="00940384" w:rsidRPr="00626DDF" w:rsidRDefault="00940384" w:rsidP="00940384">
      <w:pPr>
        <w:widowControl/>
        <w:spacing w:line="576" w:lineRule="exact"/>
        <w:jc w:val="center"/>
        <w:rPr>
          <w:rFonts w:ascii="黑体" w:eastAsia="黑体" w:hAnsi="黑体" w:cs="宋体"/>
          <w:color w:val="231F20"/>
          <w:kern w:val="0"/>
          <w:sz w:val="32"/>
          <w:szCs w:val="32"/>
        </w:rPr>
      </w:pPr>
      <w:r w:rsidRPr="00626DDF">
        <w:rPr>
          <w:rFonts w:ascii="黑体" w:eastAsia="黑体" w:hAnsi="黑体" w:cs="宋体" w:hint="eastAsia"/>
          <w:color w:val="231F20"/>
          <w:kern w:val="0"/>
          <w:sz w:val="32"/>
          <w:szCs w:val="32"/>
        </w:rPr>
        <w:t>第十章</w:t>
      </w:r>
      <w:r w:rsidRPr="00626DDF">
        <w:rPr>
          <w:rFonts w:ascii="黑体" w:eastAsia="黑体" w:hAnsi="黑体" w:cs="宋体"/>
          <w:color w:val="231F20"/>
          <w:kern w:val="0"/>
          <w:sz w:val="32"/>
          <w:szCs w:val="32"/>
        </w:rPr>
        <w:t xml:space="preserve">  </w:t>
      </w:r>
      <w:r w:rsidRPr="00626DDF">
        <w:rPr>
          <w:rFonts w:ascii="黑体" w:eastAsia="黑体" w:hAnsi="黑体" w:cs="宋体" w:hint="eastAsia"/>
          <w:color w:val="231F20"/>
          <w:kern w:val="0"/>
          <w:sz w:val="32"/>
          <w:szCs w:val="32"/>
        </w:rPr>
        <w:t>附</w:t>
      </w:r>
      <w:r>
        <w:rPr>
          <w:rFonts w:ascii="黑体" w:eastAsia="黑体" w:hAnsi="黑体" w:cs="宋体" w:hint="eastAsia"/>
          <w:color w:val="231F20"/>
          <w:kern w:val="0"/>
          <w:sz w:val="32"/>
          <w:szCs w:val="32"/>
        </w:rPr>
        <w:t xml:space="preserve"> </w:t>
      </w:r>
      <w:r w:rsidRPr="00626DDF">
        <w:rPr>
          <w:rFonts w:ascii="黑体" w:eastAsia="黑体" w:hAnsi="黑体" w:cs="宋体" w:hint="eastAsia"/>
          <w:color w:val="231F20"/>
          <w:kern w:val="0"/>
          <w:sz w:val="32"/>
          <w:szCs w:val="32"/>
        </w:rPr>
        <w:t xml:space="preserve">则 </w:t>
      </w:r>
    </w:p>
    <w:p w:rsidR="00940384" w:rsidRPr="00626DDF" w:rsidRDefault="00940384" w:rsidP="00940384">
      <w:pPr>
        <w:widowControl/>
        <w:spacing w:line="576" w:lineRule="exact"/>
        <w:jc w:val="center"/>
        <w:rPr>
          <w:rFonts w:ascii="黑体" w:eastAsia="黑体" w:hAnsi="黑体" w:cs="宋体"/>
          <w:color w:val="231F20"/>
          <w:kern w:val="0"/>
          <w:sz w:val="32"/>
          <w:szCs w:val="32"/>
        </w:rPr>
      </w:pPr>
    </w:p>
    <w:p w:rsidR="00940384" w:rsidRPr="00F273B9" w:rsidRDefault="00940384" w:rsidP="00940384">
      <w:pPr>
        <w:widowControl/>
        <w:spacing w:line="576" w:lineRule="exact"/>
        <w:ind w:firstLineChars="200" w:firstLine="640"/>
        <w:jc w:val="left"/>
        <w:rPr>
          <w:rFonts w:ascii="仿宋_GB2312" w:eastAsia="仿宋_GB2312" w:hAnsi="宋体" w:cs="宋体"/>
          <w:kern w:val="0"/>
          <w:sz w:val="32"/>
          <w:szCs w:val="32"/>
        </w:rPr>
      </w:pPr>
      <w:r w:rsidRPr="00993C65">
        <w:rPr>
          <w:rFonts w:ascii="黑体" w:eastAsia="黑体" w:hAnsi="黑体" w:cs="宋体" w:hint="eastAsia"/>
          <w:color w:val="231F20"/>
          <w:kern w:val="0"/>
          <w:sz w:val="32"/>
          <w:szCs w:val="32"/>
        </w:rPr>
        <w:t>第三十六条</w:t>
      </w:r>
      <w:r>
        <w:rPr>
          <w:rFonts w:ascii="仿宋_GB2312" w:eastAsia="仿宋_GB2312" w:hAnsi="宋体" w:cs="宋体"/>
          <w:color w:val="231F20"/>
          <w:kern w:val="0"/>
          <w:sz w:val="32"/>
          <w:szCs w:val="32"/>
        </w:rPr>
        <w:t xml:space="preserve"> </w:t>
      </w:r>
      <w:r>
        <w:rPr>
          <w:rFonts w:ascii="仿宋_GB2312" w:eastAsia="仿宋_GB2312" w:hAnsi="宋体" w:cs="宋体" w:hint="eastAsia"/>
          <w:color w:val="231F20"/>
          <w:kern w:val="0"/>
          <w:sz w:val="32"/>
          <w:szCs w:val="32"/>
        </w:rPr>
        <w:t>区</w:t>
      </w:r>
      <w:r w:rsidRPr="00F273B9">
        <w:rPr>
          <w:rFonts w:ascii="仿宋_GB2312" w:eastAsia="仿宋_GB2312" w:hAnsi="宋体" w:cs="宋体" w:hint="eastAsia"/>
          <w:color w:val="231F20"/>
          <w:kern w:val="0"/>
          <w:sz w:val="32"/>
          <w:szCs w:val="32"/>
        </w:rPr>
        <w:t xml:space="preserve">财政局根据本办法制定和完善相关配套政策。 </w:t>
      </w:r>
    </w:p>
    <w:p w:rsidR="00940384" w:rsidRDefault="00940384" w:rsidP="00940384">
      <w:pPr>
        <w:widowControl/>
        <w:spacing w:line="576" w:lineRule="exact"/>
        <w:ind w:firstLineChars="200" w:firstLine="640"/>
        <w:jc w:val="left"/>
        <w:rPr>
          <w:rFonts w:ascii="仿宋_GB2312" w:eastAsia="仿宋_GB2312" w:hAnsi="宋体" w:cs="宋体"/>
          <w:color w:val="231F20"/>
          <w:kern w:val="0"/>
          <w:sz w:val="32"/>
          <w:szCs w:val="32"/>
        </w:rPr>
      </w:pPr>
      <w:r w:rsidRPr="00993C65">
        <w:rPr>
          <w:rFonts w:ascii="黑体" w:eastAsia="黑体" w:hAnsi="黑体" w:cs="宋体" w:hint="eastAsia"/>
          <w:color w:val="231F20"/>
          <w:kern w:val="0"/>
          <w:sz w:val="32"/>
          <w:szCs w:val="32"/>
        </w:rPr>
        <w:t>第三十七条</w:t>
      </w:r>
      <w:r>
        <w:rPr>
          <w:rFonts w:ascii="仿宋_GB2312" w:eastAsia="仿宋_GB2312" w:hAnsi="宋体" w:cs="宋体" w:hint="eastAsia"/>
          <w:kern w:val="0"/>
          <w:sz w:val="32"/>
          <w:szCs w:val="32"/>
        </w:rPr>
        <w:t xml:space="preserve"> </w:t>
      </w:r>
      <w:r w:rsidRPr="00F273B9">
        <w:rPr>
          <w:rFonts w:ascii="仿宋_GB2312" w:eastAsia="仿宋_GB2312" w:hAnsi="宋体" w:cs="宋体" w:hint="eastAsia"/>
          <w:color w:val="231F20"/>
          <w:kern w:val="0"/>
          <w:sz w:val="32"/>
          <w:szCs w:val="32"/>
        </w:rPr>
        <w:t>本办法自2024年</w:t>
      </w:r>
      <w:r>
        <w:rPr>
          <w:rFonts w:ascii="仿宋_GB2312" w:eastAsia="仿宋_GB2312" w:hAnsi="宋体" w:cs="宋体"/>
          <w:color w:val="231F20"/>
          <w:kern w:val="0"/>
          <w:sz w:val="32"/>
          <w:szCs w:val="32"/>
        </w:rPr>
        <w:t>7</w:t>
      </w:r>
      <w:r w:rsidRPr="00F273B9">
        <w:rPr>
          <w:rFonts w:ascii="仿宋_GB2312" w:eastAsia="仿宋_GB2312" w:hAnsi="宋体" w:cs="宋体" w:hint="eastAsia"/>
          <w:color w:val="231F20"/>
          <w:kern w:val="0"/>
          <w:sz w:val="32"/>
          <w:szCs w:val="32"/>
        </w:rPr>
        <w:t>月</w:t>
      </w:r>
      <w:r>
        <w:rPr>
          <w:rFonts w:ascii="仿宋_GB2312" w:eastAsia="仿宋_GB2312" w:hAnsi="宋体" w:cs="宋体"/>
          <w:color w:val="231F20"/>
          <w:kern w:val="0"/>
          <w:sz w:val="32"/>
          <w:szCs w:val="32"/>
        </w:rPr>
        <w:t>1</w:t>
      </w:r>
      <w:r w:rsidRPr="00F273B9">
        <w:rPr>
          <w:rFonts w:ascii="仿宋_GB2312" w:eastAsia="仿宋_GB2312" w:hAnsi="宋体" w:cs="宋体" w:hint="eastAsia"/>
          <w:color w:val="231F20"/>
          <w:kern w:val="0"/>
          <w:sz w:val="32"/>
          <w:szCs w:val="32"/>
        </w:rPr>
        <w:t>日起施行，有效期至2028年8月31日。</w:t>
      </w:r>
    </w:p>
    <w:p w:rsidR="006F18D8" w:rsidRDefault="006F18D8"/>
    <w:sectPr w:rsidR="006F1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33" w:rsidRDefault="00564533" w:rsidP="00940384">
      <w:r>
        <w:separator/>
      </w:r>
    </w:p>
  </w:endnote>
  <w:endnote w:type="continuationSeparator" w:id="0">
    <w:p w:rsidR="00564533" w:rsidRDefault="00564533" w:rsidP="009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198502"/>
      <w:docPartObj>
        <w:docPartGallery w:val="Page Numbers (Bottom of Page)"/>
        <w:docPartUnique/>
      </w:docPartObj>
    </w:sdtPr>
    <w:sdtContent>
      <w:p w:rsidR="00940384" w:rsidRDefault="00940384">
        <w:pPr>
          <w:pStyle w:val="a5"/>
        </w:pPr>
        <w:r w:rsidRPr="00022D2F">
          <w:rPr>
            <w:rFonts w:ascii="宋体" w:eastAsia="宋体" w:hAnsi="宋体"/>
            <w:sz w:val="28"/>
            <w:szCs w:val="28"/>
          </w:rPr>
          <w:fldChar w:fldCharType="begin"/>
        </w:r>
        <w:r w:rsidRPr="00022D2F">
          <w:rPr>
            <w:rFonts w:ascii="宋体" w:eastAsia="宋体" w:hAnsi="宋体"/>
            <w:sz w:val="28"/>
            <w:szCs w:val="28"/>
          </w:rPr>
          <w:instrText>PAGE   \* MERGEFORMAT</w:instrText>
        </w:r>
        <w:r w:rsidRPr="00022D2F">
          <w:rPr>
            <w:rFonts w:ascii="宋体" w:eastAsia="宋体" w:hAnsi="宋体"/>
            <w:sz w:val="28"/>
            <w:szCs w:val="28"/>
          </w:rPr>
          <w:fldChar w:fldCharType="separate"/>
        </w:r>
        <w:r w:rsidRPr="00D36050">
          <w:rPr>
            <w:rFonts w:ascii="宋体" w:eastAsia="宋体" w:hAnsi="宋体"/>
            <w:noProof/>
            <w:sz w:val="28"/>
            <w:szCs w:val="28"/>
            <w:lang w:val="zh-CN"/>
          </w:rPr>
          <w:t>-</w:t>
        </w:r>
        <w:r>
          <w:rPr>
            <w:rFonts w:ascii="宋体" w:eastAsia="宋体" w:hAnsi="宋体"/>
            <w:noProof/>
            <w:sz w:val="28"/>
            <w:szCs w:val="28"/>
          </w:rPr>
          <w:t xml:space="preserve"> 2 -</w:t>
        </w:r>
        <w:r w:rsidRPr="00022D2F">
          <w:rPr>
            <w:rFonts w:ascii="宋体" w:eastAsia="宋体" w:hAnsi="宋体"/>
            <w:sz w:val="28"/>
            <w:szCs w:val="28"/>
          </w:rPr>
          <w:fldChar w:fldCharType="end"/>
        </w:r>
      </w:p>
    </w:sdtContent>
  </w:sdt>
  <w:p w:rsidR="00940384" w:rsidRDefault="009403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65204"/>
      <w:docPartObj>
        <w:docPartGallery w:val="Page Numbers (Bottom of Page)"/>
        <w:docPartUnique/>
      </w:docPartObj>
    </w:sdtPr>
    <w:sdtEndPr>
      <w:rPr>
        <w:sz w:val="32"/>
        <w:szCs w:val="32"/>
      </w:rPr>
    </w:sdtEndPr>
    <w:sdtContent>
      <w:p w:rsidR="00940384" w:rsidRPr="00022D2F" w:rsidRDefault="00940384">
        <w:pPr>
          <w:pStyle w:val="a5"/>
          <w:jc w:val="right"/>
          <w:rPr>
            <w:sz w:val="32"/>
            <w:szCs w:val="32"/>
          </w:rPr>
        </w:pPr>
        <w:r w:rsidRPr="00022D2F">
          <w:rPr>
            <w:rFonts w:ascii="宋体" w:eastAsia="宋体" w:hAnsi="宋体"/>
            <w:sz w:val="28"/>
            <w:szCs w:val="28"/>
          </w:rPr>
          <w:fldChar w:fldCharType="begin"/>
        </w:r>
        <w:r w:rsidRPr="00022D2F">
          <w:rPr>
            <w:rFonts w:ascii="宋体" w:eastAsia="宋体" w:hAnsi="宋体"/>
            <w:sz w:val="28"/>
            <w:szCs w:val="28"/>
          </w:rPr>
          <w:instrText>PAGE   \* MERGEFORMAT</w:instrText>
        </w:r>
        <w:r w:rsidRPr="00022D2F">
          <w:rPr>
            <w:rFonts w:ascii="宋体" w:eastAsia="宋体" w:hAnsi="宋体"/>
            <w:sz w:val="28"/>
            <w:szCs w:val="28"/>
          </w:rPr>
          <w:fldChar w:fldCharType="separate"/>
        </w:r>
        <w:r w:rsidRPr="00940384">
          <w:rPr>
            <w:rFonts w:ascii="宋体" w:eastAsia="宋体" w:hAnsi="宋体"/>
            <w:noProof/>
            <w:sz w:val="28"/>
            <w:szCs w:val="28"/>
            <w:lang w:val="zh-CN"/>
          </w:rPr>
          <w:t>-</w:t>
        </w:r>
        <w:r>
          <w:rPr>
            <w:rFonts w:ascii="宋体" w:eastAsia="宋体" w:hAnsi="宋体"/>
            <w:noProof/>
            <w:sz w:val="28"/>
            <w:szCs w:val="28"/>
          </w:rPr>
          <w:t xml:space="preserve"> 1 -</w:t>
        </w:r>
        <w:r w:rsidRPr="00022D2F">
          <w:rPr>
            <w:rFonts w:ascii="宋体" w:eastAsia="宋体" w:hAnsi="宋体"/>
            <w:sz w:val="28"/>
            <w:szCs w:val="28"/>
          </w:rPr>
          <w:fldChar w:fldCharType="end"/>
        </w:r>
      </w:p>
    </w:sdtContent>
  </w:sdt>
  <w:p w:rsidR="00940384" w:rsidRDefault="009403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33" w:rsidRDefault="00564533" w:rsidP="00940384">
      <w:r>
        <w:separator/>
      </w:r>
    </w:p>
  </w:footnote>
  <w:footnote w:type="continuationSeparator" w:id="0">
    <w:p w:rsidR="00564533" w:rsidRDefault="00564533" w:rsidP="0094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50"/>
    <w:rsid w:val="00191650"/>
    <w:rsid w:val="00564533"/>
    <w:rsid w:val="006F18D8"/>
    <w:rsid w:val="0094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9D52"/>
  <w15:chartTrackingRefBased/>
  <w15:docId w15:val="{D90CE37C-604B-4BA1-8BA8-C02ED736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0384"/>
    <w:rPr>
      <w:sz w:val="18"/>
      <w:szCs w:val="18"/>
    </w:rPr>
  </w:style>
  <w:style w:type="paragraph" w:styleId="a5">
    <w:name w:val="footer"/>
    <w:basedOn w:val="a"/>
    <w:link w:val="a6"/>
    <w:uiPriority w:val="99"/>
    <w:unhideWhenUsed/>
    <w:rsid w:val="00940384"/>
    <w:pPr>
      <w:tabs>
        <w:tab w:val="center" w:pos="4153"/>
        <w:tab w:val="right" w:pos="8306"/>
      </w:tabs>
      <w:snapToGrid w:val="0"/>
      <w:jc w:val="left"/>
    </w:pPr>
    <w:rPr>
      <w:sz w:val="18"/>
      <w:szCs w:val="18"/>
    </w:rPr>
  </w:style>
  <w:style w:type="character" w:customStyle="1" w:styleId="a6">
    <w:name w:val="页脚 字符"/>
    <w:basedOn w:val="a0"/>
    <w:link w:val="a5"/>
    <w:uiPriority w:val="99"/>
    <w:rsid w:val="00940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510</Words>
  <Characters>2912</Characters>
  <Application>Microsoft Office Word</Application>
  <DocSecurity>0</DocSecurity>
  <Lines>24</Lines>
  <Paragraphs>6</Paragraphs>
  <ScaleCrop>false</ScaleCrop>
  <Company>DoubleOX</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2024-07-16T08:35:00Z</dcterms:created>
  <dcterms:modified xsi:type="dcterms:W3CDTF">2024-07-16T08:36:00Z</dcterms:modified>
</cp:coreProperties>
</file>