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76" w:lineRule="exact"/>
        <w:rPr>
          <w:rFonts w:hint="eastAsia"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2015年度政府信息公开工作情况统计表</w:t>
      </w:r>
    </w:p>
    <w:p>
      <w:pPr>
        <w:jc w:val="center"/>
        <w:rPr>
          <w:rFonts w:hint="eastAsia"/>
        </w:rPr>
      </w:pPr>
    </w:p>
    <w:p>
      <w:pPr>
        <w:ind w:firstLine="210" w:firstLineChars="100"/>
        <w:rPr>
          <w:color w:val="000000"/>
        </w:rPr>
      </w:pPr>
      <w:r>
        <w:rPr>
          <w:rFonts w:hint="eastAsia"/>
        </w:rPr>
        <w:t>填报单位（盖章）：</w:t>
      </w:r>
    </w:p>
    <w:tbl>
      <w:tblPr>
        <w:tblStyle w:val="8"/>
        <w:tblW w:w="839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7"/>
        <w:gridCol w:w="1020"/>
        <w:gridCol w:w="47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18</w:t>
            </w: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</w:rPr>
              <w:t>　　　　 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4926"/>
              </w:tabs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ab/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（二）纠错数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（一）纸质文件数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（二）电子文件数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4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4</w:t>
            </w:r>
          </w:p>
        </w:tc>
      </w:tr>
    </w:tbl>
    <w:p>
      <w:pPr>
        <w:spacing w:line="420" w:lineRule="atLeast"/>
        <w:rPr>
          <w:rFonts w:hint="eastAsia"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（注：各子栏目数总数要等于总栏目数量）</w:t>
      </w:r>
    </w:p>
    <w:p>
      <w:pPr>
        <w:spacing w:line="420" w:lineRule="atLeast"/>
        <w:rPr>
          <w:rFonts w:hint="eastAsia" w:ascii="宋体" w:hAnsi="宋体"/>
          <w:color w:val="000000"/>
          <w:sz w:val="20"/>
          <w:lang w:eastAsia="zh-CN"/>
        </w:rPr>
      </w:pPr>
      <w:r>
        <w:rPr>
          <w:rFonts w:hint="eastAsia" w:ascii="宋体" w:hAnsi="宋体"/>
          <w:color w:val="000000"/>
          <w:sz w:val="20"/>
        </w:rPr>
        <w:t>单位负责人：</w:t>
      </w:r>
      <w:r>
        <w:rPr>
          <w:rFonts w:hint="eastAsia" w:ascii="宋体" w:hAnsi="宋体"/>
          <w:color w:val="000000"/>
          <w:sz w:val="20"/>
          <w:lang w:eastAsia="zh-CN"/>
        </w:rPr>
        <w:t>陈建峰</w:t>
      </w:r>
      <w:r>
        <w:rPr>
          <w:rFonts w:hint="eastAsia" w:ascii="宋体" w:hAnsi="宋体"/>
          <w:color w:val="000000"/>
          <w:sz w:val="20"/>
        </w:rPr>
        <w:t>　　　　　　审核人：</w:t>
      </w:r>
      <w:r>
        <w:rPr>
          <w:rFonts w:hint="eastAsia" w:ascii="宋体" w:hAnsi="宋体"/>
          <w:color w:val="000000"/>
          <w:sz w:val="20"/>
          <w:lang w:eastAsia="zh-CN"/>
        </w:rPr>
        <w:t>孙玥珂</w:t>
      </w:r>
      <w:r>
        <w:rPr>
          <w:rFonts w:hint="eastAsia" w:ascii="宋体" w:hAnsi="宋体"/>
          <w:color w:val="000000"/>
          <w:sz w:val="20"/>
        </w:rPr>
        <w:t>　　　　填报人：</w:t>
      </w:r>
      <w:r>
        <w:rPr>
          <w:rFonts w:hint="eastAsia" w:ascii="宋体" w:hAnsi="宋体"/>
          <w:color w:val="000000"/>
          <w:sz w:val="20"/>
          <w:lang w:eastAsia="zh-CN"/>
        </w:rPr>
        <w:t>张婷</w:t>
      </w:r>
    </w:p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>联系电话：　</w:t>
      </w:r>
      <w:r>
        <w:rPr>
          <w:rFonts w:hint="eastAsia" w:ascii="宋体" w:hAnsi="宋体"/>
          <w:color w:val="000000"/>
          <w:sz w:val="20"/>
          <w:lang w:val="en-US" w:eastAsia="zh-CN"/>
        </w:rPr>
        <w:t>05334880007</w:t>
      </w:r>
      <w:r>
        <w:rPr>
          <w:rFonts w:hint="eastAsia" w:ascii="宋体" w:hAnsi="宋体"/>
          <w:color w:val="000000"/>
          <w:sz w:val="20"/>
        </w:rPr>
        <w:t>　　　　　　　　　　　　　　</w:t>
      </w:r>
      <w:r>
        <w:rPr>
          <w:rFonts w:hint="eastAsia" w:ascii="宋体" w:hAnsi="宋体"/>
          <w:color w:val="000000"/>
          <w:sz w:val="2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0"/>
        </w:rPr>
        <w:t>填报日期：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2016.1.27</w:t>
      </w:r>
    </w:p>
    <w:p>
      <w:pPr/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pgNumType w:fmt="decimal"/>
      <w:cols w:space="720" w:num="1"/>
      <w:titlePg/>
      <w:docGrid w:linePitch="5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oeeeu5AQAAXgMAAA4AAAAAAAAAAQAgAAAAHgEAAGRycy9lMm9Eb2MueG1sUEsFBgAAAAAGAAYA&#10;WQEAAEk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D3916"/>
    <w:rsid w:val="2DAD39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2016-01-27T08:23:00Z</dcterms:created>
  <dc:creator>Administrator</dc:creator>
  <cp:lastModifiedBy>Administrator</cp:lastModifiedBy>
  <dcterms:modified xsi:type="dcterms:W3CDTF">2016-01-27T08:23:58Z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