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44"/>
          <w:szCs w:val="44"/>
        </w:rPr>
      </w:pPr>
      <w:r>
        <w:rPr>
          <w:rFonts w:hint="eastAsia" w:ascii="宋体" w:hAnsi="宋体" w:eastAsia="宋体" w:cs="宋体"/>
          <w:b/>
          <w:i w:val="0"/>
          <w:caps w:val="0"/>
          <w:color w:val="333333"/>
          <w:spacing w:val="0"/>
          <w:sz w:val="44"/>
          <w:szCs w:val="44"/>
          <w:shd w:val="clear" w:fill="FFFFFF"/>
          <w:lang w:val="en-US" w:eastAsia="zh-CN"/>
        </w:rPr>
        <w:t>博山镇2019年度</w:t>
      </w:r>
      <w:r>
        <w:rPr>
          <w:rFonts w:hint="eastAsia" w:ascii="宋体" w:hAnsi="宋体" w:eastAsia="宋体" w:cs="宋体"/>
          <w:b/>
          <w:i w:val="0"/>
          <w:caps w:val="0"/>
          <w:color w:val="333333"/>
          <w:spacing w:val="0"/>
          <w:sz w:val="44"/>
          <w:szCs w:val="44"/>
          <w:shd w:val="clear" w:fill="FFFFFF"/>
        </w:rPr>
        <w:t>政府信息公开工作年度报告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黑体" w:hAnsi="黑体" w:eastAsia="黑体" w:cs="黑体"/>
          <w:b w:val="0"/>
          <w:bCs/>
          <w:i w:val="0"/>
          <w:caps w:val="0"/>
          <w:color w:val="333333"/>
          <w:spacing w:val="0"/>
          <w:sz w:val="32"/>
          <w:szCs w:val="32"/>
        </w:rPr>
      </w:pPr>
      <w:r>
        <w:rPr>
          <w:rFonts w:hint="eastAsia" w:ascii="黑体" w:hAnsi="黑体" w:eastAsia="黑体" w:cs="黑体"/>
          <w:b w:val="0"/>
          <w:bCs/>
          <w:i w:val="0"/>
          <w:caps w:val="0"/>
          <w:color w:val="333333"/>
          <w:spacing w:val="0"/>
          <w:sz w:val="32"/>
          <w:szCs w:val="32"/>
          <w:shd w:val="clear" w:fill="FFFFFF"/>
        </w:rPr>
        <w:t>一、总体情况</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78" w:lineRule="exact"/>
        <w:ind w:left="0" w:right="0" w:firstLine="640" w:firstLineChars="200"/>
        <w:textAlignment w:val="auto"/>
        <w:rPr>
          <w:rFonts w:hint="eastAsia" w:ascii="仿宋" w:hAnsi="仿宋" w:eastAsia="仿宋" w:cs="仿宋"/>
          <w:i w:val="0"/>
          <w:caps w:val="0"/>
          <w:color w:val="000000"/>
          <w:spacing w:val="0"/>
          <w:sz w:val="32"/>
          <w:szCs w:val="32"/>
          <w:lang w:eastAsia="zh-CN"/>
        </w:rPr>
      </w:pPr>
      <w:r>
        <w:rPr>
          <w:rFonts w:hint="eastAsia" w:ascii="仿宋" w:hAnsi="仿宋" w:eastAsia="仿宋" w:cs="仿宋"/>
          <w:i w:val="0"/>
          <w:caps w:val="0"/>
          <w:color w:val="000000"/>
          <w:spacing w:val="0"/>
          <w:sz w:val="32"/>
          <w:szCs w:val="32"/>
        </w:rPr>
        <w:t>201</w:t>
      </w:r>
      <w:r>
        <w:rPr>
          <w:rFonts w:hint="eastAsia" w:ascii="仿宋" w:hAnsi="仿宋" w:eastAsia="仿宋" w:cs="仿宋"/>
          <w:i w:val="0"/>
          <w:caps w:val="0"/>
          <w:color w:val="000000"/>
          <w:spacing w:val="0"/>
          <w:sz w:val="32"/>
          <w:szCs w:val="32"/>
          <w:lang w:val="en-US" w:eastAsia="zh-CN"/>
        </w:rPr>
        <w:t>9</w:t>
      </w:r>
      <w:r>
        <w:rPr>
          <w:rFonts w:hint="eastAsia" w:ascii="仿宋" w:hAnsi="仿宋" w:eastAsia="仿宋" w:cs="仿宋"/>
          <w:i w:val="0"/>
          <w:caps w:val="0"/>
          <w:color w:val="000000"/>
          <w:spacing w:val="0"/>
          <w:sz w:val="32"/>
          <w:szCs w:val="32"/>
        </w:rPr>
        <w:t>年在区委、区政府的正确领导下，</w:t>
      </w:r>
      <w:r>
        <w:rPr>
          <w:rFonts w:hint="eastAsia" w:ascii="仿宋_GB2312" w:eastAsia="仿宋_GB2312"/>
          <w:kern w:val="0"/>
          <w:sz w:val="32"/>
          <w:szCs w:val="32"/>
        </w:rPr>
        <w:t>深入贯彻《中华人民共和国政府信息公开条例》和中办、国办《关于全面推进政务公开工作的意见》，</w:t>
      </w:r>
      <w:r>
        <w:rPr>
          <w:rFonts w:hint="eastAsia" w:ascii="仿宋" w:hAnsi="仿宋" w:eastAsia="仿宋" w:cs="仿宋"/>
          <w:i w:val="0"/>
          <w:caps w:val="0"/>
          <w:color w:val="000000"/>
          <w:spacing w:val="0"/>
          <w:sz w:val="32"/>
          <w:szCs w:val="32"/>
        </w:rPr>
        <w:t>从推进“服务型政府”建设的高度，严格按照政府信息公开条例和区政府关于政府信息公开工作的部署和要求，不断完善政府信息公开的运作流程，将</w:t>
      </w:r>
      <w:r>
        <w:rPr>
          <w:rFonts w:hint="eastAsia" w:ascii="仿宋" w:hAnsi="仿宋" w:eastAsia="仿宋" w:cs="仿宋"/>
          <w:i w:val="0"/>
          <w:caps w:val="0"/>
          <w:color w:val="000000"/>
          <w:spacing w:val="0"/>
          <w:sz w:val="32"/>
          <w:szCs w:val="32"/>
          <w:lang w:eastAsia="zh-CN"/>
        </w:rPr>
        <w:t>镇内</w:t>
      </w:r>
      <w:r>
        <w:rPr>
          <w:rFonts w:hint="eastAsia" w:ascii="仿宋" w:hAnsi="仿宋" w:eastAsia="仿宋" w:cs="仿宋"/>
          <w:i w:val="0"/>
          <w:caps w:val="0"/>
          <w:color w:val="000000"/>
          <w:spacing w:val="0"/>
          <w:sz w:val="32"/>
          <w:szCs w:val="32"/>
        </w:rPr>
        <w:t>需要公开的信息进行了进一步梳理和规范</w:t>
      </w:r>
      <w:r>
        <w:rPr>
          <w:rFonts w:hint="eastAsia" w:ascii="仿宋" w:hAnsi="仿宋" w:eastAsia="仿宋" w:cs="仿宋"/>
          <w:i w:val="0"/>
          <w:caps w:val="0"/>
          <w:color w:val="000000"/>
          <w:spacing w:val="0"/>
          <w:sz w:val="32"/>
          <w:szCs w:val="32"/>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黑体" w:hAnsi="黑体" w:eastAsia="黑体" w:cs="黑体"/>
          <w:b w:val="0"/>
          <w:bCs/>
          <w:i w:val="0"/>
          <w:caps w:val="0"/>
          <w:color w:val="333333"/>
          <w:spacing w:val="0"/>
          <w:sz w:val="32"/>
          <w:szCs w:val="32"/>
          <w:shd w:val="clear" w:fill="FFFFFF"/>
        </w:rPr>
      </w:pPr>
      <w:r>
        <w:rPr>
          <w:rFonts w:hint="eastAsia" w:ascii="黑体" w:hAnsi="黑体" w:eastAsia="黑体" w:cs="黑体"/>
          <w:b w:val="0"/>
          <w:bCs/>
          <w:i w:val="0"/>
          <w:caps w:val="0"/>
          <w:color w:val="333333"/>
          <w:spacing w:val="0"/>
          <w:sz w:val="32"/>
          <w:szCs w:val="32"/>
          <w:shd w:val="clear" w:fill="FFFFFF"/>
        </w:rPr>
        <w:t>二、主动公开政府信息情况</w:t>
      </w:r>
    </w:p>
    <w:tbl>
      <w:tblPr>
        <w:tblStyle w:val="3"/>
        <w:tblW w:w="8140" w:type="dxa"/>
        <w:jc w:val="center"/>
        <w:shd w:val="clear" w:color="auto" w:fill="auto"/>
        <w:tblLayout w:type="fixed"/>
        <w:tblCellMar>
          <w:top w:w="0" w:type="dxa"/>
          <w:left w:w="0" w:type="dxa"/>
          <w:bottom w:w="0" w:type="dxa"/>
          <w:right w:w="0" w:type="dxa"/>
        </w:tblCellMar>
      </w:tblPr>
      <w:tblGrid>
        <w:gridCol w:w="3113"/>
        <w:gridCol w:w="1869"/>
        <w:gridCol w:w="1277"/>
        <w:gridCol w:w="1881"/>
      </w:tblGrid>
      <w:tr>
        <w:tblPrEx>
          <w:shd w:val="clear" w:color="auto" w:fill="auto"/>
        </w:tblPrEx>
        <w:trPr>
          <w:trHeight w:val="495" w:hRule="atLeast"/>
          <w:jc w:val="center"/>
        </w:trPr>
        <w:tc>
          <w:tcPr>
            <w:tcW w:w="8140" w:type="dxa"/>
            <w:gridSpan w:val="4"/>
            <w:tcBorders>
              <w:top w:val="single" w:color="auto" w:sz="8" w:space="0"/>
              <w:left w:val="single" w:color="auto" w:sz="8" w:space="0"/>
              <w:bottom w:val="single" w:color="auto" w:sz="8" w:space="0"/>
              <w:right w:val="single" w:color="auto" w:sz="8" w:space="0"/>
            </w:tcBorders>
            <w:shd w:val="clear" w:color="auto" w:fill="C6D9F1"/>
            <w:noWrap/>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第二十条第（一）项</w:t>
            </w:r>
          </w:p>
        </w:tc>
      </w:tr>
      <w:tr>
        <w:tblPrEx>
          <w:shd w:val="clear" w:color="auto" w:fill="auto"/>
          <w:tblCellMar>
            <w:top w:w="0" w:type="dxa"/>
            <w:left w:w="0" w:type="dxa"/>
            <w:bottom w:w="0" w:type="dxa"/>
            <w:right w:w="0" w:type="dxa"/>
          </w:tblCellMar>
        </w:tblPrEx>
        <w:trPr>
          <w:trHeight w:val="882"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信息内容</w:t>
            </w:r>
          </w:p>
        </w:tc>
        <w:tc>
          <w:tcPr>
            <w:tcW w:w="1869" w:type="dxa"/>
            <w:tcBorders>
              <w:top w:val="single" w:color="auto" w:sz="8" w:space="0"/>
              <w:left w:val="nil"/>
              <w:bottom w:val="single" w:color="auto" w:sz="8" w:space="0"/>
              <w:right w:val="single" w:color="auto" w:sz="8" w:space="0"/>
            </w:tcBorders>
            <w:shd w:val="clear" w:color="auto" w:fill="auto"/>
            <w:noWrap/>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本年新</w:t>
            </w:r>
            <w:r>
              <w:rPr>
                <w:rFonts w:hint="eastAsia" w:ascii="宋体"/>
                <w:sz w:val="20"/>
                <w:szCs w:val="20"/>
                <w:lang w:val="en-US" w:eastAsia="zh-CN"/>
              </w:rPr>
              <w:br w:type="textWrapping"/>
            </w:r>
            <w:r>
              <w:rPr>
                <w:rFonts w:hint="eastAsia" w:ascii="宋体"/>
                <w:sz w:val="20"/>
                <w:szCs w:val="20"/>
                <w:lang w:val="en-US" w:eastAsia="zh-CN"/>
              </w:rPr>
              <w:t>制作数量</w:t>
            </w:r>
          </w:p>
        </w:tc>
        <w:tc>
          <w:tcPr>
            <w:tcW w:w="1277"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本年新</w:t>
            </w:r>
            <w:r>
              <w:rPr>
                <w:rFonts w:hint="eastAsia" w:ascii="宋体"/>
                <w:sz w:val="20"/>
                <w:szCs w:val="20"/>
                <w:lang w:val="en-US" w:eastAsia="zh-CN"/>
              </w:rPr>
              <w:br w:type="textWrapping"/>
            </w:r>
            <w:r>
              <w:rPr>
                <w:rFonts w:hint="eastAsia" w:ascii="宋体"/>
                <w:sz w:val="20"/>
                <w:szCs w:val="20"/>
                <w:lang w:val="en-US" w:eastAsia="zh-CN"/>
              </w:rPr>
              <w:t>公开数量</w:t>
            </w:r>
          </w:p>
        </w:tc>
        <w:tc>
          <w:tcPr>
            <w:tcW w:w="1881" w:type="dxa"/>
            <w:tcBorders>
              <w:top w:val="nil"/>
              <w:left w:val="nil"/>
              <w:bottom w:val="single" w:color="auto" w:sz="8" w:space="0"/>
              <w:right w:val="single" w:color="auto" w:sz="8" w:space="0"/>
            </w:tcBorders>
            <w:shd w:val="clear" w:color="auto" w:fill="auto"/>
            <w:noWrap/>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对外公开总数量</w:t>
            </w:r>
          </w:p>
        </w:tc>
      </w:tr>
      <w:tr>
        <w:tblPrEx>
          <w:tblCellMar>
            <w:top w:w="0" w:type="dxa"/>
            <w:left w:w="0" w:type="dxa"/>
            <w:bottom w:w="0" w:type="dxa"/>
            <w:right w:w="0" w:type="dxa"/>
          </w:tblCellMar>
        </w:tblPrEx>
        <w:trPr>
          <w:trHeight w:val="523"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jc w:val="both"/>
              <w:rPr>
                <w:rFonts w:hint="eastAsia" w:ascii="宋体"/>
                <w:sz w:val="20"/>
                <w:szCs w:val="20"/>
                <w:lang w:val="en-US" w:eastAsia="zh-CN"/>
              </w:rPr>
            </w:pPr>
            <w:r>
              <w:rPr>
                <w:rFonts w:hint="eastAsia" w:ascii="宋体"/>
                <w:sz w:val="20"/>
                <w:szCs w:val="20"/>
                <w:lang w:val="en-US" w:eastAsia="zh-CN"/>
              </w:rPr>
              <w:t>规章</w:t>
            </w:r>
          </w:p>
        </w:tc>
        <w:tc>
          <w:tcPr>
            <w:tcW w:w="1869" w:type="dxa"/>
            <w:tcBorders>
              <w:top w:val="nil"/>
              <w:left w:val="nil"/>
              <w:bottom w:val="single" w:color="auto" w:sz="8" w:space="0"/>
              <w:right w:val="single" w:color="auto" w:sz="8" w:space="0"/>
            </w:tcBorders>
            <w:shd w:val="clear" w:color="auto" w:fill="auto"/>
            <w:noWrap/>
            <w:tcMar>
              <w:left w:w="108" w:type="dxa"/>
              <w:right w:w="108" w:type="dxa"/>
            </w:tcMar>
            <w:vAlign w:val="center"/>
          </w:tcPr>
          <w:p>
            <w:pPr>
              <w:jc w:val="center"/>
              <w:rPr>
                <w:rFonts w:hint="default" w:ascii="宋体"/>
                <w:sz w:val="20"/>
                <w:szCs w:val="20"/>
                <w:lang w:val="en-US" w:eastAsia="zh-CN"/>
              </w:rPr>
            </w:pPr>
            <w:r>
              <w:rPr>
                <w:rFonts w:hint="eastAsia" w:ascii="宋体"/>
                <w:sz w:val="20"/>
                <w:szCs w:val="20"/>
                <w:lang w:val="en-US" w:eastAsia="zh-CN"/>
              </w:rPr>
              <w:t>0</w:t>
            </w:r>
          </w:p>
        </w:tc>
        <w:tc>
          <w:tcPr>
            <w:tcW w:w="1277"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default" w:ascii="宋体"/>
                <w:sz w:val="20"/>
                <w:szCs w:val="20"/>
                <w:lang w:val="en-US" w:eastAsia="zh-CN"/>
              </w:rPr>
            </w:pPr>
            <w:r>
              <w:rPr>
                <w:rFonts w:hint="eastAsia" w:ascii="宋体"/>
                <w:sz w:val="20"/>
                <w:szCs w:val="20"/>
                <w:lang w:val="en-US" w:eastAsia="zh-CN"/>
              </w:rPr>
              <w:t> 0</w:t>
            </w:r>
          </w:p>
        </w:tc>
        <w:tc>
          <w:tcPr>
            <w:tcW w:w="1881" w:type="dxa"/>
            <w:tcBorders>
              <w:top w:val="nil"/>
              <w:left w:val="nil"/>
              <w:bottom w:val="single" w:color="auto" w:sz="8" w:space="0"/>
              <w:right w:val="single" w:color="auto" w:sz="8" w:space="0"/>
            </w:tcBorders>
            <w:shd w:val="clear" w:color="auto" w:fill="auto"/>
            <w:noWrap/>
            <w:tcMar>
              <w:left w:w="108" w:type="dxa"/>
              <w:right w:w="108" w:type="dxa"/>
            </w:tcMar>
            <w:vAlign w:val="center"/>
          </w:tcPr>
          <w:p>
            <w:pPr>
              <w:jc w:val="center"/>
              <w:rPr>
                <w:rFonts w:hint="default" w:ascii="宋体"/>
                <w:sz w:val="20"/>
                <w:szCs w:val="20"/>
                <w:lang w:val="en-US" w:eastAsia="zh-CN"/>
              </w:rPr>
            </w:pPr>
            <w:r>
              <w:rPr>
                <w:rFonts w:hint="eastAsia" w:ascii="宋体"/>
                <w:sz w:val="20"/>
                <w:szCs w:val="20"/>
                <w:lang w:val="en-US" w:eastAsia="zh-CN"/>
              </w:rPr>
              <w:t>　0</w:t>
            </w:r>
          </w:p>
        </w:tc>
      </w:tr>
      <w:tr>
        <w:tblPrEx>
          <w:shd w:val="clear" w:color="auto" w:fill="auto"/>
          <w:tblCellMar>
            <w:top w:w="0" w:type="dxa"/>
            <w:left w:w="0" w:type="dxa"/>
            <w:bottom w:w="0" w:type="dxa"/>
            <w:right w:w="0" w:type="dxa"/>
          </w:tblCellMar>
        </w:tblPrEx>
        <w:trPr>
          <w:trHeight w:val="471"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jc w:val="both"/>
              <w:rPr>
                <w:rFonts w:hint="eastAsia" w:ascii="宋体"/>
                <w:sz w:val="20"/>
                <w:szCs w:val="20"/>
                <w:lang w:val="en-US" w:eastAsia="zh-CN"/>
              </w:rPr>
            </w:pPr>
            <w:r>
              <w:rPr>
                <w:rFonts w:hint="eastAsia" w:ascii="宋体"/>
                <w:sz w:val="20"/>
                <w:szCs w:val="20"/>
                <w:lang w:val="en-US" w:eastAsia="zh-CN"/>
              </w:rPr>
              <w:t>规范性文件</w:t>
            </w:r>
          </w:p>
        </w:tc>
        <w:tc>
          <w:tcPr>
            <w:tcW w:w="1869" w:type="dxa"/>
            <w:tcBorders>
              <w:top w:val="nil"/>
              <w:left w:val="nil"/>
              <w:bottom w:val="single" w:color="auto" w:sz="8" w:space="0"/>
              <w:right w:val="single" w:color="auto" w:sz="8" w:space="0"/>
            </w:tcBorders>
            <w:shd w:val="clear" w:color="auto" w:fill="auto"/>
            <w:noWrap/>
            <w:tcMar>
              <w:left w:w="108" w:type="dxa"/>
              <w:right w:w="108" w:type="dxa"/>
            </w:tcMar>
            <w:vAlign w:val="center"/>
          </w:tcPr>
          <w:p>
            <w:pPr>
              <w:jc w:val="center"/>
              <w:rPr>
                <w:rFonts w:hint="default" w:ascii="宋体"/>
                <w:sz w:val="20"/>
                <w:szCs w:val="20"/>
                <w:lang w:val="en-US" w:eastAsia="zh-CN"/>
              </w:rPr>
            </w:pPr>
            <w:r>
              <w:rPr>
                <w:rFonts w:hint="eastAsia" w:ascii="宋体"/>
                <w:sz w:val="20"/>
                <w:szCs w:val="20"/>
                <w:lang w:val="en-US" w:eastAsia="zh-CN"/>
              </w:rPr>
              <w:t>0</w:t>
            </w:r>
          </w:p>
        </w:tc>
        <w:tc>
          <w:tcPr>
            <w:tcW w:w="1277"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default" w:ascii="宋体"/>
                <w:sz w:val="20"/>
                <w:szCs w:val="20"/>
                <w:lang w:val="en-US" w:eastAsia="zh-CN"/>
              </w:rPr>
            </w:pPr>
            <w:r>
              <w:rPr>
                <w:rFonts w:hint="eastAsia" w:ascii="宋体"/>
                <w:sz w:val="20"/>
                <w:szCs w:val="20"/>
                <w:lang w:val="en-US" w:eastAsia="zh-CN"/>
              </w:rPr>
              <w:t> 0</w:t>
            </w:r>
          </w:p>
        </w:tc>
        <w:tc>
          <w:tcPr>
            <w:tcW w:w="1881" w:type="dxa"/>
            <w:tcBorders>
              <w:top w:val="nil"/>
              <w:left w:val="nil"/>
              <w:bottom w:val="single" w:color="auto" w:sz="8" w:space="0"/>
              <w:right w:val="single" w:color="auto" w:sz="8" w:space="0"/>
            </w:tcBorders>
            <w:shd w:val="clear" w:color="auto" w:fill="auto"/>
            <w:noWrap/>
            <w:tcMar>
              <w:left w:w="108" w:type="dxa"/>
              <w:right w:w="108" w:type="dxa"/>
            </w:tcMar>
            <w:vAlign w:val="center"/>
          </w:tcPr>
          <w:p>
            <w:pPr>
              <w:jc w:val="center"/>
              <w:rPr>
                <w:rFonts w:hint="default" w:ascii="宋体"/>
                <w:sz w:val="20"/>
                <w:szCs w:val="20"/>
                <w:lang w:val="en-US" w:eastAsia="zh-CN"/>
              </w:rPr>
            </w:pPr>
            <w:r>
              <w:rPr>
                <w:rFonts w:hint="eastAsia" w:ascii="宋体"/>
                <w:sz w:val="20"/>
                <w:szCs w:val="20"/>
                <w:lang w:val="en-US" w:eastAsia="zh-CN"/>
              </w:rPr>
              <w:t>　0</w:t>
            </w:r>
          </w:p>
        </w:tc>
      </w:tr>
      <w:tr>
        <w:tblPrEx>
          <w:shd w:val="clear" w:color="auto" w:fill="auto"/>
          <w:tblCellMar>
            <w:top w:w="0" w:type="dxa"/>
            <w:left w:w="0" w:type="dxa"/>
            <w:bottom w:w="0" w:type="dxa"/>
            <w:right w:w="0" w:type="dxa"/>
          </w:tblCellMar>
        </w:tblPrEx>
        <w:trPr>
          <w:trHeight w:val="480" w:hRule="atLeast"/>
          <w:jc w:val="center"/>
        </w:trPr>
        <w:tc>
          <w:tcPr>
            <w:tcW w:w="8140" w:type="dxa"/>
            <w:gridSpan w:val="4"/>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第二十条第（五）项</w:t>
            </w:r>
          </w:p>
        </w:tc>
      </w:tr>
      <w:tr>
        <w:tblPrEx>
          <w:shd w:val="clear" w:color="auto" w:fill="auto"/>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信息内容</w:t>
            </w:r>
          </w:p>
        </w:tc>
        <w:tc>
          <w:tcPr>
            <w:tcW w:w="1869" w:type="dxa"/>
            <w:tcBorders>
              <w:top w:val="single" w:color="auto" w:sz="8" w:space="0"/>
              <w:left w:val="nil"/>
              <w:bottom w:val="single" w:color="auto" w:sz="8" w:space="0"/>
              <w:right w:val="single" w:color="auto" w:sz="8" w:space="0"/>
            </w:tcBorders>
            <w:shd w:val="clear" w:color="auto" w:fill="auto"/>
            <w:noWrap/>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上一年项目数量</w:t>
            </w:r>
          </w:p>
        </w:tc>
        <w:tc>
          <w:tcPr>
            <w:tcW w:w="1277"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本年增/减</w:t>
            </w:r>
          </w:p>
        </w:tc>
        <w:tc>
          <w:tcPr>
            <w:tcW w:w="1881" w:type="dxa"/>
            <w:tcBorders>
              <w:top w:val="nil"/>
              <w:left w:val="nil"/>
              <w:bottom w:val="single" w:color="auto" w:sz="8" w:space="0"/>
              <w:right w:val="single" w:color="auto" w:sz="8" w:space="0"/>
            </w:tcBorders>
            <w:shd w:val="clear" w:color="auto" w:fill="auto"/>
            <w:noWrap/>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处理决定数量</w:t>
            </w:r>
          </w:p>
        </w:tc>
      </w:tr>
      <w:tr>
        <w:tblPrEx>
          <w:shd w:val="clear" w:color="auto" w:fill="auto"/>
          <w:tblCellMar>
            <w:top w:w="0" w:type="dxa"/>
            <w:left w:w="0" w:type="dxa"/>
            <w:bottom w:w="0" w:type="dxa"/>
            <w:right w:w="0" w:type="dxa"/>
          </w:tblCellMar>
        </w:tblPrEx>
        <w:trPr>
          <w:trHeight w:val="528"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jc w:val="both"/>
              <w:rPr>
                <w:rFonts w:hint="eastAsia" w:ascii="宋体"/>
                <w:sz w:val="20"/>
                <w:szCs w:val="20"/>
                <w:lang w:val="en-US" w:eastAsia="zh-CN"/>
              </w:rPr>
            </w:pPr>
            <w:r>
              <w:rPr>
                <w:rFonts w:hint="eastAsia" w:ascii="宋体"/>
                <w:sz w:val="20"/>
                <w:szCs w:val="20"/>
                <w:lang w:val="en-US" w:eastAsia="zh-CN"/>
              </w:rPr>
              <w:t>行政许可</w:t>
            </w:r>
          </w:p>
        </w:tc>
        <w:tc>
          <w:tcPr>
            <w:tcW w:w="1869" w:type="dxa"/>
            <w:tcBorders>
              <w:top w:val="nil"/>
              <w:left w:val="nil"/>
              <w:bottom w:val="single" w:color="auto" w:sz="8" w:space="0"/>
              <w:right w:val="single" w:color="auto" w:sz="8" w:space="0"/>
            </w:tcBorders>
            <w:shd w:val="clear" w:color="auto" w:fill="auto"/>
            <w:noWrap/>
            <w:tcMar>
              <w:left w:w="108" w:type="dxa"/>
              <w:right w:w="108" w:type="dxa"/>
            </w:tcMar>
            <w:vAlign w:val="center"/>
          </w:tcPr>
          <w:p>
            <w:pPr>
              <w:jc w:val="center"/>
              <w:rPr>
                <w:rFonts w:hint="default" w:ascii="宋体"/>
                <w:sz w:val="20"/>
                <w:szCs w:val="20"/>
                <w:lang w:val="en-US" w:eastAsia="zh-CN"/>
              </w:rPr>
            </w:pPr>
            <w:r>
              <w:rPr>
                <w:rFonts w:hint="eastAsia" w:ascii="宋体"/>
                <w:sz w:val="20"/>
                <w:szCs w:val="20"/>
                <w:lang w:val="en-US" w:eastAsia="zh-CN"/>
              </w:rPr>
              <w:t>　0</w:t>
            </w:r>
          </w:p>
        </w:tc>
        <w:tc>
          <w:tcPr>
            <w:tcW w:w="1277" w:type="dxa"/>
            <w:tcBorders>
              <w:top w:val="nil"/>
              <w:left w:val="nil"/>
              <w:bottom w:val="single" w:color="auto" w:sz="8" w:space="0"/>
              <w:right w:val="single" w:color="auto" w:sz="8" w:space="0"/>
            </w:tcBorders>
            <w:shd w:val="clear" w:color="auto" w:fill="auto"/>
            <w:noWrap/>
            <w:tcMar>
              <w:left w:w="108" w:type="dxa"/>
              <w:right w:w="108" w:type="dxa"/>
            </w:tcMar>
            <w:vAlign w:val="center"/>
          </w:tcPr>
          <w:p>
            <w:pPr>
              <w:jc w:val="center"/>
              <w:rPr>
                <w:rFonts w:hint="default" w:ascii="宋体"/>
                <w:sz w:val="20"/>
                <w:szCs w:val="20"/>
                <w:lang w:val="en-US" w:eastAsia="zh-CN"/>
              </w:rPr>
            </w:pPr>
            <w:r>
              <w:rPr>
                <w:rFonts w:hint="eastAsia" w:ascii="宋体"/>
                <w:sz w:val="20"/>
                <w:szCs w:val="20"/>
                <w:lang w:val="en-US" w:eastAsia="zh-CN"/>
              </w:rPr>
              <w:t>　0</w:t>
            </w:r>
          </w:p>
        </w:tc>
        <w:tc>
          <w:tcPr>
            <w:tcW w:w="1881" w:type="dxa"/>
            <w:tcBorders>
              <w:top w:val="nil"/>
              <w:left w:val="nil"/>
              <w:bottom w:val="single" w:color="auto" w:sz="8" w:space="0"/>
              <w:right w:val="single" w:color="auto" w:sz="8" w:space="0"/>
            </w:tcBorders>
            <w:shd w:val="clear" w:color="auto" w:fill="auto"/>
            <w:noWrap/>
            <w:tcMar>
              <w:left w:w="108" w:type="dxa"/>
              <w:right w:w="108" w:type="dxa"/>
            </w:tcMar>
            <w:vAlign w:val="center"/>
          </w:tcPr>
          <w:p>
            <w:pPr>
              <w:jc w:val="center"/>
              <w:rPr>
                <w:rFonts w:hint="default" w:ascii="宋体"/>
                <w:sz w:val="20"/>
                <w:szCs w:val="20"/>
                <w:lang w:val="en-US" w:eastAsia="zh-CN"/>
              </w:rPr>
            </w:pPr>
            <w:r>
              <w:rPr>
                <w:rFonts w:hint="eastAsia" w:ascii="宋体"/>
                <w:sz w:val="20"/>
                <w:szCs w:val="20"/>
                <w:lang w:val="en-US" w:eastAsia="zh-CN"/>
              </w:rPr>
              <w:t>　0</w:t>
            </w:r>
          </w:p>
        </w:tc>
      </w:tr>
      <w:tr>
        <w:tblPrEx>
          <w:shd w:val="clear" w:color="auto" w:fill="auto"/>
          <w:tblCellMar>
            <w:top w:w="0" w:type="dxa"/>
            <w:left w:w="0" w:type="dxa"/>
            <w:bottom w:w="0" w:type="dxa"/>
            <w:right w:w="0" w:type="dxa"/>
          </w:tblCellMar>
        </w:tblPrEx>
        <w:trPr>
          <w:trHeight w:val="550"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jc w:val="both"/>
              <w:rPr>
                <w:rFonts w:hint="eastAsia" w:ascii="宋体"/>
                <w:sz w:val="20"/>
                <w:szCs w:val="20"/>
                <w:lang w:val="en-US" w:eastAsia="zh-CN"/>
              </w:rPr>
            </w:pPr>
            <w:r>
              <w:rPr>
                <w:rFonts w:hint="eastAsia" w:ascii="宋体"/>
                <w:sz w:val="20"/>
                <w:szCs w:val="20"/>
                <w:lang w:val="en-US" w:eastAsia="zh-CN"/>
              </w:rPr>
              <w:t>其他对外管理服务事项</w:t>
            </w:r>
          </w:p>
        </w:tc>
        <w:tc>
          <w:tcPr>
            <w:tcW w:w="1869" w:type="dxa"/>
            <w:tcBorders>
              <w:top w:val="nil"/>
              <w:left w:val="nil"/>
              <w:bottom w:val="single" w:color="auto" w:sz="8" w:space="0"/>
              <w:right w:val="single" w:color="auto" w:sz="8" w:space="0"/>
            </w:tcBorders>
            <w:shd w:val="clear" w:color="auto" w:fill="auto"/>
            <w:noWrap/>
            <w:tcMar>
              <w:left w:w="108" w:type="dxa"/>
              <w:right w:w="108" w:type="dxa"/>
            </w:tcMar>
            <w:vAlign w:val="center"/>
          </w:tcPr>
          <w:p>
            <w:pPr>
              <w:jc w:val="center"/>
              <w:rPr>
                <w:rFonts w:hint="default" w:ascii="宋体"/>
                <w:sz w:val="20"/>
                <w:szCs w:val="20"/>
                <w:lang w:val="en-US" w:eastAsia="zh-CN"/>
              </w:rPr>
            </w:pPr>
            <w:r>
              <w:rPr>
                <w:rFonts w:hint="eastAsia" w:ascii="宋体"/>
                <w:sz w:val="20"/>
                <w:szCs w:val="20"/>
                <w:lang w:val="en-US" w:eastAsia="zh-CN"/>
              </w:rPr>
              <w:t>　0</w:t>
            </w:r>
          </w:p>
        </w:tc>
        <w:tc>
          <w:tcPr>
            <w:tcW w:w="1277" w:type="dxa"/>
            <w:tcBorders>
              <w:top w:val="nil"/>
              <w:left w:val="nil"/>
              <w:bottom w:val="single" w:color="auto" w:sz="8" w:space="0"/>
              <w:right w:val="single" w:color="auto" w:sz="8" w:space="0"/>
            </w:tcBorders>
            <w:shd w:val="clear" w:color="auto" w:fill="auto"/>
            <w:noWrap/>
            <w:tcMar>
              <w:left w:w="108" w:type="dxa"/>
              <w:right w:w="108" w:type="dxa"/>
            </w:tcMar>
            <w:vAlign w:val="center"/>
          </w:tcPr>
          <w:p>
            <w:pPr>
              <w:jc w:val="center"/>
              <w:rPr>
                <w:rFonts w:hint="default" w:ascii="宋体"/>
                <w:sz w:val="20"/>
                <w:szCs w:val="20"/>
                <w:lang w:val="en-US" w:eastAsia="zh-CN"/>
              </w:rPr>
            </w:pPr>
            <w:r>
              <w:rPr>
                <w:rFonts w:hint="eastAsia" w:ascii="宋体"/>
                <w:sz w:val="20"/>
                <w:szCs w:val="20"/>
                <w:lang w:val="en-US" w:eastAsia="zh-CN"/>
              </w:rPr>
              <w:t>　0</w:t>
            </w:r>
          </w:p>
        </w:tc>
        <w:tc>
          <w:tcPr>
            <w:tcW w:w="1881" w:type="dxa"/>
            <w:tcBorders>
              <w:top w:val="nil"/>
              <w:left w:val="nil"/>
              <w:bottom w:val="single" w:color="auto" w:sz="8" w:space="0"/>
              <w:right w:val="single" w:color="auto" w:sz="8" w:space="0"/>
            </w:tcBorders>
            <w:shd w:val="clear" w:color="auto" w:fill="auto"/>
            <w:noWrap/>
            <w:tcMar>
              <w:left w:w="108" w:type="dxa"/>
              <w:right w:w="108" w:type="dxa"/>
            </w:tcMar>
            <w:vAlign w:val="center"/>
          </w:tcPr>
          <w:p>
            <w:pPr>
              <w:jc w:val="center"/>
              <w:rPr>
                <w:rFonts w:hint="default" w:ascii="宋体"/>
                <w:sz w:val="20"/>
                <w:szCs w:val="20"/>
                <w:lang w:val="en-US" w:eastAsia="zh-CN"/>
              </w:rPr>
            </w:pPr>
            <w:r>
              <w:rPr>
                <w:rFonts w:hint="eastAsia" w:ascii="宋体"/>
                <w:sz w:val="20"/>
                <w:szCs w:val="20"/>
                <w:lang w:val="en-US" w:eastAsia="zh-CN"/>
              </w:rPr>
              <w:t>　0</w:t>
            </w:r>
          </w:p>
        </w:tc>
      </w:tr>
      <w:tr>
        <w:tblPrEx>
          <w:shd w:val="clear" w:color="auto" w:fill="auto"/>
          <w:tblCellMar>
            <w:top w:w="0" w:type="dxa"/>
            <w:left w:w="0" w:type="dxa"/>
            <w:bottom w:w="0" w:type="dxa"/>
            <w:right w:w="0" w:type="dxa"/>
          </w:tblCellMar>
        </w:tblPrEx>
        <w:trPr>
          <w:trHeight w:val="406" w:hRule="atLeast"/>
          <w:jc w:val="center"/>
        </w:trPr>
        <w:tc>
          <w:tcPr>
            <w:tcW w:w="8140" w:type="dxa"/>
            <w:gridSpan w:val="4"/>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第二十条第（六）项</w:t>
            </w:r>
          </w:p>
        </w:tc>
      </w:tr>
      <w:tr>
        <w:tblPrEx>
          <w:shd w:val="clear" w:color="auto" w:fill="auto"/>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信息内容</w:t>
            </w:r>
          </w:p>
        </w:tc>
        <w:tc>
          <w:tcPr>
            <w:tcW w:w="1869" w:type="dxa"/>
            <w:tcBorders>
              <w:top w:val="single" w:color="auto" w:sz="8" w:space="0"/>
              <w:left w:val="nil"/>
              <w:bottom w:val="single" w:color="auto" w:sz="8" w:space="0"/>
              <w:right w:val="single" w:color="auto" w:sz="8" w:space="0"/>
            </w:tcBorders>
            <w:shd w:val="clear" w:color="auto" w:fill="auto"/>
            <w:noWrap/>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上一年项目数量</w:t>
            </w:r>
          </w:p>
        </w:tc>
        <w:tc>
          <w:tcPr>
            <w:tcW w:w="1277"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本年增/减</w:t>
            </w:r>
          </w:p>
        </w:tc>
        <w:tc>
          <w:tcPr>
            <w:tcW w:w="1881" w:type="dxa"/>
            <w:tcBorders>
              <w:top w:val="nil"/>
              <w:left w:val="nil"/>
              <w:bottom w:val="single" w:color="auto" w:sz="8" w:space="0"/>
              <w:right w:val="single" w:color="auto" w:sz="8" w:space="0"/>
            </w:tcBorders>
            <w:shd w:val="clear" w:color="auto" w:fill="auto"/>
            <w:noWrap/>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处理决定数量</w:t>
            </w:r>
          </w:p>
        </w:tc>
      </w:tr>
      <w:tr>
        <w:tblPrEx>
          <w:shd w:val="clear" w:color="auto" w:fill="auto"/>
          <w:tblCellMar>
            <w:top w:w="0" w:type="dxa"/>
            <w:left w:w="0" w:type="dxa"/>
            <w:bottom w:w="0" w:type="dxa"/>
            <w:right w:w="0" w:type="dxa"/>
          </w:tblCellMar>
        </w:tblPrEx>
        <w:trPr>
          <w:trHeight w:val="430"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jc w:val="both"/>
              <w:rPr>
                <w:rFonts w:hint="eastAsia" w:ascii="宋体"/>
                <w:sz w:val="20"/>
                <w:szCs w:val="20"/>
                <w:lang w:val="en-US" w:eastAsia="zh-CN"/>
              </w:rPr>
            </w:pPr>
            <w:r>
              <w:rPr>
                <w:rFonts w:hint="eastAsia" w:ascii="宋体"/>
                <w:sz w:val="20"/>
                <w:szCs w:val="20"/>
                <w:lang w:val="en-US" w:eastAsia="zh-CN"/>
              </w:rPr>
              <w:t>行政处罚</w:t>
            </w:r>
          </w:p>
        </w:tc>
        <w:tc>
          <w:tcPr>
            <w:tcW w:w="1869" w:type="dxa"/>
            <w:tcBorders>
              <w:top w:val="nil"/>
              <w:left w:val="nil"/>
              <w:bottom w:val="single" w:color="auto" w:sz="8" w:space="0"/>
              <w:right w:val="single" w:color="auto" w:sz="8" w:space="0"/>
            </w:tcBorders>
            <w:shd w:val="clear" w:color="auto" w:fill="auto"/>
            <w:noWrap/>
            <w:tcMar>
              <w:left w:w="108" w:type="dxa"/>
              <w:right w:w="108" w:type="dxa"/>
            </w:tcMar>
            <w:vAlign w:val="center"/>
          </w:tcPr>
          <w:p>
            <w:pPr>
              <w:jc w:val="center"/>
              <w:rPr>
                <w:rFonts w:hint="default" w:ascii="宋体"/>
                <w:sz w:val="20"/>
                <w:szCs w:val="20"/>
                <w:lang w:val="en-US" w:eastAsia="zh-CN"/>
              </w:rPr>
            </w:pPr>
            <w:r>
              <w:rPr>
                <w:rFonts w:hint="eastAsia" w:ascii="宋体"/>
                <w:sz w:val="20"/>
                <w:szCs w:val="20"/>
                <w:lang w:val="en-US" w:eastAsia="zh-CN"/>
              </w:rPr>
              <w:t>　0</w:t>
            </w:r>
          </w:p>
        </w:tc>
        <w:tc>
          <w:tcPr>
            <w:tcW w:w="1277" w:type="dxa"/>
            <w:tcBorders>
              <w:top w:val="nil"/>
              <w:left w:val="nil"/>
              <w:bottom w:val="single" w:color="auto" w:sz="8" w:space="0"/>
              <w:right w:val="single" w:color="auto" w:sz="8" w:space="0"/>
            </w:tcBorders>
            <w:shd w:val="clear" w:color="auto" w:fill="auto"/>
            <w:noWrap/>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　</w:t>
            </w:r>
          </w:p>
        </w:tc>
        <w:tc>
          <w:tcPr>
            <w:tcW w:w="1881" w:type="dxa"/>
            <w:tcBorders>
              <w:top w:val="nil"/>
              <w:left w:val="nil"/>
              <w:bottom w:val="single" w:color="auto" w:sz="8" w:space="0"/>
              <w:right w:val="single" w:color="auto" w:sz="8" w:space="0"/>
            </w:tcBorders>
            <w:shd w:val="clear" w:color="auto" w:fill="auto"/>
            <w:noWrap/>
            <w:tcMar>
              <w:left w:w="108" w:type="dxa"/>
              <w:right w:w="108" w:type="dxa"/>
            </w:tcMar>
            <w:vAlign w:val="center"/>
          </w:tcPr>
          <w:p>
            <w:pPr>
              <w:jc w:val="center"/>
              <w:rPr>
                <w:rFonts w:hint="default" w:ascii="宋体"/>
                <w:sz w:val="20"/>
                <w:szCs w:val="20"/>
                <w:lang w:val="en-US" w:eastAsia="zh-CN"/>
              </w:rPr>
            </w:pPr>
            <w:r>
              <w:rPr>
                <w:rFonts w:hint="eastAsia" w:ascii="宋体"/>
                <w:sz w:val="20"/>
                <w:szCs w:val="20"/>
                <w:lang w:val="en-US" w:eastAsia="zh-CN"/>
              </w:rPr>
              <w:t>　0</w:t>
            </w:r>
          </w:p>
        </w:tc>
      </w:tr>
      <w:tr>
        <w:tblPrEx>
          <w:shd w:val="clear" w:color="auto" w:fill="auto"/>
          <w:tblCellMar>
            <w:top w:w="0" w:type="dxa"/>
            <w:left w:w="0" w:type="dxa"/>
            <w:bottom w:w="0" w:type="dxa"/>
            <w:right w:w="0" w:type="dxa"/>
          </w:tblCellMar>
        </w:tblPrEx>
        <w:trPr>
          <w:trHeight w:val="409"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jc w:val="both"/>
              <w:rPr>
                <w:rFonts w:hint="eastAsia" w:ascii="宋体"/>
                <w:sz w:val="20"/>
                <w:szCs w:val="20"/>
                <w:lang w:val="en-US" w:eastAsia="zh-CN"/>
              </w:rPr>
            </w:pPr>
            <w:r>
              <w:rPr>
                <w:rFonts w:hint="eastAsia" w:ascii="宋体"/>
                <w:sz w:val="20"/>
                <w:szCs w:val="20"/>
                <w:lang w:val="en-US" w:eastAsia="zh-CN"/>
              </w:rPr>
              <w:t>行政强制</w:t>
            </w:r>
          </w:p>
        </w:tc>
        <w:tc>
          <w:tcPr>
            <w:tcW w:w="1869" w:type="dxa"/>
            <w:tcBorders>
              <w:top w:val="nil"/>
              <w:left w:val="nil"/>
              <w:bottom w:val="single" w:color="auto" w:sz="8" w:space="0"/>
              <w:right w:val="single" w:color="auto" w:sz="8" w:space="0"/>
            </w:tcBorders>
            <w:shd w:val="clear" w:color="auto" w:fill="auto"/>
            <w:noWrap/>
            <w:tcMar>
              <w:left w:w="108" w:type="dxa"/>
              <w:right w:w="108" w:type="dxa"/>
            </w:tcMar>
            <w:vAlign w:val="center"/>
          </w:tcPr>
          <w:p>
            <w:pPr>
              <w:jc w:val="center"/>
              <w:rPr>
                <w:rFonts w:hint="default" w:ascii="宋体"/>
                <w:sz w:val="20"/>
                <w:szCs w:val="20"/>
                <w:lang w:val="en-US" w:eastAsia="zh-CN"/>
              </w:rPr>
            </w:pPr>
            <w:r>
              <w:rPr>
                <w:rFonts w:hint="eastAsia" w:ascii="宋体"/>
                <w:sz w:val="20"/>
                <w:szCs w:val="20"/>
                <w:lang w:val="en-US" w:eastAsia="zh-CN"/>
              </w:rPr>
              <w:t>　0</w:t>
            </w:r>
          </w:p>
        </w:tc>
        <w:tc>
          <w:tcPr>
            <w:tcW w:w="1277" w:type="dxa"/>
            <w:tcBorders>
              <w:top w:val="nil"/>
              <w:left w:val="nil"/>
              <w:bottom w:val="single" w:color="auto" w:sz="8" w:space="0"/>
              <w:right w:val="single" w:color="auto" w:sz="8" w:space="0"/>
            </w:tcBorders>
            <w:shd w:val="clear" w:color="auto" w:fill="auto"/>
            <w:noWrap/>
            <w:tcMar>
              <w:left w:w="108" w:type="dxa"/>
              <w:right w:w="108" w:type="dxa"/>
            </w:tcMar>
            <w:vAlign w:val="center"/>
          </w:tcPr>
          <w:p>
            <w:pPr>
              <w:jc w:val="center"/>
              <w:rPr>
                <w:rFonts w:hint="default" w:ascii="宋体"/>
                <w:sz w:val="20"/>
                <w:szCs w:val="20"/>
                <w:lang w:val="en-US" w:eastAsia="zh-CN"/>
              </w:rPr>
            </w:pPr>
            <w:r>
              <w:rPr>
                <w:rFonts w:hint="eastAsia" w:ascii="宋体"/>
                <w:sz w:val="20"/>
                <w:szCs w:val="20"/>
                <w:lang w:val="en-US" w:eastAsia="zh-CN"/>
              </w:rPr>
              <w:t>0</w:t>
            </w:r>
          </w:p>
        </w:tc>
        <w:tc>
          <w:tcPr>
            <w:tcW w:w="1881" w:type="dxa"/>
            <w:tcBorders>
              <w:top w:val="nil"/>
              <w:left w:val="nil"/>
              <w:bottom w:val="single" w:color="auto" w:sz="8" w:space="0"/>
              <w:right w:val="single" w:color="auto" w:sz="8" w:space="0"/>
            </w:tcBorders>
            <w:shd w:val="clear" w:color="auto" w:fill="auto"/>
            <w:noWrap/>
            <w:tcMar>
              <w:left w:w="108" w:type="dxa"/>
              <w:right w:w="108" w:type="dxa"/>
            </w:tcMar>
            <w:vAlign w:val="center"/>
          </w:tcPr>
          <w:p>
            <w:pPr>
              <w:jc w:val="center"/>
              <w:rPr>
                <w:rFonts w:hint="default" w:ascii="宋体"/>
                <w:sz w:val="20"/>
                <w:szCs w:val="20"/>
                <w:lang w:val="en-US" w:eastAsia="zh-CN"/>
              </w:rPr>
            </w:pPr>
            <w:r>
              <w:rPr>
                <w:rFonts w:hint="eastAsia" w:ascii="宋体"/>
                <w:sz w:val="20"/>
                <w:szCs w:val="20"/>
                <w:lang w:val="en-US" w:eastAsia="zh-CN"/>
              </w:rPr>
              <w:t>　0</w:t>
            </w:r>
          </w:p>
        </w:tc>
      </w:tr>
      <w:tr>
        <w:tblPrEx>
          <w:tblCellMar>
            <w:top w:w="0" w:type="dxa"/>
            <w:left w:w="0" w:type="dxa"/>
            <w:bottom w:w="0" w:type="dxa"/>
            <w:right w:w="0" w:type="dxa"/>
          </w:tblCellMar>
        </w:tblPrEx>
        <w:trPr>
          <w:trHeight w:val="474" w:hRule="atLeast"/>
          <w:jc w:val="center"/>
        </w:trPr>
        <w:tc>
          <w:tcPr>
            <w:tcW w:w="8140" w:type="dxa"/>
            <w:gridSpan w:val="4"/>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第二十条第（八）项</w:t>
            </w:r>
          </w:p>
        </w:tc>
      </w:tr>
      <w:tr>
        <w:tblPrEx>
          <w:shd w:val="clear" w:color="auto" w:fill="auto"/>
          <w:tblCellMar>
            <w:top w:w="0" w:type="dxa"/>
            <w:left w:w="0" w:type="dxa"/>
            <w:bottom w:w="0" w:type="dxa"/>
            <w:right w:w="0" w:type="dxa"/>
          </w:tblCellMar>
        </w:tblPrEx>
        <w:trPr>
          <w:trHeight w:val="270"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信息内容</w:t>
            </w:r>
          </w:p>
        </w:tc>
        <w:tc>
          <w:tcPr>
            <w:tcW w:w="1869" w:type="dxa"/>
            <w:tcBorders>
              <w:top w:val="nil"/>
              <w:left w:val="nil"/>
              <w:bottom w:val="single" w:color="auto" w:sz="8" w:space="0"/>
              <w:right w:val="single" w:color="auto" w:sz="8" w:space="0"/>
            </w:tcBorders>
            <w:shd w:val="clear" w:color="auto" w:fill="auto"/>
            <w:noWrap/>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上一年项目数量</w:t>
            </w:r>
          </w:p>
        </w:tc>
        <w:tc>
          <w:tcPr>
            <w:tcW w:w="3158" w:type="dxa"/>
            <w:gridSpan w:val="2"/>
            <w:tcBorders>
              <w:top w:val="single" w:color="auto" w:sz="8" w:space="0"/>
              <w:left w:val="nil"/>
              <w:bottom w:val="single" w:color="auto" w:sz="8" w:space="0"/>
              <w:right w:val="single" w:color="000000" w:sz="8" w:space="0"/>
            </w:tcBorders>
            <w:shd w:val="clear" w:color="auto" w:fill="auto"/>
            <w:noWrap/>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本年增/减</w:t>
            </w:r>
          </w:p>
        </w:tc>
      </w:tr>
      <w:tr>
        <w:tblPrEx>
          <w:shd w:val="clear" w:color="auto" w:fill="auto"/>
          <w:tblCellMar>
            <w:top w:w="0" w:type="dxa"/>
            <w:left w:w="0" w:type="dxa"/>
            <w:bottom w:w="0" w:type="dxa"/>
            <w:right w:w="0" w:type="dxa"/>
          </w:tblCellMar>
        </w:tblPrEx>
        <w:trPr>
          <w:trHeight w:val="551"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jc w:val="left"/>
              <w:rPr>
                <w:rFonts w:hint="eastAsia" w:ascii="宋体"/>
                <w:sz w:val="20"/>
                <w:szCs w:val="20"/>
                <w:lang w:val="en-US" w:eastAsia="zh-CN"/>
              </w:rPr>
            </w:pPr>
            <w:r>
              <w:rPr>
                <w:rFonts w:hint="eastAsia" w:ascii="宋体"/>
                <w:sz w:val="20"/>
                <w:szCs w:val="20"/>
                <w:lang w:val="en-US" w:eastAsia="zh-CN"/>
              </w:rPr>
              <w:t>行政事业性收费</w:t>
            </w:r>
          </w:p>
        </w:tc>
        <w:tc>
          <w:tcPr>
            <w:tcW w:w="1869" w:type="dxa"/>
            <w:tcBorders>
              <w:top w:val="nil"/>
              <w:left w:val="nil"/>
              <w:bottom w:val="single" w:color="auto" w:sz="8" w:space="0"/>
              <w:right w:val="single" w:color="auto" w:sz="8" w:space="0"/>
            </w:tcBorders>
            <w:shd w:val="clear" w:color="auto" w:fill="auto"/>
            <w:noWrap/>
            <w:tcMar>
              <w:left w:w="108" w:type="dxa"/>
              <w:right w:w="108" w:type="dxa"/>
            </w:tcMar>
            <w:vAlign w:val="center"/>
          </w:tcPr>
          <w:p>
            <w:pPr>
              <w:jc w:val="center"/>
              <w:rPr>
                <w:rFonts w:hint="default" w:ascii="宋体"/>
                <w:sz w:val="20"/>
                <w:szCs w:val="20"/>
                <w:lang w:val="en-US" w:eastAsia="zh-CN"/>
              </w:rPr>
            </w:pPr>
            <w:r>
              <w:rPr>
                <w:rFonts w:hint="eastAsia" w:ascii="宋体"/>
                <w:sz w:val="20"/>
                <w:szCs w:val="20"/>
                <w:lang w:val="en-US" w:eastAsia="zh-CN"/>
              </w:rPr>
              <w:t>　0</w:t>
            </w:r>
          </w:p>
        </w:tc>
        <w:tc>
          <w:tcPr>
            <w:tcW w:w="3158" w:type="dxa"/>
            <w:gridSpan w:val="2"/>
            <w:tcBorders>
              <w:top w:val="nil"/>
              <w:left w:val="nil"/>
              <w:bottom w:val="single" w:color="auto" w:sz="8" w:space="0"/>
              <w:right w:val="single" w:color="000000" w:sz="8" w:space="0"/>
            </w:tcBorders>
            <w:shd w:val="clear" w:color="auto" w:fill="auto"/>
            <w:noWrap/>
            <w:tcMar>
              <w:left w:w="108" w:type="dxa"/>
              <w:right w:w="108" w:type="dxa"/>
            </w:tcMar>
            <w:vAlign w:val="center"/>
          </w:tcPr>
          <w:p>
            <w:pPr>
              <w:jc w:val="center"/>
              <w:rPr>
                <w:rFonts w:hint="default" w:ascii="宋体"/>
                <w:sz w:val="20"/>
                <w:szCs w:val="20"/>
                <w:lang w:val="en-US" w:eastAsia="zh-CN"/>
              </w:rPr>
            </w:pPr>
            <w:r>
              <w:rPr>
                <w:rFonts w:hint="eastAsia" w:ascii="宋体"/>
                <w:sz w:val="20"/>
                <w:szCs w:val="20"/>
                <w:lang w:val="en-US" w:eastAsia="zh-CN"/>
              </w:rPr>
              <w:t> 0</w:t>
            </w:r>
          </w:p>
        </w:tc>
      </w:tr>
      <w:tr>
        <w:tblPrEx>
          <w:tblCellMar>
            <w:top w:w="0" w:type="dxa"/>
            <w:left w:w="0" w:type="dxa"/>
            <w:bottom w:w="0" w:type="dxa"/>
            <w:right w:w="0" w:type="dxa"/>
          </w:tblCellMar>
        </w:tblPrEx>
        <w:trPr>
          <w:trHeight w:val="476" w:hRule="atLeast"/>
          <w:jc w:val="center"/>
        </w:trPr>
        <w:tc>
          <w:tcPr>
            <w:tcW w:w="8140" w:type="dxa"/>
            <w:gridSpan w:val="4"/>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第二十条第（九）项</w:t>
            </w:r>
          </w:p>
        </w:tc>
      </w:tr>
      <w:tr>
        <w:tblPrEx>
          <w:shd w:val="clear" w:color="auto" w:fill="auto"/>
          <w:tblCellMar>
            <w:top w:w="0" w:type="dxa"/>
            <w:left w:w="0" w:type="dxa"/>
            <w:bottom w:w="0" w:type="dxa"/>
            <w:right w:w="0" w:type="dxa"/>
          </w:tblCellMar>
        </w:tblPrEx>
        <w:trPr>
          <w:trHeight w:val="585"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信息内容</w:t>
            </w:r>
          </w:p>
        </w:tc>
        <w:tc>
          <w:tcPr>
            <w:tcW w:w="1869" w:type="dxa"/>
            <w:tcBorders>
              <w:top w:val="nil"/>
              <w:left w:val="nil"/>
              <w:bottom w:val="single" w:color="auto" w:sz="8" w:space="0"/>
              <w:right w:val="single" w:color="auto" w:sz="8" w:space="0"/>
            </w:tcBorders>
            <w:shd w:val="clear" w:color="auto" w:fill="auto"/>
            <w:noWrap/>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采购项目数量</w:t>
            </w:r>
          </w:p>
        </w:tc>
        <w:tc>
          <w:tcPr>
            <w:tcW w:w="3158" w:type="dxa"/>
            <w:gridSpan w:val="2"/>
            <w:tcBorders>
              <w:top w:val="single" w:color="auto" w:sz="8" w:space="0"/>
              <w:left w:val="nil"/>
              <w:bottom w:val="single" w:color="auto" w:sz="8" w:space="0"/>
              <w:right w:val="single" w:color="000000" w:sz="8" w:space="0"/>
            </w:tcBorders>
            <w:shd w:val="clear" w:color="auto" w:fill="auto"/>
            <w:noWrap/>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采购总金额</w:t>
            </w:r>
          </w:p>
        </w:tc>
      </w:tr>
      <w:tr>
        <w:tblPrEx>
          <w:shd w:val="clear" w:color="auto" w:fill="auto"/>
          <w:tblCellMar>
            <w:top w:w="0" w:type="dxa"/>
            <w:left w:w="0" w:type="dxa"/>
            <w:bottom w:w="0" w:type="dxa"/>
            <w:right w:w="0" w:type="dxa"/>
          </w:tblCellMar>
        </w:tblPrEx>
        <w:trPr>
          <w:trHeight w:val="539"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jc w:val="left"/>
              <w:rPr>
                <w:rFonts w:hint="eastAsia" w:ascii="宋体"/>
                <w:sz w:val="20"/>
                <w:szCs w:val="20"/>
                <w:lang w:val="en-US" w:eastAsia="zh-CN"/>
              </w:rPr>
            </w:pPr>
            <w:r>
              <w:rPr>
                <w:rFonts w:hint="eastAsia" w:ascii="宋体"/>
                <w:sz w:val="20"/>
                <w:szCs w:val="20"/>
                <w:lang w:val="en-US" w:eastAsia="zh-CN"/>
              </w:rPr>
              <w:t>政府集中采购</w:t>
            </w:r>
          </w:p>
        </w:tc>
        <w:tc>
          <w:tcPr>
            <w:tcW w:w="1869" w:type="dxa"/>
            <w:tcBorders>
              <w:top w:val="nil"/>
              <w:left w:val="nil"/>
              <w:bottom w:val="single" w:color="auto" w:sz="8" w:space="0"/>
              <w:right w:val="single" w:color="auto" w:sz="8" w:space="0"/>
            </w:tcBorders>
            <w:shd w:val="clear" w:color="auto" w:fill="auto"/>
            <w:noWrap/>
            <w:tcMar>
              <w:left w:w="108" w:type="dxa"/>
              <w:right w:w="108" w:type="dxa"/>
            </w:tcMar>
            <w:vAlign w:val="center"/>
          </w:tcPr>
          <w:p>
            <w:pPr>
              <w:jc w:val="center"/>
              <w:rPr>
                <w:rFonts w:hint="default" w:ascii="宋体"/>
                <w:sz w:val="20"/>
                <w:szCs w:val="20"/>
                <w:lang w:val="en-US" w:eastAsia="zh-CN"/>
              </w:rPr>
            </w:pPr>
            <w:r>
              <w:rPr>
                <w:rFonts w:hint="eastAsia" w:ascii="宋体"/>
                <w:sz w:val="20"/>
                <w:szCs w:val="20"/>
                <w:lang w:val="en-US" w:eastAsia="zh-CN"/>
              </w:rPr>
              <w:t>5</w:t>
            </w:r>
          </w:p>
        </w:tc>
        <w:tc>
          <w:tcPr>
            <w:tcW w:w="3158" w:type="dxa"/>
            <w:gridSpan w:val="2"/>
            <w:tcBorders>
              <w:top w:val="nil"/>
              <w:left w:val="nil"/>
              <w:bottom w:val="single" w:color="auto" w:sz="8" w:space="0"/>
              <w:right w:val="single" w:color="000000" w:sz="8" w:space="0"/>
            </w:tcBorders>
            <w:shd w:val="clear" w:color="auto" w:fill="auto"/>
            <w:noWrap/>
            <w:tcMar>
              <w:left w:w="108" w:type="dxa"/>
              <w:right w:w="108" w:type="dxa"/>
            </w:tcMar>
            <w:vAlign w:val="center"/>
          </w:tcPr>
          <w:p>
            <w:pPr>
              <w:jc w:val="center"/>
              <w:rPr>
                <w:rFonts w:hint="default" w:ascii="宋体" w:eastAsiaTheme="minorEastAsia"/>
                <w:sz w:val="20"/>
                <w:szCs w:val="20"/>
                <w:lang w:val="en-US" w:eastAsia="zh-CN"/>
              </w:rPr>
            </w:pPr>
            <w:r>
              <w:rPr>
                <w:rFonts w:hint="eastAsia" w:ascii="宋体"/>
                <w:sz w:val="20"/>
                <w:szCs w:val="20"/>
                <w:lang w:val="en-US" w:eastAsia="zh-CN"/>
              </w:rPr>
              <w:t>120万元</w:t>
            </w:r>
          </w:p>
        </w:tc>
      </w:tr>
    </w:tbl>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78" w:lineRule="exact"/>
        <w:ind w:right="0" w:firstLine="640" w:firstLineChars="200"/>
        <w:textAlignment w:val="auto"/>
        <w:rPr>
          <w:rFonts w:hint="default" w:ascii="仿宋" w:hAnsi="仿宋" w:eastAsia="仿宋" w:cs="仿宋"/>
          <w:i w:val="0"/>
          <w:caps w:val="0"/>
          <w:color w:val="000000"/>
          <w:spacing w:val="0"/>
          <w:sz w:val="32"/>
          <w:szCs w:val="32"/>
          <w:lang w:val="en-US" w:eastAsia="zh-CN"/>
        </w:rPr>
      </w:pPr>
      <w:r>
        <w:rPr>
          <w:rFonts w:hint="eastAsia" w:ascii="仿宋" w:hAnsi="仿宋" w:eastAsia="仿宋" w:cs="仿宋"/>
          <w:i w:val="0"/>
          <w:caps w:val="0"/>
          <w:color w:val="000000"/>
          <w:spacing w:val="0"/>
          <w:sz w:val="32"/>
          <w:szCs w:val="32"/>
          <w:lang w:val="en-US" w:eastAsia="zh-CN"/>
        </w:rPr>
        <w:t>2019年主动公开政府信息</w:t>
      </w:r>
      <w:bookmarkStart w:id="0" w:name="_GoBack"/>
      <w:bookmarkEnd w:id="0"/>
      <w:r>
        <w:rPr>
          <w:rFonts w:hint="eastAsia" w:ascii="仿宋" w:hAnsi="仿宋" w:eastAsia="仿宋" w:cs="仿宋"/>
          <w:i w:val="0"/>
          <w:caps w:val="0"/>
          <w:color w:val="000000"/>
          <w:spacing w:val="0"/>
          <w:sz w:val="32"/>
          <w:szCs w:val="32"/>
          <w:lang w:val="en-US" w:eastAsia="zh-CN"/>
        </w:rPr>
        <w:t>规章、规范性文件无，行政许可、其他对外管理服务事项类无，行政处罚、行政强制类无，行政事业性收费类无，政府集中采购类共计5项涉及资金120万元。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黑体" w:hAnsi="黑体" w:eastAsia="黑体" w:cs="黑体"/>
          <w:b w:val="0"/>
          <w:bCs/>
          <w:i w:val="0"/>
          <w:caps w:val="0"/>
          <w:color w:val="333333"/>
          <w:spacing w:val="0"/>
          <w:sz w:val="32"/>
          <w:szCs w:val="32"/>
          <w:shd w:val="clear" w:fill="FFFFFF"/>
        </w:rPr>
      </w:pPr>
      <w:r>
        <w:rPr>
          <w:rFonts w:hint="eastAsia" w:ascii="黑体" w:hAnsi="黑体" w:eastAsia="黑体" w:cs="黑体"/>
          <w:b w:val="0"/>
          <w:bCs/>
          <w:i w:val="0"/>
          <w:caps w:val="0"/>
          <w:color w:val="333333"/>
          <w:spacing w:val="0"/>
          <w:sz w:val="32"/>
          <w:szCs w:val="32"/>
          <w:shd w:val="clear" w:fill="FFFFFF"/>
        </w:rPr>
        <w:t>三、收到和处理政府信息公开申请情况</w:t>
      </w:r>
    </w:p>
    <w:tbl>
      <w:tblPr>
        <w:tblStyle w:val="3"/>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16"/>
        <w:gridCol w:w="854"/>
        <w:gridCol w:w="2086"/>
        <w:gridCol w:w="813"/>
        <w:gridCol w:w="755"/>
        <w:gridCol w:w="755"/>
        <w:gridCol w:w="813"/>
        <w:gridCol w:w="973"/>
        <w:gridCol w:w="711"/>
        <w:gridCol w:w="69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3479" w:type="dxa"/>
            <w:gridSpan w:val="3"/>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（本列数据的勾稽关系为：第一项加第二项之和，等于第三项加第四项之和）</w:t>
            </w:r>
          </w:p>
        </w:tc>
        <w:tc>
          <w:tcPr>
            <w:tcW w:w="5592" w:type="dxa"/>
            <w:gridSpan w:val="7"/>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3479" w:type="dxa"/>
            <w:gridSpan w:val="3"/>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25"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自然人</w:t>
            </w:r>
          </w:p>
        </w:tc>
        <w:tc>
          <w:tcPr>
            <w:tcW w:w="4065"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法人或其他组织</w:t>
            </w:r>
          </w:p>
        </w:tc>
        <w:tc>
          <w:tcPr>
            <w:tcW w:w="702"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3479" w:type="dxa"/>
            <w:gridSpan w:val="3"/>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2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商业企业</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科研机构</w:t>
            </w:r>
          </w:p>
        </w:tc>
        <w:tc>
          <w:tcPr>
            <w:tcW w:w="82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社会公益组织</w:t>
            </w:r>
          </w:p>
        </w:tc>
        <w:tc>
          <w:tcPr>
            <w:tcW w:w="990"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法律服务机构</w:t>
            </w:r>
          </w:p>
        </w:tc>
        <w:tc>
          <w:tcPr>
            <w:tcW w:w="720"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其他</w:t>
            </w:r>
          </w:p>
        </w:tc>
        <w:tc>
          <w:tcPr>
            <w:tcW w:w="702"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3479"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left"/>
              <w:rPr>
                <w:rFonts w:hint="eastAsia" w:ascii="宋体"/>
                <w:sz w:val="20"/>
                <w:szCs w:val="20"/>
                <w:lang w:val="en-US" w:eastAsia="zh-CN"/>
              </w:rPr>
            </w:pPr>
            <w:r>
              <w:rPr>
                <w:rFonts w:hint="eastAsia" w:ascii="宋体"/>
                <w:sz w:val="20"/>
                <w:szCs w:val="20"/>
                <w:lang w:val="en-US" w:eastAsia="zh-CN"/>
              </w:rPr>
              <w:t>一、本年新收政府信息公开申请数量</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default" w:ascii="宋体"/>
                <w:sz w:val="20"/>
                <w:szCs w:val="20"/>
                <w:lang w:val="en-US" w:eastAsia="zh-CN"/>
              </w:rPr>
            </w:pPr>
            <w:r>
              <w:rPr>
                <w:rFonts w:hint="eastAsia" w:ascii="宋体"/>
                <w:sz w:val="20"/>
                <w:szCs w:val="20"/>
                <w:lang w:val="en-US" w:eastAsia="zh-CN"/>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990"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02"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3479"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left"/>
              <w:rPr>
                <w:rFonts w:hint="eastAsia" w:ascii="宋体"/>
                <w:sz w:val="20"/>
                <w:szCs w:val="20"/>
                <w:lang w:val="en-US" w:eastAsia="zh-CN"/>
              </w:rPr>
            </w:pPr>
            <w:r>
              <w:rPr>
                <w:rFonts w:hint="eastAsia" w:ascii="宋体"/>
                <w:sz w:val="20"/>
                <w:szCs w:val="20"/>
                <w:lang w:val="en-US" w:eastAsia="zh-CN"/>
              </w:rPr>
              <w:t>二、上年结转政府信息公开申请数量</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990"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02"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4"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left"/>
              <w:rPr>
                <w:rFonts w:hint="eastAsia" w:ascii="宋体"/>
                <w:sz w:val="20"/>
                <w:szCs w:val="20"/>
                <w:lang w:val="en-US" w:eastAsia="zh-CN"/>
              </w:rPr>
            </w:pPr>
            <w:r>
              <w:rPr>
                <w:rFonts w:hint="eastAsia" w:ascii="宋体"/>
                <w:sz w:val="20"/>
                <w:szCs w:val="20"/>
                <w:lang w:val="en-US" w:eastAsia="zh-CN"/>
              </w:rPr>
              <w:t>三、本年度办理结果</w:t>
            </w:r>
          </w:p>
        </w:tc>
        <w:tc>
          <w:tcPr>
            <w:tcW w:w="2985"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jc w:val="left"/>
              <w:rPr>
                <w:rFonts w:hint="eastAsia" w:ascii="宋体"/>
                <w:sz w:val="20"/>
                <w:szCs w:val="20"/>
                <w:lang w:val="en-US" w:eastAsia="zh-CN"/>
              </w:rPr>
            </w:pPr>
            <w:r>
              <w:rPr>
                <w:rFonts w:hint="eastAsia" w:ascii="宋体"/>
                <w:sz w:val="20"/>
                <w:szCs w:val="20"/>
                <w:lang w:val="en-US" w:eastAsia="zh-CN"/>
              </w:rPr>
              <w:t>（一）予以公开</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990"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02"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left"/>
              <w:rPr>
                <w:rFonts w:hint="eastAsia" w:ascii="宋体"/>
                <w:sz w:val="20"/>
                <w:szCs w:val="20"/>
                <w:lang w:val="en-US" w:eastAsia="zh-CN"/>
              </w:rPr>
            </w:pPr>
          </w:p>
        </w:tc>
        <w:tc>
          <w:tcPr>
            <w:tcW w:w="2985"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jc w:val="left"/>
              <w:rPr>
                <w:rFonts w:hint="eastAsia" w:ascii="宋体"/>
                <w:sz w:val="20"/>
                <w:szCs w:val="20"/>
                <w:lang w:val="en-US" w:eastAsia="zh-CN"/>
              </w:rPr>
            </w:pPr>
            <w:r>
              <w:rPr>
                <w:rFonts w:hint="eastAsia" w:ascii="宋体"/>
                <w:sz w:val="20"/>
                <w:szCs w:val="20"/>
                <w:lang w:val="en-US" w:eastAsia="zh-CN"/>
              </w:rPr>
              <w:t>（二）部分公开（区分处理的，只计这一情形，不计其他情形）</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990"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02"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left"/>
              <w:rPr>
                <w:rFonts w:hint="eastAsia" w:ascii="宋体"/>
                <w:sz w:val="20"/>
                <w:szCs w:val="20"/>
                <w:lang w:val="en-US" w:eastAsia="zh-CN"/>
              </w:rPr>
            </w:pPr>
          </w:p>
        </w:tc>
        <w:tc>
          <w:tcPr>
            <w:tcW w:w="855"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jc w:val="left"/>
              <w:rPr>
                <w:rFonts w:hint="eastAsia" w:ascii="宋体"/>
                <w:sz w:val="20"/>
                <w:szCs w:val="20"/>
                <w:lang w:val="en-US" w:eastAsia="zh-CN"/>
              </w:rPr>
            </w:pPr>
            <w:r>
              <w:rPr>
                <w:rFonts w:hint="eastAsia" w:ascii="宋体"/>
                <w:sz w:val="20"/>
                <w:szCs w:val="20"/>
                <w:lang w:val="en-US" w:eastAsia="zh-CN"/>
              </w:rPr>
              <w:t>（三）不予公开</w:t>
            </w:r>
          </w:p>
        </w:tc>
        <w:tc>
          <w:tcPr>
            <w:tcW w:w="2130" w:type="dxa"/>
            <w:tcBorders>
              <w:top w:val="nil"/>
              <w:left w:val="nil"/>
              <w:bottom w:val="single" w:color="auto" w:sz="8" w:space="0"/>
              <w:right w:val="single" w:color="auto" w:sz="8" w:space="0"/>
            </w:tcBorders>
            <w:shd w:val="clear" w:color="auto" w:fill="auto"/>
            <w:tcMar>
              <w:left w:w="108" w:type="dxa"/>
              <w:right w:w="108" w:type="dxa"/>
            </w:tcMar>
            <w:vAlign w:val="center"/>
          </w:tcPr>
          <w:p>
            <w:pPr>
              <w:jc w:val="left"/>
              <w:rPr>
                <w:rFonts w:hint="eastAsia" w:ascii="宋体"/>
                <w:sz w:val="20"/>
                <w:szCs w:val="20"/>
                <w:lang w:val="en-US" w:eastAsia="zh-CN"/>
              </w:rPr>
            </w:pPr>
            <w:r>
              <w:rPr>
                <w:rFonts w:hint="eastAsia" w:ascii="宋体"/>
                <w:sz w:val="20"/>
                <w:szCs w:val="20"/>
                <w:lang w:val="en-US" w:eastAsia="zh-CN"/>
              </w:rPr>
              <w:t>1.属于国家秘密</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990"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02"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499" w:hRule="atLeast"/>
          <w:jc w:val="center"/>
        </w:trPr>
        <w:tc>
          <w:tcPr>
            <w:tcW w:w="49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left"/>
              <w:rPr>
                <w:rFonts w:hint="eastAsia" w:ascii="宋体"/>
                <w:sz w:val="20"/>
                <w:szCs w:val="20"/>
                <w:lang w:val="en-US" w:eastAsia="zh-CN"/>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jc w:val="left"/>
              <w:rPr>
                <w:rFonts w:hint="eastAsia" w:ascii="宋体"/>
                <w:sz w:val="20"/>
                <w:szCs w:val="20"/>
                <w:lang w:val="en-US" w:eastAsia="zh-CN"/>
              </w:rPr>
            </w:pPr>
          </w:p>
        </w:tc>
        <w:tc>
          <w:tcPr>
            <w:tcW w:w="2130" w:type="dxa"/>
            <w:tcBorders>
              <w:top w:val="nil"/>
              <w:left w:val="nil"/>
              <w:bottom w:val="single" w:color="auto" w:sz="8" w:space="0"/>
              <w:right w:val="single" w:color="auto" w:sz="8" w:space="0"/>
            </w:tcBorders>
            <w:shd w:val="clear" w:color="auto" w:fill="auto"/>
            <w:tcMar>
              <w:left w:w="108" w:type="dxa"/>
              <w:right w:w="108" w:type="dxa"/>
            </w:tcMar>
            <w:vAlign w:val="center"/>
          </w:tcPr>
          <w:p>
            <w:pPr>
              <w:jc w:val="left"/>
              <w:rPr>
                <w:rFonts w:hint="eastAsia" w:ascii="宋体"/>
                <w:sz w:val="20"/>
                <w:szCs w:val="20"/>
                <w:lang w:val="en-US" w:eastAsia="zh-CN"/>
              </w:rPr>
            </w:pPr>
            <w:r>
              <w:rPr>
                <w:rFonts w:hint="eastAsia" w:ascii="宋体"/>
                <w:sz w:val="20"/>
                <w:szCs w:val="20"/>
                <w:lang w:val="en-US" w:eastAsia="zh-CN"/>
              </w:rPr>
              <w:t>2.其他法律行政法规禁止公开</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990"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02"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left"/>
              <w:rPr>
                <w:rFonts w:hint="eastAsia" w:ascii="宋体"/>
                <w:sz w:val="20"/>
                <w:szCs w:val="20"/>
                <w:lang w:val="en-US" w:eastAsia="zh-CN"/>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jc w:val="left"/>
              <w:rPr>
                <w:rFonts w:hint="eastAsia" w:ascii="宋体"/>
                <w:sz w:val="20"/>
                <w:szCs w:val="20"/>
                <w:lang w:val="en-US" w:eastAsia="zh-CN"/>
              </w:rPr>
            </w:pPr>
          </w:p>
        </w:tc>
        <w:tc>
          <w:tcPr>
            <w:tcW w:w="2130" w:type="dxa"/>
            <w:tcBorders>
              <w:top w:val="nil"/>
              <w:left w:val="nil"/>
              <w:bottom w:val="single" w:color="auto" w:sz="8" w:space="0"/>
              <w:right w:val="single" w:color="auto" w:sz="8" w:space="0"/>
            </w:tcBorders>
            <w:shd w:val="clear" w:color="auto" w:fill="auto"/>
            <w:tcMar>
              <w:left w:w="108" w:type="dxa"/>
              <w:right w:w="108" w:type="dxa"/>
            </w:tcMar>
            <w:vAlign w:val="center"/>
          </w:tcPr>
          <w:p>
            <w:pPr>
              <w:jc w:val="left"/>
              <w:rPr>
                <w:rFonts w:hint="eastAsia" w:ascii="宋体"/>
                <w:sz w:val="20"/>
                <w:szCs w:val="20"/>
                <w:lang w:val="en-US" w:eastAsia="zh-CN"/>
              </w:rPr>
            </w:pPr>
            <w:r>
              <w:rPr>
                <w:rFonts w:hint="eastAsia" w:ascii="宋体"/>
                <w:sz w:val="20"/>
                <w:szCs w:val="20"/>
                <w:lang w:val="en-US" w:eastAsia="zh-CN"/>
              </w:rPr>
              <w:t>3.危及“三安全一稳定”</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990"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02"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left"/>
              <w:rPr>
                <w:rFonts w:hint="eastAsia" w:ascii="宋体"/>
                <w:sz w:val="20"/>
                <w:szCs w:val="20"/>
                <w:lang w:val="en-US" w:eastAsia="zh-CN"/>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jc w:val="left"/>
              <w:rPr>
                <w:rFonts w:hint="eastAsia" w:ascii="宋体"/>
                <w:sz w:val="20"/>
                <w:szCs w:val="20"/>
                <w:lang w:val="en-US" w:eastAsia="zh-CN"/>
              </w:rPr>
            </w:pPr>
          </w:p>
        </w:tc>
        <w:tc>
          <w:tcPr>
            <w:tcW w:w="2130" w:type="dxa"/>
            <w:tcBorders>
              <w:top w:val="nil"/>
              <w:left w:val="nil"/>
              <w:bottom w:val="single" w:color="auto" w:sz="8" w:space="0"/>
              <w:right w:val="single" w:color="auto" w:sz="8" w:space="0"/>
            </w:tcBorders>
            <w:shd w:val="clear" w:color="auto" w:fill="auto"/>
            <w:tcMar>
              <w:left w:w="108" w:type="dxa"/>
              <w:right w:w="108" w:type="dxa"/>
            </w:tcMar>
            <w:vAlign w:val="center"/>
          </w:tcPr>
          <w:p>
            <w:pPr>
              <w:jc w:val="left"/>
              <w:rPr>
                <w:rFonts w:hint="eastAsia" w:ascii="宋体"/>
                <w:sz w:val="20"/>
                <w:szCs w:val="20"/>
                <w:lang w:val="en-US" w:eastAsia="zh-CN"/>
              </w:rPr>
            </w:pPr>
            <w:r>
              <w:rPr>
                <w:rFonts w:hint="eastAsia" w:ascii="宋体"/>
                <w:sz w:val="20"/>
                <w:szCs w:val="20"/>
                <w:lang w:val="en-US" w:eastAsia="zh-CN"/>
              </w:rPr>
              <w:t>4.保护第三方合法权益</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990"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02"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left"/>
              <w:rPr>
                <w:rFonts w:hint="eastAsia" w:ascii="宋体"/>
                <w:sz w:val="20"/>
                <w:szCs w:val="20"/>
                <w:lang w:val="en-US" w:eastAsia="zh-CN"/>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jc w:val="left"/>
              <w:rPr>
                <w:rFonts w:hint="eastAsia" w:ascii="宋体"/>
                <w:sz w:val="20"/>
                <w:szCs w:val="20"/>
                <w:lang w:val="en-US" w:eastAsia="zh-CN"/>
              </w:rPr>
            </w:pPr>
          </w:p>
        </w:tc>
        <w:tc>
          <w:tcPr>
            <w:tcW w:w="2130" w:type="dxa"/>
            <w:tcBorders>
              <w:top w:val="nil"/>
              <w:left w:val="nil"/>
              <w:bottom w:val="single" w:color="auto" w:sz="8" w:space="0"/>
              <w:right w:val="single" w:color="auto" w:sz="8" w:space="0"/>
            </w:tcBorders>
            <w:shd w:val="clear" w:color="auto" w:fill="auto"/>
            <w:tcMar>
              <w:left w:w="108" w:type="dxa"/>
              <w:right w:w="108" w:type="dxa"/>
            </w:tcMar>
            <w:vAlign w:val="center"/>
          </w:tcPr>
          <w:p>
            <w:pPr>
              <w:jc w:val="left"/>
              <w:rPr>
                <w:rFonts w:hint="eastAsia" w:ascii="宋体"/>
                <w:sz w:val="20"/>
                <w:szCs w:val="20"/>
                <w:lang w:val="en-US" w:eastAsia="zh-CN"/>
              </w:rPr>
            </w:pPr>
            <w:r>
              <w:rPr>
                <w:rFonts w:hint="eastAsia" w:ascii="宋体"/>
                <w:sz w:val="20"/>
                <w:szCs w:val="20"/>
                <w:lang w:val="en-US" w:eastAsia="zh-CN"/>
              </w:rPr>
              <w:t>5.属于三类内部事务信息</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990"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02"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left"/>
              <w:rPr>
                <w:rFonts w:hint="eastAsia" w:ascii="宋体"/>
                <w:sz w:val="20"/>
                <w:szCs w:val="20"/>
                <w:lang w:val="en-US" w:eastAsia="zh-CN"/>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jc w:val="left"/>
              <w:rPr>
                <w:rFonts w:hint="eastAsia" w:ascii="宋体"/>
                <w:sz w:val="20"/>
                <w:szCs w:val="20"/>
                <w:lang w:val="en-US" w:eastAsia="zh-CN"/>
              </w:rPr>
            </w:pPr>
          </w:p>
        </w:tc>
        <w:tc>
          <w:tcPr>
            <w:tcW w:w="2130" w:type="dxa"/>
            <w:tcBorders>
              <w:top w:val="nil"/>
              <w:left w:val="nil"/>
              <w:bottom w:val="single" w:color="auto" w:sz="8" w:space="0"/>
              <w:right w:val="single" w:color="auto" w:sz="8" w:space="0"/>
            </w:tcBorders>
            <w:shd w:val="clear" w:color="auto" w:fill="auto"/>
            <w:tcMar>
              <w:left w:w="108" w:type="dxa"/>
              <w:right w:w="108" w:type="dxa"/>
            </w:tcMar>
            <w:vAlign w:val="center"/>
          </w:tcPr>
          <w:p>
            <w:pPr>
              <w:jc w:val="left"/>
              <w:rPr>
                <w:rFonts w:hint="eastAsia" w:ascii="宋体"/>
                <w:sz w:val="20"/>
                <w:szCs w:val="20"/>
                <w:lang w:val="en-US" w:eastAsia="zh-CN"/>
              </w:rPr>
            </w:pPr>
            <w:r>
              <w:rPr>
                <w:rFonts w:hint="eastAsia" w:ascii="宋体"/>
                <w:sz w:val="20"/>
                <w:szCs w:val="20"/>
                <w:lang w:val="en-US" w:eastAsia="zh-CN"/>
              </w:rPr>
              <w:t>6.属于四类过程性信息</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990"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02"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left"/>
              <w:rPr>
                <w:rFonts w:hint="eastAsia" w:ascii="宋体"/>
                <w:sz w:val="20"/>
                <w:szCs w:val="20"/>
                <w:lang w:val="en-US" w:eastAsia="zh-CN"/>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jc w:val="left"/>
              <w:rPr>
                <w:rFonts w:hint="eastAsia" w:ascii="宋体"/>
                <w:sz w:val="20"/>
                <w:szCs w:val="20"/>
                <w:lang w:val="en-US" w:eastAsia="zh-CN"/>
              </w:rPr>
            </w:pPr>
          </w:p>
        </w:tc>
        <w:tc>
          <w:tcPr>
            <w:tcW w:w="2130" w:type="dxa"/>
            <w:tcBorders>
              <w:top w:val="nil"/>
              <w:left w:val="nil"/>
              <w:bottom w:val="single" w:color="auto" w:sz="8" w:space="0"/>
              <w:right w:val="single" w:color="auto" w:sz="8" w:space="0"/>
            </w:tcBorders>
            <w:shd w:val="clear" w:color="auto" w:fill="auto"/>
            <w:tcMar>
              <w:left w:w="108" w:type="dxa"/>
              <w:right w:w="108" w:type="dxa"/>
            </w:tcMar>
            <w:vAlign w:val="center"/>
          </w:tcPr>
          <w:p>
            <w:pPr>
              <w:jc w:val="left"/>
              <w:rPr>
                <w:rFonts w:hint="eastAsia" w:ascii="宋体"/>
                <w:sz w:val="20"/>
                <w:szCs w:val="20"/>
                <w:lang w:val="en-US" w:eastAsia="zh-CN"/>
              </w:rPr>
            </w:pPr>
            <w:r>
              <w:rPr>
                <w:rFonts w:hint="eastAsia" w:ascii="宋体"/>
                <w:sz w:val="20"/>
                <w:szCs w:val="20"/>
                <w:lang w:val="en-US" w:eastAsia="zh-CN"/>
              </w:rPr>
              <w:t>7.属于行政执法案卷</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990"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02"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left"/>
              <w:rPr>
                <w:rFonts w:hint="eastAsia" w:ascii="宋体"/>
                <w:sz w:val="20"/>
                <w:szCs w:val="20"/>
                <w:lang w:val="en-US" w:eastAsia="zh-CN"/>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jc w:val="left"/>
              <w:rPr>
                <w:rFonts w:hint="eastAsia" w:ascii="宋体"/>
                <w:sz w:val="20"/>
                <w:szCs w:val="20"/>
                <w:lang w:val="en-US" w:eastAsia="zh-CN"/>
              </w:rPr>
            </w:pPr>
          </w:p>
        </w:tc>
        <w:tc>
          <w:tcPr>
            <w:tcW w:w="2130" w:type="dxa"/>
            <w:tcBorders>
              <w:top w:val="nil"/>
              <w:left w:val="nil"/>
              <w:bottom w:val="single" w:color="auto" w:sz="8" w:space="0"/>
              <w:right w:val="single" w:color="auto" w:sz="8" w:space="0"/>
            </w:tcBorders>
            <w:shd w:val="clear" w:color="auto" w:fill="auto"/>
            <w:tcMar>
              <w:left w:w="108" w:type="dxa"/>
              <w:right w:w="108" w:type="dxa"/>
            </w:tcMar>
            <w:vAlign w:val="center"/>
          </w:tcPr>
          <w:p>
            <w:pPr>
              <w:jc w:val="left"/>
              <w:rPr>
                <w:rFonts w:hint="eastAsia" w:ascii="宋体"/>
                <w:sz w:val="20"/>
                <w:szCs w:val="20"/>
                <w:lang w:val="en-US" w:eastAsia="zh-CN"/>
              </w:rPr>
            </w:pPr>
            <w:r>
              <w:rPr>
                <w:rFonts w:hint="eastAsia" w:ascii="宋体"/>
                <w:sz w:val="20"/>
                <w:szCs w:val="20"/>
                <w:lang w:val="en-US" w:eastAsia="zh-CN"/>
              </w:rPr>
              <w:t>8.属于行政查询事项</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990"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02"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left"/>
              <w:rPr>
                <w:rFonts w:hint="eastAsia" w:ascii="宋体"/>
                <w:sz w:val="20"/>
                <w:szCs w:val="20"/>
                <w:lang w:val="en-US" w:eastAsia="zh-CN"/>
              </w:rPr>
            </w:pPr>
          </w:p>
        </w:tc>
        <w:tc>
          <w:tcPr>
            <w:tcW w:w="855"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jc w:val="left"/>
              <w:rPr>
                <w:rFonts w:hint="eastAsia" w:ascii="宋体"/>
                <w:sz w:val="20"/>
                <w:szCs w:val="20"/>
                <w:lang w:val="en-US" w:eastAsia="zh-CN"/>
              </w:rPr>
            </w:pPr>
            <w:r>
              <w:rPr>
                <w:rFonts w:hint="eastAsia" w:ascii="宋体"/>
                <w:sz w:val="20"/>
                <w:szCs w:val="20"/>
                <w:lang w:val="en-US" w:eastAsia="zh-CN"/>
              </w:rPr>
              <w:t>（四）无法提供</w:t>
            </w:r>
          </w:p>
        </w:tc>
        <w:tc>
          <w:tcPr>
            <w:tcW w:w="2130" w:type="dxa"/>
            <w:tcBorders>
              <w:top w:val="nil"/>
              <w:left w:val="nil"/>
              <w:bottom w:val="single" w:color="auto" w:sz="8" w:space="0"/>
              <w:right w:val="single" w:color="auto" w:sz="8" w:space="0"/>
            </w:tcBorders>
            <w:shd w:val="clear" w:color="auto" w:fill="auto"/>
            <w:tcMar>
              <w:left w:w="108" w:type="dxa"/>
              <w:right w:w="108" w:type="dxa"/>
            </w:tcMar>
            <w:vAlign w:val="center"/>
          </w:tcPr>
          <w:p>
            <w:pPr>
              <w:jc w:val="left"/>
              <w:rPr>
                <w:rFonts w:hint="eastAsia" w:ascii="宋体"/>
                <w:sz w:val="20"/>
                <w:szCs w:val="20"/>
                <w:lang w:val="en-US" w:eastAsia="zh-CN"/>
              </w:rPr>
            </w:pPr>
            <w:r>
              <w:rPr>
                <w:rFonts w:hint="eastAsia" w:ascii="宋体"/>
                <w:sz w:val="20"/>
                <w:szCs w:val="20"/>
                <w:lang w:val="en-US" w:eastAsia="zh-CN"/>
              </w:rPr>
              <w:t>1.本机关不掌握相关政府信息</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990"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02"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left"/>
              <w:rPr>
                <w:rFonts w:hint="eastAsia" w:ascii="宋体"/>
                <w:sz w:val="20"/>
                <w:szCs w:val="20"/>
                <w:lang w:val="en-US" w:eastAsia="zh-CN"/>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jc w:val="left"/>
              <w:rPr>
                <w:rFonts w:hint="eastAsia" w:ascii="宋体"/>
                <w:sz w:val="20"/>
                <w:szCs w:val="20"/>
                <w:lang w:val="en-US" w:eastAsia="zh-CN"/>
              </w:rPr>
            </w:pPr>
          </w:p>
        </w:tc>
        <w:tc>
          <w:tcPr>
            <w:tcW w:w="2130" w:type="dxa"/>
            <w:tcBorders>
              <w:top w:val="nil"/>
              <w:left w:val="nil"/>
              <w:bottom w:val="single" w:color="auto" w:sz="8" w:space="0"/>
              <w:right w:val="single" w:color="auto" w:sz="8" w:space="0"/>
            </w:tcBorders>
            <w:shd w:val="clear" w:color="auto" w:fill="auto"/>
            <w:tcMar>
              <w:left w:w="108" w:type="dxa"/>
              <w:right w:w="108" w:type="dxa"/>
            </w:tcMar>
            <w:vAlign w:val="center"/>
          </w:tcPr>
          <w:p>
            <w:pPr>
              <w:jc w:val="left"/>
              <w:rPr>
                <w:rFonts w:hint="eastAsia" w:ascii="宋体"/>
                <w:sz w:val="20"/>
                <w:szCs w:val="20"/>
                <w:lang w:val="en-US" w:eastAsia="zh-CN"/>
              </w:rPr>
            </w:pPr>
            <w:r>
              <w:rPr>
                <w:rFonts w:hint="eastAsia" w:ascii="宋体"/>
                <w:sz w:val="20"/>
                <w:szCs w:val="20"/>
                <w:lang w:val="en-US" w:eastAsia="zh-CN"/>
              </w:rPr>
              <w:t>2.没有现成信息需要另行制作</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990"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02"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left"/>
              <w:rPr>
                <w:rFonts w:hint="eastAsia" w:ascii="宋体"/>
                <w:sz w:val="20"/>
                <w:szCs w:val="20"/>
                <w:lang w:val="en-US" w:eastAsia="zh-CN"/>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jc w:val="left"/>
              <w:rPr>
                <w:rFonts w:hint="eastAsia" w:ascii="宋体"/>
                <w:sz w:val="20"/>
                <w:szCs w:val="20"/>
                <w:lang w:val="en-US" w:eastAsia="zh-CN"/>
              </w:rPr>
            </w:pPr>
          </w:p>
        </w:tc>
        <w:tc>
          <w:tcPr>
            <w:tcW w:w="2130" w:type="dxa"/>
            <w:tcBorders>
              <w:top w:val="nil"/>
              <w:left w:val="nil"/>
              <w:bottom w:val="single" w:color="auto" w:sz="8" w:space="0"/>
              <w:right w:val="single" w:color="auto" w:sz="8" w:space="0"/>
            </w:tcBorders>
            <w:shd w:val="clear" w:color="auto" w:fill="auto"/>
            <w:tcMar>
              <w:left w:w="108" w:type="dxa"/>
              <w:right w:w="108" w:type="dxa"/>
            </w:tcMar>
            <w:vAlign w:val="center"/>
          </w:tcPr>
          <w:p>
            <w:pPr>
              <w:jc w:val="left"/>
              <w:rPr>
                <w:rFonts w:hint="eastAsia" w:ascii="宋体"/>
                <w:sz w:val="20"/>
                <w:szCs w:val="20"/>
                <w:lang w:val="en-US" w:eastAsia="zh-CN"/>
              </w:rPr>
            </w:pPr>
            <w:r>
              <w:rPr>
                <w:rFonts w:hint="eastAsia" w:ascii="宋体"/>
                <w:sz w:val="20"/>
                <w:szCs w:val="20"/>
                <w:lang w:val="en-US" w:eastAsia="zh-CN"/>
              </w:rPr>
              <w:t>3.补正后申请内容仍不明确</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990"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02"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left"/>
              <w:rPr>
                <w:rFonts w:hint="eastAsia" w:ascii="宋体"/>
                <w:sz w:val="20"/>
                <w:szCs w:val="20"/>
                <w:lang w:val="en-US" w:eastAsia="zh-CN"/>
              </w:rPr>
            </w:pPr>
          </w:p>
        </w:tc>
        <w:tc>
          <w:tcPr>
            <w:tcW w:w="855"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jc w:val="left"/>
              <w:rPr>
                <w:rFonts w:hint="eastAsia" w:ascii="宋体"/>
                <w:sz w:val="20"/>
                <w:szCs w:val="20"/>
                <w:lang w:val="en-US" w:eastAsia="zh-CN"/>
              </w:rPr>
            </w:pPr>
            <w:r>
              <w:rPr>
                <w:rFonts w:hint="eastAsia" w:ascii="宋体"/>
                <w:sz w:val="20"/>
                <w:szCs w:val="20"/>
                <w:lang w:val="en-US" w:eastAsia="zh-CN"/>
              </w:rPr>
              <w:t>（五）不予处理</w:t>
            </w:r>
          </w:p>
        </w:tc>
        <w:tc>
          <w:tcPr>
            <w:tcW w:w="2130" w:type="dxa"/>
            <w:tcBorders>
              <w:top w:val="nil"/>
              <w:left w:val="nil"/>
              <w:bottom w:val="single" w:color="auto" w:sz="8" w:space="0"/>
              <w:right w:val="single" w:color="auto" w:sz="8" w:space="0"/>
            </w:tcBorders>
            <w:shd w:val="clear" w:color="auto" w:fill="auto"/>
            <w:tcMar>
              <w:left w:w="108" w:type="dxa"/>
              <w:right w:w="108" w:type="dxa"/>
            </w:tcMar>
            <w:vAlign w:val="center"/>
          </w:tcPr>
          <w:p>
            <w:pPr>
              <w:jc w:val="left"/>
              <w:rPr>
                <w:rFonts w:hint="eastAsia" w:ascii="宋体"/>
                <w:sz w:val="20"/>
                <w:szCs w:val="20"/>
                <w:lang w:val="en-US" w:eastAsia="zh-CN"/>
              </w:rPr>
            </w:pPr>
            <w:r>
              <w:rPr>
                <w:rFonts w:hint="eastAsia" w:ascii="宋体"/>
                <w:sz w:val="20"/>
                <w:szCs w:val="20"/>
                <w:lang w:val="en-US" w:eastAsia="zh-CN"/>
              </w:rPr>
              <w:t>1.信访举报投诉类申请</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990"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02"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left"/>
              <w:rPr>
                <w:rFonts w:hint="eastAsia" w:ascii="宋体"/>
                <w:sz w:val="20"/>
                <w:szCs w:val="20"/>
                <w:lang w:val="en-US" w:eastAsia="zh-CN"/>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jc w:val="left"/>
              <w:rPr>
                <w:rFonts w:hint="eastAsia" w:ascii="宋体"/>
                <w:sz w:val="20"/>
                <w:szCs w:val="20"/>
                <w:lang w:val="en-US" w:eastAsia="zh-CN"/>
              </w:rPr>
            </w:pPr>
          </w:p>
        </w:tc>
        <w:tc>
          <w:tcPr>
            <w:tcW w:w="2130" w:type="dxa"/>
            <w:tcBorders>
              <w:top w:val="nil"/>
              <w:left w:val="nil"/>
              <w:bottom w:val="single" w:color="auto" w:sz="8" w:space="0"/>
              <w:right w:val="single" w:color="auto" w:sz="8" w:space="0"/>
            </w:tcBorders>
            <w:shd w:val="clear" w:color="auto" w:fill="auto"/>
            <w:tcMar>
              <w:left w:w="108" w:type="dxa"/>
              <w:right w:w="108" w:type="dxa"/>
            </w:tcMar>
            <w:vAlign w:val="center"/>
          </w:tcPr>
          <w:p>
            <w:pPr>
              <w:jc w:val="left"/>
              <w:rPr>
                <w:rFonts w:hint="eastAsia" w:ascii="宋体"/>
                <w:sz w:val="20"/>
                <w:szCs w:val="20"/>
                <w:lang w:val="en-US" w:eastAsia="zh-CN"/>
              </w:rPr>
            </w:pPr>
            <w:r>
              <w:rPr>
                <w:rFonts w:hint="eastAsia" w:ascii="宋体"/>
                <w:sz w:val="20"/>
                <w:szCs w:val="20"/>
                <w:lang w:val="en-US" w:eastAsia="zh-CN"/>
              </w:rPr>
              <w:t>2.重复申请</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990"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02"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left"/>
              <w:rPr>
                <w:rFonts w:hint="eastAsia" w:ascii="宋体"/>
                <w:sz w:val="20"/>
                <w:szCs w:val="20"/>
                <w:lang w:val="en-US" w:eastAsia="zh-CN"/>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jc w:val="left"/>
              <w:rPr>
                <w:rFonts w:hint="eastAsia" w:ascii="宋体"/>
                <w:sz w:val="20"/>
                <w:szCs w:val="20"/>
                <w:lang w:val="en-US" w:eastAsia="zh-CN"/>
              </w:rPr>
            </w:pPr>
          </w:p>
        </w:tc>
        <w:tc>
          <w:tcPr>
            <w:tcW w:w="2130" w:type="dxa"/>
            <w:tcBorders>
              <w:top w:val="nil"/>
              <w:left w:val="nil"/>
              <w:bottom w:val="single" w:color="auto" w:sz="8" w:space="0"/>
              <w:right w:val="single" w:color="auto" w:sz="8" w:space="0"/>
            </w:tcBorders>
            <w:shd w:val="clear" w:color="auto" w:fill="auto"/>
            <w:tcMar>
              <w:left w:w="108" w:type="dxa"/>
              <w:right w:w="108" w:type="dxa"/>
            </w:tcMar>
            <w:vAlign w:val="center"/>
          </w:tcPr>
          <w:p>
            <w:pPr>
              <w:jc w:val="left"/>
              <w:rPr>
                <w:rFonts w:hint="eastAsia" w:ascii="宋体"/>
                <w:sz w:val="20"/>
                <w:szCs w:val="20"/>
                <w:lang w:val="en-US" w:eastAsia="zh-CN"/>
              </w:rPr>
            </w:pPr>
            <w:r>
              <w:rPr>
                <w:rFonts w:hint="eastAsia" w:ascii="宋体"/>
                <w:sz w:val="20"/>
                <w:szCs w:val="20"/>
                <w:lang w:val="en-US" w:eastAsia="zh-CN"/>
              </w:rPr>
              <w:t>3.要求提供公开出版物</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990"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02"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left"/>
              <w:rPr>
                <w:rFonts w:hint="eastAsia" w:ascii="宋体"/>
                <w:sz w:val="20"/>
                <w:szCs w:val="20"/>
                <w:lang w:val="en-US" w:eastAsia="zh-CN"/>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jc w:val="left"/>
              <w:rPr>
                <w:rFonts w:hint="eastAsia" w:ascii="宋体"/>
                <w:sz w:val="20"/>
                <w:szCs w:val="20"/>
                <w:lang w:val="en-US" w:eastAsia="zh-CN"/>
              </w:rPr>
            </w:pPr>
          </w:p>
        </w:tc>
        <w:tc>
          <w:tcPr>
            <w:tcW w:w="2130" w:type="dxa"/>
            <w:tcBorders>
              <w:top w:val="nil"/>
              <w:left w:val="nil"/>
              <w:bottom w:val="single" w:color="auto" w:sz="8" w:space="0"/>
              <w:right w:val="single" w:color="auto" w:sz="8" w:space="0"/>
            </w:tcBorders>
            <w:shd w:val="clear" w:color="auto" w:fill="auto"/>
            <w:tcMar>
              <w:left w:w="108" w:type="dxa"/>
              <w:right w:w="108" w:type="dxa"/>
            </w:tcMar>
            <w:vAlign w:val="center"/>
          </w:tcPr>
          <w:p>
            <w:pPr>
              <w:jc w:val="left"/>
              <w:rPr>
                <w:rFonts w:hint="eastAsia" w:ascii="宋体"/>
                <w:sz w:val="20"/>
                <w:szCs w:val="20"/>
                <w:lang w:val="en-US" w:eastAsia="zh-CN"/>
              </w:rPr>
            </w:pPr>
            <w:r>
              <w:rPr>
                <w:rFonts w:hint="eastAsia" w:ascii="宋体"/>
                <w:sz w:val="20"/>
                <w:szCs w:val="20"/>
                <w:lang w:val="en-US" w:eastAsia="zh-CN"/>
              </w:rPr>
              <w:t>4.无正当理由大量反复申请</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990"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02"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left"/>
              <w:rPr>
                <w:rFonts w:hint="eastAsia" w:ascii="宋体"/>
                <w:sz w:val="20"/>
                <w:szCs w:val="20"/>
                <w:lang w:val="en-US" w:eastAsia="zh-CN"/>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jc w:val="left"/>
              <w:rPr>
                <w:rFonts w:hint="eastAsia" w:ascii="宋体"/>
                <w:sz w:val="20"/>
                <w:szCs w:val="20"/>
                <w:lang w:val="en-US" w:eastAsia="zh-CN"/>
              </w:rPr>
            </w:pPr>
          </w:p>
        </w:tc>
        <w:tc>
          <w:tcPr>
            <w:tcW w:w="2130" w:type="dxa"/>
            <w:tcBorders>
              <w:top w:val="nil"/>
              <w:left w:val="nil"/>
              <w:bottom w:val="single" w:color="auto" w:sz="8" w:space="0"/>
              <w:right w:val="single" w:color="auto" w:sz="8" w:space="0"/>
            </w:tcBorders>
            <w:shd w:val="clear" w:color="auto" w:fill="auto"/>
            <w:tcMar>
              <w:left w:w="108" w:type="dxa"/>
              <w:right w:w="108" w:type="dxa"/>
            </w:tcMar>
            <w:vAlign w:val="center"/>
          </w:tcPr>
          <w:p>
            <w:pPr>
              <w:jc w:val="left"/>
              <w:rPr>
                <w:rFonts w:hint="eastAsia" w:ascii="宋体"/>
                <w:sz w:val="20"/>
                <w:szCs w:val="20"/>
                <w:lang w:val="en-US" w:eastAsia="zh-CN"/>
              </w:rPr>
            </w:pPr>
            <w:r>
              <w:rPr>
                <w:rFonts w:hint="eastAsia" w:ascii="宋体"/>
                <w:sz w:val="20"/>
                <w:szCs w:val="20"/>
                <w:lang w:val="en-US" w:eastAsia="zh-CN"/>
              </w:rPr>
              <w:t>5.要求行政机关确认或重新出具已获取信息</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990"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02"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left"/>
              <w:rPr>
                <w:rFonts w:hint="eastAsia" w:ascii="宋体"/>
                <w:sz w:val="20"/>
                <w:szCs w:val="20"/>
                <w:lang w:val="en-US" w:eastAsia="zh-CN"/>
              </w:rPr>
            </w:pPr>
          </w:p>
        </w:tc>
        <w:tc>
          <w:tcPr>
            <w:tcW w:w="2985"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jc w:val="left"/>
              <w:rPr>
                <w:rFonts w:hint="eastAsia" w:ascii="宋体"/>
                <w:sz w:val="20"/>
                <w:szCs w:val="20"/>
                <w:lang w:val="en-US" w:eastAsia="zh-CN"/>
              </w:rPr>
            </w:pPr>
            <w:r>
              <w:rPr>
                <w:rFonts w:hint="eastAsia" w:ascii="宋体"/>
                <w:sz w:val="20"/>
                <w:szCs w:val="20"/>
                <w:lang w:val="en-US" w:eastAsia="zh-CN"/>
              </w:rPr>
              <w:t>（六）其他处理</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990"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02"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left"/>
              <w:rPr>
                <w:rFonts w:hint="eastAsia" w:ascii="宋体"/>
                <w:sz w:val="20"/>
                <w:szCs w:val="20"/>
                <w:lang w:val="en-US" w:eastAsia="zh-CN"/>
              </w:rPr>
            </w:pPr>
          </w:p>
        </w:tc>
        <w:tc>
          <w:tcPr>
            <w:tcW w:w="2985"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jc w:val="left"/>
              <w:rPr>
                <w:rFonts w:hint="eastAsia" w:ascii="宋体"/>
                <w:sz w:val="20"/>
                <w:szCs w:val="20"/>
                <w:lang w:val="en-US" w:eastAsia="zh-CN"/>
              </w:rPr>
            </w:pPr>
            <w:r>
              <w:rPr>
                <w:rFonts w:hint="eastAsia" w:ascii="宋体"/>
                <w:sz w:val="20"/>
                <w:szCs w:val="20"/>
                <w:lang w:val="en-US" w:eastAsia="zh-CN"/>
              </w:rPr>
              <w:t>（七）总计</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990"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02"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3479"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left"/>
              <w:rPr>
                <w:rFonts w:hint="eastAsia" w:ascii="宋体"/>
                <w:sz w:val="20"/>
                <w:szCs w:val="20"/>
                <w:lang w:val="en-US" w:eastAsia="zh-CN"/>
              </w:rPr>
            </w:pPr>
            <w:r>
              <w:rPr>
                <w:rFonts w:hint="eastAsia" w:ascii="宋体"/>
                <w:sz w:val="20"/>
                <w:szCs w:val="20"/>
                <w:lang w:val="en-US" w:eastAsia="zh-CN"/>
              </w:rPr>
              <w:t>四、结转下年度继续办理</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990"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02"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r>
    </w:tbl>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78" w:lineRule="exact"/>
        <w:ind w:left="0" w:right="0" w:firstLine="640" w:firstLineChars="200"/>
        <w:textAlignment w:val="auto"/>
        <w:rPr>
          <w:rFonts w:hint="default" w:ascii="仿宋_GB2312" w:hAnsi="仿宋_GB2312" w:eastAsia="仿宋_GB2312" w:cs="仿宋_GB2312"/>
          <w:i w:val="0"/>
          <w:caps w:val="0"/>
          <w:color w:val="000000"/>
          <w:spacing w:val="0"/>
          <w:sz w:val="32"/>
          <w:szCs w:val="32"/>
          <w:lang w:val="en-US" w:eastAsia="zh-CN"/>
        </w:rPr>
      </w:pPr>
      <w:r>
        <w:rPr>
          <w:rFonts w:hint="eastAsia" w:ascii="仿宋_GB2312" w:hAnsi="仿宋_GB2312" w:eastAsia="仿宋_GB2312" w:cs="仿宋_GB2312"/>
          <w:i w:val="0"/>
          <w:caps w:val="0"/>
          <w:color w:val="000000"/>
          <w:spacing w:val="0"/>
          <w:sz w:val="32"/>
          <w:szCs w:val="32"/>
          <w:lang w:val="en-US" w:eastAsia="zh-CN"/>
        </w:rPr>
        <w:t>2019年未收到政府信息公开申请。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黑体" w:hAnsi="黑体" w:eastAsia="黑体" w:cs="黑体"/>
          <w:b w:val="0"/>
          <w:bCs/>
          <w:i w:val="0"/>
          <w:caps w:val="0"/>
          <w:color w:val="333333"/>
          <w:spacing w:val="0"/>
          <w:sz w:val="32"/>
          <w:szCs w:val="32"/>
          <w:shd w:val="clear" w:fill="FFFFFF"/>
        </w:rPr>
      </w:pPr>
      <w:r>
        <w:rPr>
          <w:rFonts w:hint="eastAsia" w:ascii="黑体" w:hAnsi="黑体" w:eastAsia="黑体" w:cs="黑体"/>
          <w:b w:val="0"/>
          <w:bCs/>
          <w:i w:val="0"/>
          <w:caps w:val="0"/>
          <w:color w:val="333333"/>
          <w:spacing w:val="0"/>
          <w:sz w:val="32"/>
          <w:szCs w:val="32"/>
          <w:shd w:val="clear" w:fill="FFFFFF"/>
        </w:rPr>
        <w:t>四、政府信息公开行政复议、行政诉讼情况</w:t>
      </w:r>
    </w:p>
    <w:tbl>
      <w:tblPr>
        <w:tblStyle w:val="3"/>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行政复议</w:t>
            </w:r>
          </w:p>
        </w:tc>
        <w:tc>
          <w:tcPr>
            <w:tcW w:w="5997" w:type="dxa"/>
            <w:gridSpan w:val="10"/>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结果维持</w:t>
            </w:r>
          </w:p>
        </w:tc>
        <w:tc>
          <w:tcPr>
            <w:tcW w:w="60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结果纠正</w:t>
            </w:r>
          </w:p>
        </w:tc>
        <w:tc>
          <w:tcPr>
            <w:tcW w:w="604"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其他结果</w:t>
            </w:r>
          </w:p>
        </w:tc>
        <w:tc>
          <w:tcPr>
            <w:tcW w:w="604"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尚未审结</w:t>
            </w:r>
          </w:p>
        </w:tc>
        <w:tc>
          <w:tcPr>
            <w:tcW w:w="658"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总计</w:t>
            </w:r>
          </w:p>
        </w:tc>
        <w:tc>
          <w:tcPr>
            <w:tcW w:w="2970"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未经复议直接起诉</w:t>
            </w:r>
          </w:p>
        </w:tc>
        <w:tc>
          <w:tcPr>
            <w:tcW w:w="3027"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p>
        </w:tc>
        <w:tc>
          <w:tcPr>
            <w:tcW w:w="60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p>
        </w:tc>
        <w:tc>
          <w:tcPr>
            <w:tcW w:w="604"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p>
        </w:tc>
        <w:tc>
          <w:tcPr>
            <w:tcW w:w="604"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p>
        </w:tc>
        <w:tc>
          <w:tcPr>
            <w:tcW w:w="658"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p>
        </w:tc>
        <w:tc>
          <w:tcPr>
            <w:tcW w:w="550"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结果维持</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结果纠正</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其他结果</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尚未审结</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总计</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结果维持</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结果纠正</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其他结果</w:t>
            </w:r>
          </w:p>
        </w:tc>
        <w:tc>
          <w:tcPr>
            <w:tcW w:w="60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尚未审结</w:t>
            </w:r>
          </w:p>
        </w:tc>
        <w:tc>
          <w:tcPr>
            <w:tcW w:w="60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center"/>
              <w:rPr>
                <w:rFonts w:hint="default" w:ascii="宋体"/>
                <w:sz w:val="20"/>
                <w:szCs w:val="20"/>
                <w:lang w:val="en-US" w:eastAsia="zh-CN"/>
              </w:rPr>
            </w:pPr>
            <w:r>
              <w:rPr>
                <w:rFonts w:hint="default" w:ascii="宋体"/>
                <w:sz w:val="20"/>
                <w:szCs w:val="20"/>
                <w:lang w:val="en-US" w:eastAsia="zh-CN"/>
              </w:rPr>
              <w:t> </w:t>
            </w:r>
            <w:r>
              <w:rPr>
                <w:rFonts w:hint="eastAsia" w:ascii="宋体"/>
                <w:sz w:val="20"/>
                <w:szCs w:val="20"/>
                <w:lang w:val="en-US" w:eastAsia="zh-CN"/>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default" w:ascii="宋体"/>
                <w:sz w:val="20"/>
                <w:szCs w:val="20"/>
                <w:lang w:val="en-US" w:eastAsia="zh-CN"/>
              </w:rPr>
              <w:t> </w:t>
            </w:r>
            <w:r>
              <w:rPr>
                <w:rFonts w:hint="eastAsia" w:ascii="宋体"/>
                <w:sz w:val="20"/>
                <w:szCs w:val="20"/>
                <w:lang w:val="en-US" w:eastAsia="zh-CN"/>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default" w:ascii="宋体"/>
                <w:sz w:val="20"/>
                <w:szCs w:val="20"/>
                <w:lang w:val="en-US" w:eastAsia="zh-CN"/>
              </w:rPr>
              <w:t> </w:t>
            </w:r>
            <w:r>
              <w:rPr>
                <w:rFonts w:hint="eastAsia" w:ascii="宋体"/>
                <w:sz w:val="20"/>
                <w:szCs w:val="20"/>
                <w:lang w:val="en-US" w:eastAsia="zh-CN"/>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default" w:ascii="宋体"/>
                <w:sz w:val="20"/>
                <w:szCs w:val="20"/>
                <w:lang w:val="en-US" w:eastAsia="zh-CN"/>
              </w:rPr>
              <w:t> </w:t>
            </w:r>
            <w:r>
              <w:rPr>
                <w:rFonts w:hint="eastAsia" w:ascii="宋体"/>
                <w:sz w:val="20"/>
                <w:szCs w:val="20"/>
                <w:lang w:val="en-US" w:eastAsia="zh-CN"/>
              </w:rPr>
              <w:t>0</w:t>
            </w:r>
          </w:p>
        </w:tc>
        <w:tc>
          <w:tcPr>
            <w:tcW w:w="658"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default" w:ascii="宋体"/>
                <w:sz w:val="20"/>
                <w:szCs w:val="20"/>
                <w:lang w:val="en-US" w:eastAsia="zh-CN"/>
              </w:rPr>
              <w:t> </w:t>
            </w:r>
            <w:r>
              <w:rPr>
                <w:rFonts w:hint="eastAsia" w:ascii="宋体"/>
                <w:sz w:val="20"/>
                <w:szCs w:val="20"/>
                <w:lang w:val="en-US" w:eastAsia="zh-CN"/>
              </w:rPr>
              <w:t>0</w:t>
            </w:r>
          </w:p>
        </w:tc>
        <w:tc>
          <w:tcPr>
            <w:tcW w:w="550"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default" w:ascii="宋体"/>
                <w:sz w:val="20"/>
                <w:szCs w:val="20"/>
                <w:lang w:val="en-US" w:eastAsia="zh-CN"/>
              </w:rPr>
              <w:t> </w:t>
            </w:r>
            <w:r>
              <w:rPr>
                <w:rFonts w:hint="eastAsia" w:ascii="宋体"/>
                <w:sz w:val="20"/>
                <w:szCs w:val="20"/>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default" w:ascii="宋体"/>
                <w:sz w:val="20"/>
                <w:szCs w:val="20"/>
                <w:lang w:val="en-US" w:eastAsia="zh-CN"/>
              </w:rPr>
              <w:t> </w:t>
            </w:r>
            <w:r>
              <w:rPr>
                <w:rFonts w:hint="eastAsia" w:ascii="宋体"/>
                <w:sz w:val="20"/>
                <w:szCs w:val="20"/>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default" w:ascii="宋体"/>
                <w:sz w:val="20"/>
                <w:szCs w:val="20"/>
                <w:lang w:val="en-US" w:eastAsia="zh-CN"/>
              </w:rPr>
              <w:t> </w:t>
            </w:r>
            <w:r>
              <w:rPr>
                <w:rFonts w:hint="eastAsia" w:ascii="宋体"/>
                <w:sz w:val="20"/>
                <w:szCs w:val="20"/>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default" w:ascii="宋体"/>
                <w:sz w:val="20"/>
                <w:szCs w:val="20"/>
                <w:lang w:val="en-US" w:eastAsia="zh-CN"/>
              </w:rPr>
              <w:t> </w:t>
            </w:r>
            <w:r>
              <w:rPr>
                <w:rFonts w:hint="eastAsia" w:ascii="宋体"/>
                <w:sz w:val="20"/>
                <w:szCs w:val="20"/>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default" w:ascii="宋体"/>
                <w:sz w:val="20"/>
                <w:szCs w:val="20"/>
                <w:lang w:val="en-US" w:eastAsia="zh-CN"/>
              </w:rPr>
              <w:t> </w:t>
            </w:r>
            <w:r>
              <w:rPr>
                <w:rFonts w:hint="eastAsia" w:ascii="宋体"/>
                <w:sz w:val="20"/>
                <w:szCs w:val="20"/>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default" w:ascii="宋体"/>
                <w:sz w:val="20"/>
                <w:szCs w:val="20"/>
                <w:lang w:val="en-US" w:eastAsia="zh-CN"/>
              </w:rPr>
              <w:t> </w:t>
            </w:r>
            <w:r>
              <w:rPr>
                <w:rFonts w:hint="eastAsia" w:ascii="宋体"/>
                <w:sz w:val="20"/>
                <w:szCs w:val="20"/>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default" w:ascii="宋体"/>
                <w:sz w:val="20"/>
                <w:szCs w:val="20"/>
                <w:lang w:val="en-US" w:eastAsia="zh-CN"/>
              </w:rPr>
              <w:t> </w:t>
            </w:r>
            <w:r>
              <w:rPr>
                <w:rFonts w:hint="eastAsia" w:ascii="宋体"/>
                <w:sz w:val="20"/>
                <w:szCs w:val="20"/>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default" w:ascii="宋体"/>
                <w:sz w:val="20"/>
                <w:szCs w:val="20"/>
                <w:lang w:val="en-US" w:eastAsia="zh-CN"/>
              </w:rPr>
              <w:t> </w:t>
            </w:r>
            <w:r>
              <w:rPr>
                <w:rFonts w:hint="eastAsia" w:ascii="宋体"/>
                <w:sz w:val="20"/>
                <w:szCs w:val="20"/>
                <w:lang w:val="en-US" w:eastAsia="zh-CN"/>
              </w:rPr>
              <w:t>0</w:t>
            </w:r>
          </w:p>
        </w:tc>
        <w:tc>
          <w:tcPr>
            <w:tcW w:w="606"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default" w:ascii="宋体"/>
                <w:sz w:val="20"/>
                <w:szCs w:val="20"/>
                <w:lang w:val="en-US" w:eastAsia="zh-CN"/>
              </w:rPr>
              <w:t> </w:t>
            </w:r>
            <w:r>
              <w:rPr>
                <w:rFonts w:hint="eastAsia" w:ascii="宋体"/>
                <w:sz w:val="20"/>
                <w:szCs w:val="20"/>
                <w:lang w:val="en-US" w:eastAsia="zh-CN"/>
              </w:rPr>
              <w:t>0</w:t>
            </w:r>
          </w:p>
        </w:tc>
        <w:tc>
          <w:tcPr>
            <w:tcW w:w="606"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default" w:ascii="宋体"/>
                <w:sz w:val="20"/>
                <w:szCs w:val="20"/>
                <w:lang w:val="en-US" w:eastAsia="zh-CN"/>
              </w:rPr>
              <w:t> </w:t>
            </w:r>
            <w:r>
              <w:rPr>
                <w:rFonts w:hint="eastAsia" w:ascii="宋体"/>
                <w:sz w:val="20"/>
                <w:szCs w:val="20"/>
                <w:lang w:val="en-US" w:eastAsia="zh-CN"/>
              </w:rPr>
              <w:t>0</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left"/>
        <w:rPr>
          <w:rFonts w:hint="default" w:ascii="宋体" w:hAnsi="宋体" w:eastAsia="黑体" w:cs="宋体"/>
          <w:i w:val="0"/>
          <w:caps w:val="0"/>
          <w:color w:val="333333"/>
          <w:spacing w:val="0"/>
          <w:sz w:val="24"/>
          <w:szCs w:val="24"/>
          <w:lang w:val="en-US" w:eastAsia="zh-CN"/>
        </w:rPr>
      </w:pPr>
      <w:r>
        <w:rPr>
          <w:rFonts w:hint="eastAsia" w:ascii="仿宋_GB2312" w:hAnsi="仿宋_GB2312" w:eastAsia="仿宋_GB2312" w:cs="仿宋_GB2312"/>
          <w:i w:val="0"/>
          <w:caps w:val="0"/>
          <w:color w:val="000000"/>
          <w:spacing w:val="0"/>
          <w:kern w:val="0"/>
          <w:sz w:val="32"/>
          <w:szCs w:val="32"/>
          <w:lang w:val="en-US" w:eastAsia="zh-CN" w:bidi="ar"/>
        </w:rPr>
        <w:t>2019年未收到行政复议、行政诉讼申请。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黑体" w:hAnsi="黑体" w:eastAsia="黑体" w:cs="黑体"/>
          <w:b w:val="0"/>
          <w:bCs/>
          <w:i w:val="0"/>
          <w:caps w:val="0"/>
          <w:color w:val="333333"/>
          <w:spacing w:val="0"/>
          <w:sz w:val="32"/>
          <w:szCs w:val="32"/>
          <w:shd w:val="clear" w:fill="FFFFFF"/>
        </w:rPr>
      </w:pPr>
      <w:r>
        <w:rPr>
          <w:rFonts w:hint="eastAsia" w:ascii="黑体" w:hAnsi="黑体" w:eastAsia="黑体" w:cs="黑体"/>
          <w:b w:val="0"/>
          <w:bCs/>
          <w:i w:val="0"/>
          <w:caps w:val="0"/>
          <w:color w:val="333333"/>
          <w:spacing w:val="0"/>
          <w:sz w:val="32"/>
          <w:szCs w:val="32"/>
          <w:shd w:val="clear" w:fill="FFFFFF"/>
        </w:rPr>
        <w:t>五、存在的主要问题及改进情况</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78" w:lineRule="exact"/>
        <w:ind w:left="0" w:right="0" w:firstLine="640" w:firstLineChars="20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2019年，全镇政府信息公开工作取得了一定成绩，但与中央和上级的部署要求相比，还存在一些差距：一是</w:t>
      </w:r>
      <w:r>
        <w:rPr>
          <w:rFonts w:hint="eastAsia" w:ascii="仿宋_GB2312" w:hAnsi="仿宋_GB2312" w:eastAsia="仿宋_GB2312" w:cs="仿宋_GB2312"/>
          <w:i w:val="0"/>
          <w:caps w:val="0"/>
          <w:color w:val="000000"/>
          <w:spacing w:val="0"/>
          <w:sz w:val="32"/>
          <w:szCs w:val="32"/>
          <w:lang w:eastAsia="zh-CN"/>
        </w:rPr>
        <w:t>工作人员工作能力有待提高</w:t>
      </w:r>
      <w:r>
        <w:rPr>
          <w:rFonts w:hint="eastAsia" w:ascii="仿宋_GB2312" w:hAnsi="仿宋_GB2312" w:eastAsia="仿宋_GB2312" w:cs="仿宋_GB2312"/>
          <w:i w:val="0"/>
          <w:caps w:val="0"/>
          <w:color w:val="000000"/>
          <w:spacing w:val="0"/>
          <w:sz w:val="32"/>
          <w:szCs w:val="32"/>
        </w:rPr>
        <w:t>；二是</w:t>
      </w:r>
      <w:r>
        <w:rPr>
          <w:rFonts w:hint="eastAsia" w:ascii="仿宋_GB2312" w:hAnsi="仿宋_GB2312" w:eastAsia="仿宋_GB2312" w:cs="仿宋_GB2312"/>
          <w:i w:val="0"/>
          <w:caps w:val="0"/>
          <w:color w:val="000000"/>
          <w:spacing w:val="0"/>
          <w:sz w:val="32"/>
          <w:szCs w:val="32"/>
          <w:lang w:eastAsia="zh-CN"/>
        </w:rPr>
        <w:t>信息公开的内容较为单薄</w:t>
      </w:r>
      <w:r>
        <w:rPr>
          <w:rFonts w:hint="eastAsia" w:ascii="仿宋_GB2312" w:hAnsi="仿宋_GB2312" w:eastAsia="仿宋_GB2312" w:cs="仿宋_GB2312"/>
          <w:i w:val="0"/>
          <w:caps w:val="0"/>
          <w:color w:val="000000"/>
          <w:spacing w:val="0"/>
          <w:sz w:val="32"/>
          <w:szCs w:val="32"/>
        </w:rPr>
        <w:t>；三是</w:t>
      </w:r>
      <w:r>
        <w:rPr>
          <w:rFonts w:hint="eastAsia" w:ascii="仿宋_GB2312" w:hAnsi="仿宋_GB2312" w:eastAsia="仿宋_GB2312" w:cs="仿宋_GB2312"/>
          <w:i w:val="0"/>
          <w:caps w:val="0"/>
          <w:color w:val="000000"/>
          <w:spacing w:val="0"/>
          <w:sz w:val="32"/>
          <w:szCs w:val="32"/>
          <w:lang w:eastAsia="zh-CN"/>
        </w:rPr>
        <w:t>信息公开力度不够</w:t>
      </w:r>
      <w:r>
        <w:rPr>
          <w:rFonts w:hint="eastAsia" w:ascii="仿宋_GB2312" w:hAnsi="仿宋_GB2312" w:eastAsia="仿宋_GB2312" w:cs="仿宋_GB2312"/>
          <w:i w:val="0"/>
          <w:caps w:val="0"/>
          <w:color w:val="000000"/>
          <w:spacing w:val="0"/>
          <w:sz w:val="32"/>
          <w:szCs w:val="32"/>
        </w:rPr>
        <w:t>。2020年我镇主要从以下方面加以解决。</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78" w:lineRule="exact"/>
        <w:ind w:left="0" w:right="0" w:firstLine="640" w:firstLineChars="200"/>
        <w:textAlignment w:val="auto"/>
        <w:rPr>
          <w:rFonts w:hint="eastAsia" w:ascii="仿宋_GB2312" w:hAnsi="仿宋_GB2312" w:eastAsia="仿宋_GB2312" w:cs="仿宋_GB2312"/>
          <w:i w:val="0"/>
          <w:caps w:val="0"/>
          <w:color w:val="000000"/>
          <w:spacing w:val="0"/>
          <w:sz w:val="32"/>
          <w:szCs w:val="32"/>
          <w:lang w:eastAsia="zh-CN"/>
        </w:rPr>
      </w:pPr>
      <w:r>
        <w:rPr>
          <w:rFonts w:hint="eastAsia" w:ascii="仿宋_GB2312" w:hAnsi="仿宋_GB2312" w:eastAsia="仿宋_GB2312" w:cs="仿宋_GB2312"/>
          <w:i w:val="0"/>
          <w:caps w:val="0"/>
          <w:color w:val="000000"/>
          <w:spacing w:val="0"/>
          <w:sz w:val="32"/>
          <w:szCs w:val="32"/>
          <w:lang w:eastAsia="zh-CN"/>
        </w:rPr>
        <w:t>一是提升工作人员素质。要高度重视信息公开工作，加强学习，认真《中华人民共和国政府信息公开条例》、《山东省政府信息公开办法》等文件内容，切实提高工作人员业务水平和业务能力，保质保量做好全镇信息公开工作。</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78" w:lineRule="exact"/>
        <w:ind w:left="0" w:right="0" w:firstLine="640" w:firstLineChars="200"/>
        <w:textAlignment w:val="auto"/>
        <w:rPr>
          <w:rFonts w:hint="eastAsia" w:ascii="仿宋_GB2312" w:hAnsi="仿宋_GB2312" w:eastAsia="仿宋_GB2312" w:cs="仿宋_GB2312"/>
          <w:i w:val="0"/>
          <w:caps w:val="0"/>
          <w:color w:val="000000"/>
          <w:spacing w:val="0"/>
          <w:sz w:val="32"/>
          <w:szCs w:val="32"/>
          <w:lang w:eastAsia="zh-CN"/>
        </w:rPr>
      </w:pPr>
      <w:r>
        <w:rPr>
          <w:rFonts w:hint="eastAsia" w:ascii="仿宋_GB2312" w:hAnsi="仿宋_GB2312" w:eastAsia="仿宋_GB2312" w:cs="仿宋_GB2312"/>
          <w:i w:val="0"/>
          <w:caps w:val="0"/>
          <w:color w:val="000000"/>
          <w:spacing w:val="0"/>
          <w:sz w:val="32"/>
          <w:szCs w:val="32"/>
          <w:lang w:eastAsia="zh-CN"/>
        </w:rPr>
        <w:t>二是丰富信息公开内容。进一步充实信息来源，紧紧群众关心的热点、重点事项及时予以公开，让服务对象和人民群众及时知晓、了解党和国家制定的各项惠民政策。</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78" w:lineRule="exact"/>
        <w:ind w:left="0" w:right="0" w:firstLine="640" w:firstLineChars="200"/>
        <w:textAlignment w:val="auto"/>
        <w:rPr>
          <w:rFonts w:hint="eastAsia" w:ascii="仿宋_GB2312" w:hAnsi="仿宋_GB2312" w:eastAsia="仿宋_GB2312" w:cs="仿宋_GB2312"/>
          <w:b/>
          <w:i w:val="0"/>
          <w:caps w:val="0"/>
          <w:color w:val="333333"/>
          <w:spacing w:val="0"/>
          <w:sz w:val="32"/>
          <w:szCs w:val="32"/>
          <w:shd w:val="clear" w:fill="FFFFFF"/>
        </w:rPr>
      </w:pPr>
      <w:r>
        <w:rPr>
          <w:rFonts w:hint="eastAsia" w:ascii="仿宋_GB2312" w:hAnsi="仿宋_GB2312" w:eastAsia="仿宋_GB2312" w:cs="仿宋_GB2312"/>
          <w:i w:val="0"/>
          <w:caps w:val="0"/>
          <w:color w:val="000000"/>
          <w:spacing w:val="0"/>
          <w:sz w:val="32"/>
          <w:szCs w:val="32"/>
          <w:lang w:eastAsia="zh-CN"/>
        </w:rPr>
        <w:t>三是创新信息公开形式。加强信息公开工作与互联网的有效结合，在政府网站进行信息公开的基础上，充分利用微信公众号、微信小程序等平台主动公开。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黑体" w:hAnsi="黑体" w:eastAsia="黑体" w:cs="黑体"/>
          <w:b w:val="0"/>
          <w:bCs/>
          <w:i w:val="0"/>
          <w:caps w:val="0"/>
          <w:color w:val="333333"/>
          <w:spacing w:val="0"/>
          <w:sz w:val="32"/>
          <w:szCs w:val="32"/>
          <w:shd w:val="clear" w:fill="FFFFFF"/>
        </w:rPr>
      </w:pPr>
      <w:r>
        <w:rPr>
          <w:rFonts w:hint="eastAsia" w:ascii="黑体" w:hAnsi="黑体" w:eastAsia="黑体" w:cs="黑体"/>
          <w:b w:val="0"/>
          <w:bCs/>
          <w:i w:val="0"/>
          <w:caps w:val="0"/>
          <w:color w:val="333333"/>
          <w:spacing w:val="0"/>
          <w:sz w:val="32"/>
          <w:szCs w:val="32"/>
          <w:shd w:val="clear" w:fill="FFFFFF"/>
        </w:rPr>
        <w:t>六、其他需要报告的事项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仿宋_GB2312" w:eastAsia="仿宋_GB2312" w:cs="仿宋_GB2312"/>
          <w:i w:val="0"/>
          <w:caps w:val="0"/>
          <w:color w:val="333333"/>
          <w:spacing w:val="0"/>
          <w:sz w:val="32"/>
          <w:szCs w:val="32"/>
          <w:lang w:eastAsia="zh-CN"/>
        </w:rPr>
      </w:pPr>
      <w:r>
        <w:rPr>
          <w:rFonts w:hint="eastAsia" w:ascii="仿宋_GB2312" w:hAnsi="仿宋_GB2312" w:eastAsia="仿宋_GB2312" w:cs="仿宋_GB2312"/>
          <w:i w:val="0"/>
          <w:caps w:val="0"/>
          <w:color w:val="333333"/>
          <w:spacing w:val="0"/>
          <w:sz w:val="32"/>
          <w:szCs w:val="32"/>
          <w:lang w:eastAsia="zh-CN"/>
        </w:rPr>
        <w:t>无</w:t>
      </w:r>
    </w:p>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B30831"/>
    <w:rsid w:val="046B14D9"/>
    <w:rsid w:val="053261D5"/>
    <w:rsid w:val="090F2DCB"/>
    <w:rsid w:val="0C6B164B"/>
    <w:rsid w:val="0CD3614E"/>
    <w:rsid w:val="0D08632C"/>
    <w:rsid w:val="0D202C94"/>
    <w:rsid w:val="0E407989"/>
    <w:rsid w:val="0E4D4B3E"/>
    <w:rsid w:val="15F22A63"/>
    <w:rsid w:val="1F571CD8"/>
    <w:rsid w:val="1F991E3E"/>
    <w:rsid w:val="22DE5A2B"/>
    <w:rsid w:val="24AF7B3F"/>
    <w:rsid w:val="25B64EAB"/>
    <w:rsid w:val="2B7E2091"/>
    <w:rsid w:val="2DB4180E"/>
    <w:rsid w:val="2ECA1344"/>
    <w:rsid w:val="316D36F4"/>
    <w:rsid w:val="340B6DB0"/>
    <w:rsid w:val="34B51C89"/>
    <w:rsid w:val="36B87CB5"/>
    <w:rsid w:val="3C7F50FA"/>
    <w:rsid w:val="3D4E2C4E"/>
    <w:rsid w:val="3DB30831"/>
    <w:rsid w:val="442F56E6"/>
    <w:rsid w:val="44C06709"/>
    <w:rsid w:val="4A692EEE"/>
    <w:rsid w:val="4DD44E7E"/>
    <w:rsid w:val="4EFF3639"/>
    <w:rsid w:val="50643523"/>
    <w:rsid w:val="52BE15BE"/>
    <w:rsid w:val="53C52749"/>
    <w:rsid w:val="55B82AB3"/>
    <w:rsid w:val="668B3CA4"/>
    <w:rsid w:val="6CA72586"/>
    <w:rsid w:val="6D014A21"/>
    <w:rsid w:val="6E8E40F4"/>
    <w:rsid w:val="74DE4D2E"/>
    <w:rsid w:val="79D16519"/>
    <w:rsid w:val="7D1845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2020-01-09T02:45:00Z</dcterms:created>
  <dc:creator>石头的雨季</dc:creator>
  <cp:lastModifiedBy>石头的雨季</cp:lastModifiedBy>
  <dcterms:modified xsi:type="dcterms:W3CDTF">2020-06-11T03:38:49Z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