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1986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pPr>
    </w:p>
    <w:p w14:paraId="570783A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pPr>
    </w:p>
    <w:p w14:paraId="569D42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pPr>
      <w:r>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t>关于印发《淄博市博山区烟草制品</w:t>
      </w:r>
    </w:p>
    <w:p w14:paraId="59B576A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pPr>
      <w:r>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t>零售点合理布局规定》的通知</w:t>
      </w:r>
    </w:p>
    <w:p w14:paraId="445D8E6C">
      <w:pPr>
        <w:jc w:val="center"/>
        <w:rPr>
          <w:rFonts w:hint="default" w:ascii="仿宋_GB2312" w:eastAsia="仿宋_GB2312"/>
          <w:sz w:val="32"/>
          <w:lang w:val="en"/>
        </w:rPr>
      </w:pPr>
      <w:r>
        <w:rPr>
          <w:rFonts w:hint="default" w:ascii="仿宋_GB2312" w:eastAsia="仿宋_GB2312"/>
          <w:sz w:val="32"/>
          <w:lang w:val="en"/>
        </w:rPr>
        <w:t>博烟专〔2023〕1号</w:t>
      </w:r>
    </w:p>
    <w:p w14:paraId="3DB92F5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left"/>
        <w:textAlignment w:val="auto"/>
        <w:rPr>
          <w:rStyle w:val="7"/>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p>
    <w:p w14:paraId="38AE493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left"/>
        <w:textAlignment w:val="auto"/>
        <w:rPr>
          <w:rStyle w:val="7"/>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Style w:val="7"/>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各部门：</w:t>
      </w:r>
    </w:p>
    <w:p w14:paraId="18787BF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Style w:val="7"/>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Style w:val="7"/>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现将《淄博市博山区烟草制品零售点合理布局规定》发印发给你们，请遵照执行。</w:t>
      </w:r>
    </w:p>
    <w:p w14:paraId="6150ECF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Style w:val="7"/>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p>
    <w:p w14:paraId="708C0F8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right"/>
        <w:textAlignment w:val="auto"/>
        <w:rPr>
          <w:rStyle w:val="7"/>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Style w:val="7"/>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淄博市博山区烟草专卖局</w:t>
      </w:r>
    </w:p>
    <w:p w14:paraId="027F386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center"/>
        <w:textAlignment w:val="auto"/>
        <w:rPr>
          <w:rStyle w:val="7"/>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Style w:val="7"/>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 xml:space="preserve">                              2023年12月21日</w:t>
      </w:r>
    </w:p>
    <w:p w14:paraId="1312FF9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lang w:val="en"/>
        </w:rPr>
      </w:pPr>
      <w:r>
        <w:rPr>
          <w:rFonts w:hint="default" w:ascii="仿宋_GB2312" w:eastAsia="仿宋_GB2312"/>
          <w:sz w:val="32"/>
          <w:lang w:val="en"/>
        </w:rPr>
        <w:t>(</w:t>
      </w:r>
      <w:r>
        <w:rPr>
          <w:rFonts w:hint="eastAsia" w:ascii="仿宋_GB2312" w:eastAsia="仿宋_GB2312"/>
          <w:sz w:val="32"/>
          <w:lang w:val="en-US" w:eastAsia="zh-CN"/>
        </w:rPr>
        <w:t>此件</w:t>
      </w:r>
      <w:r>
        <w:rPr>
          <w:rFonts w:hint="default" w:ascii="仿宋_GB2312" w:eastAsia="仿宋_GB2312"/>
          <w:sz w:val="32"/>
          <w:lang w:val="en"/>
        </w:rPr>
        <w:t>公开</w:t>
      </w:r>
      <w:r>
        <w:rPr>
          <w:rFonts w:hint="eastAsia" w:ascii="仿宋_GB2312" w:eastAsia="仿宋_GB2312"/>
          <w:sz w:val="32"/>
          <w:lang w:val="en-US" w:eastAsia="zh-CN"/>
        </w:rPr>
        <w:t>发布</w:t>
      </w:r>
      <w:bookmarkStart w:id="0" w:name="_GoBack"/>
      <w:bookmarkEnd w:id="0"/>
      <w:r>
        <w:rPr>
          <w:rFonts w:hint="default" w:ascii="仿宋_GB2312" w:eastAsia="仿宋_GB2312"/>
          <w:sz w:val="32"/>
          <w:lang w:val="en"/>
        </w:rPr>
        <w:t>)</w:t>
      </w:r>
    </w:p>
    <w:p w14:paraId="2949B47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3" w:firstLineChars="200"/>
        <w:jc w:val="left"/>
        <w:textAlignment w:val="auto"/>
        <w:rPr>
          <w:rStyle w:val="7"/>
          <w:rFonts w:hint="default" w:ascii="仿宋_GB2312" w:hAnsi="仿宋_GB2312" w:eastAsia="仿宋_GB2312" w:cs="仿宋_GB2312"/>
          <w:sz w:val="32"/>
          <w:szCs w:val="32"/>
        </w:rPr>
      </w:pPr>
    </w:p>
    <w:p w14:paraId="382951A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pPr>
    </w:p>
    <w:p w14:paraId="7148E05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pPr>
    </w:p>
    <w:p w14:paraId="0D4C505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pPr>
    </w:p>
    <w:p w14:paraId="5E100E5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pPr>
    </w:p>
    <w:p w14:paraId="41CDC86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pPr>
    </w:p>
    <w:p w14:paraId="6E46E79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pPr>
    </w:p>
    <w:p w14:paraId="7B3D49E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pPr>
    </w:p>
    <w:p w14:paraId="0AE2B49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center"/>
        <w:textAlignment w:val="auto"/>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pPr>
      <w:r>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t>淄博市</w:t>
      </w:r>
      <w:r>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eastAsia="zh-CN"/>
        </w:rPr>
        <w:t>博山区</w:t>
      </w:r>
      <w:r>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rPr>
        <w:t>烟草制品零售点布局</w:t>
      </w:r>
      <w:r>
        <w:rPr>
          <w:rStyle w:val="7"/>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val="en-US" w:eastAsia="zh-CN"/>
        </w:rPr>
        <w:t>规定</w:t>
      </w:r>
    </w:p>
    <w:p w14:paraId="607CE95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both"/>
        <w:textAlignment w:val="auto"/>
        <w:rPr>
          <w:rStyle w:val="7"/>
          <w:rFonts w:hint="eastAsia" w:ascii="黑体" w:hAnsi="黑体" w:eastAsia="黑体" w:cs="黑体"/>
          <w:b w:val="0"/>
          <w:bCs w:val="0"/>
          <w:i w:val="0"/>
          <w:iCs w:val="0"/>
          <w:caps w:val="0"/>
          <w:color w:val="auto"/>
          <w:spacing w:val="0"/>
          <w:sz w:val="32"/>
          <w:szCs w:val="32"/>
          <w:highlight w:val="none"/>
          <w:shd w:val="clear" w:color="auto" w:fill="FFFFFF"/>
        </w:rPr>
      </w:pPr>
    </w:p>
    <w:p w14:paraId="40A1750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center"/>
        <w:textAlignment w:val="auto"/>
        <w:rPr>
          <w:rStyle w:val="7"/>
          <w:rFonts w:hint="eastAsia" w:ascii="方正仿宋_GB2312" w:hAnsi="方正仿宋_GB2312" w:eastAsia="黑体" w:cs="方正仿宋_GB2312"/>
          <w:b/>
          <w:bCs/>
          <w:i w:val="0"/>
          <w:iCs w:val="0"/>
          <w:caps w:val="0"/>
          <w:color w:val="auto"/>
          <w:spacing w:val="0"/>
          <w:sz w:val="32"/>
          <w:szCs w:val="32"/>
          <w:highlight w:val="none"/>
          <w:shd w:val="clear" w:color="auto" w:fill="FFFFFF"/>
          <w:lang w:eastAsia="zh-CN"/>
        </w:rPr>
      </w:pPr>
      <w:r>
        <w:rPr>
          <w:rStyle w:val="7"/>
          <w:rFonts w:hint="eastAsia" w:ascii="黑体" w:hAnsi="黑体" w:eastAsia="黑体" w:cs="黑体"/>
          <w:b w:val="0"/>
          <w:bCs w:val="0"/>
          <w:i w:val="0"/>
          <w:iCs w:val="0"/>
          <w:caps w:val="0"/>
          <w:color w:val="auto"/>
          <w:spacing w:val="0"/>
          <w:sz w:val="32"/>
          <w:szCs w:val="32"/>
          <w:highlight w:val="none"/>
          <w:shd w:val="clear" w:color="auto" w:fill="FFFFFF"/>
        </w:rPr>
        <w:t>第一章  总则</w:t>
      </w:r>
    </w:p>
    <w:p w14:paraId="0E3D3C2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 w:eastAsia="仿宋_GB2312" w:cs="仿宋_GB2312"/>
          <w:color w:val="auto"/>
          <w:sz w:val="32"/>
          <w:szCs w:val="32"/>
        </w:rPr>
      </w:pPr>
      <w:r>
        <w:rPr>
          <w:rFonts w:hint="eastAsia" w:ascii="黑体" w:hAnsi="黑体" w:eastAsia="黑体" w:cs="黑体"/>
          <w:i w:val="0"/>
          <w:iCs w:val="0"/>
          <w:caps w:val="0"/>
          <w:color w:val="auto"/>
          <w:spacing w:val="0"/>
          <w:sz w:val="32"/>
          <w:szCs w:val="32"/>
          <w:highlight w:val="none"/>
          <w:shd w:val="clear" w:color="auto" w:fill="FFFFFF"/>
        </w:rPr>
        <w:t>第一条</w:t>
      </w:r>
      <w:r>
        <w:rPr>
          <w:rFonts w:hint="eastAsia" w:ascii="黑体" w:hAnsi="黑体" w:eastAsia="黑体" w:cs="黑体"/>
          <w:i w:val="0"/>
          <w:iCs w:val="0"/>
          <w:caps w:val="0"/>
          <w:color w:val="auto"/>
          <w:spacing w:val="0"/>
          <w:sz w:val="32"/>
          <w:szCs w:val="32"/>
          <w:highlight w:val="none"/>
          <w:shd w:val="clear" w:color="auto" w:fill="FFFFFF"/>
          <w:lang w:val="en-US" w:eastAsia="zh-CN"/>
        </w:rPr>
        <w:t xml:space="preserve">  </w:t>
      </w:r>
      <w:r>
        <w:rPr>
          <w:rFonts w:hint="eastAsia" w:ascii="仿宋_GB2312" w:hAnsi="仿宋" w:eastAsia="仿宋_GB2312" w:cs="仿宋_GB2312"/>
          <w:color w:val="auto"/>
          <w:sz w:val="32"/>
          <w:szCs w:val="32"/>
        </w:rPr>
        <w:t>为维护国家利益和消费者利益，规范烟草制品零售市场经营秩序，进一步优化烟草制品零售点布局，加强烟草专卖零售许可证管理，依据《中华人民共和国烟草专卖法》《中华人民共和国行政许可法》《中华人民共和国未成年人保护法》《中华人民共和国烟草专卖法实施条例》《烟草专卖许可证管理办法》（工信部37号令）《烟草专卖许可证管理办法实施细则》（国烟法</w:t>
      </w:r>
      <w:r>
        <w:rPr>
          <w:rFonts w:hint="eastAsia" w:ascii="仿宋_GB2312" w:hAnsi="仿宋" w:eastAsia="仿宋_GB2312" w:cs="仿宋_GB2312"/>
          <w:color w:val="auto"/>
          <w:sz w:val="32"/>
          <w:szCs w:val="32"/>
          <w:lang w:val="en-US" w:eastAsia="zh-CN"/>
        </w:rPr>
        <w:t>[</w:t>
      </w:r>
      <w:r>
        <w:rPr>
          <w:rFonts w:hint="eastAsia" w:ascii="仿宋_GB2312" w:hAnsi="仿宋" w:eastAsia="仿宋_GB2312" w:cs="仿宋_GB2312"/>
          <w:color w:val="auto"/>
          <w:sz w:val="32"/>
          <w:szCs w:val="32"/>
        </w:rPr>
        <w:t>2020</w:t>
      </w:r>
      <w:r>
        <w:rPr>
          <w:rFonts w:hint="eastAsia" w:ascii="仿宋_GB2312" w:hAnsi="仿宋" w:eastAsia="仿宋_GB2312" w:cs="仿宋_GB2312"/>
          <w:color w:val="auto"/>
          <w:sz w:val="32"/>
          <w:szCs w:val="32"/>
          <w:lang w:val="en-US" w:eastAsia="zh-CN"/>
        </w:rPr>
        <w:t>]</w:t>
      </w:r>
      <w:r>
        <w:rPr>
          <w:rFonts w:hint="eastAsia" w:ascii="仿宋_GB2312" w:hAnsi="仿宋" w:eastAsia="仿宋_GB2312" w:cs="仿宋_GB2312"/>
          <w:color w:val="auto"/>
          <w:sz w:val="32"/>
          <w:szCs w:val="32"/>
        </w:rPr>
        <w:t>205号）等法律法规、规章和规范性文件，结合</w:t>
      </w:r>
      <w:r>
        <w:rPr>
          <w:rFonts w:hint="eastAsia" w:ascii="仿宋_GB2312" w:hAnsi="仿宋" w:eastAsia="仿宋_GB2312" w:cs="仿宋_GB2312"/>
          <w:color w:val="auto"/>
          <w:sz w:val="32"/>
          <w:szCs w:val="32"/>
          <w:lang w:eastAsia="zh-CN"/>
        </w:rPr>
        <w:t>博山区</w:t>
      </w:r>
      <w:r>
        <w:rPr>
          <w:rFonts w:hint="eastAsia" w:ascii="仿宋_GB2312" w:hAnsi="仿宋" w:eastAsia="仿宋_GB2312" w:cs="仿宋_GB2312"/>
          <w:color w:val="auto"/>
          <w:sz w:val="32"/>
          <w:szCs w:val="32"/>
        </w:rPr>
        <w:t>实际，制定本规定。</w:t>
      </w:r>
    </w:p>
    <w:p w14:paraId="40F191B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黑体" w:eastAsia="仿宋_GB2312" w:cs="黑体"/>
          <w:color w:val="auto"/>
          <w:sz w:val="32"/>
          <w:szCs w:val="32"/>
        </w:rPr>
      </w:pPr>
      <w:r>
        <w:rPr>
          <w:rFonts w:hint="eastAsia" w:ascii="黑体" w:hAnsi="黑体" w:eastAsia="黑体" w:cs="仿宋_GB2312"/>
          <w:color w:val="auto"/>
          <w:sz w:val="32"/>
          <w:szCs w:val="32"/>
        </w:rPr>
        <w:t>第二条</w:t>
      </w:r>
      <w:r>
        <w:rPr>
          <w:rFonts w:hint="eastAsia" w:ascii="黑体" w:hAnsi="黑体" w:eastAsia="黑体" w:cs="仿宋_GB2312"/>
          <w:color w:val="auto"/>
          <w:sz w:val="32"/>
          <w:szCs w:val="32"/>
          <w:lang w:val="en-US" w:eastAsia="zh-CN"/>
        </w:rPr>
        <w:t xml:space="preserve">  </w:t>
      </w:r>
      <w:r>
        <w:rPr>
          <w:rFonts w:hint="eastAsia" w:ascii="仿宋_GB2312" w:hAnsi="黑体" w:eastAsia="仿宋_GB2312" w:cs="黑体"/>
          <w:color w:val="auto"/>
          <w:sz w:val="32"/>
          <w:szCs w:val="32"/>
        </w:rPr>
        <w:t>本规定所称烟草制品零售点（以下称零售点）是指依法取得烟草专卖零售许可证的公民、法人及其他组织从事烟草制品零售业务的与住所相独立的固定经营场所。</w:t>
      </w:r>
    </w:p>
    <w:p w14:paraId="3988F4A0">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零售点经营场所地址应当具体明确，具有唯一性，与营业执照登记地址相符。</w:t>
      </w:r>
    </w:p>
    <w:p w14:paraId="0272416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4"/>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黑体" w:hAnsi="黑体" w:eastAsia="黑体" w:cs="黑体"/>
          <w:i w:val="0"/>
          <w:iCs w:val="0"/>
          <w:caps w:val="0"/>
          <w:color w:val="auto"/>
          <w:spacing w:val="0"/>
          <w:sz w:val="32"/>
          <w:szCs w:val="32"/>
          <w:highlight w:val="none"/>
          <w:shd w:val="clear" w:color="auto" w:fill="FFFFFF"/>
        </w:rPr>
        <w:t>第</w:t>
      </w:r>
      <w:r>
        <w:rPr>
          <w:rFonts w:hint="eastAsia" w:ascii="黑体" w:hAnsi="黑体" w:eastAsia="黑体" w:cs="黑体"/>
          <w:i w:val="0"/>
          <w:iCs w:val="0"/>
          <w:caps w:val="0"/>
          <w:color w:val="auto"/>
          <w:spacing w:val="0"/>
          <w:sz w:val="32"/>
          <w:szCs w:val="32"/>
          <w:highlight w:val="none"/>
          <w:shd w:val="clear" w:color="auto" w:fill="FFFFFF"/>
          <w:lang w:eastAsia="zh-CN"/>
        </w:rPr>
        <w:t>三</w:t>
      </w:r>
      <w:r>
        <w:rPr>
          <w:rFonts w:hint="eastAsia" w:ascii="黑体" w:hAnsi="黑体" w:eastAsia="黑体" w:cs="黑体"/>
          <w:i w:val="0"/>
          <w:iCs w:val="0"/>
          <w:caps w:val="0"/>
          <w:color w:val="auto"/>
          <w:spacing w:val="0"/>
          <w:sz w:val="32"/>
          <w:szCs w:val="32"/>
          <w:highlight w:val="none"/>
          <w:shd w:val="clear" w:color="auto" w:fill="FFFFFF"/>
        </w:rPr>
        <w:t>条</w:t>
      </w:r>
      <w:r>
        <w:rPr>
          <w:rFonts w:hint="eastAsia" w:ascii="黑体" w:hAnsi="黑体" w:eastAsia="黑体" w:cs="黑体"/>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本规定适用于</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淄博市</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博山区</w:t>
      </w:r>
      <w:r>
        <w:rPr>
          <w:rFonts w:hint="eastAsia" w:ascii="仿宋_GB2312" w:hAnsi="仿宋_GB2312" w:eastAsia="仿宋_GB2312" w:cs="仿宋_GB2312"/>
          <w:i w:val="0"/>
          <w:iCs w:val="0"/>
          <w:caps w:val="0"/>
          <w:color w:val="auto"/>
          <w:spacing w:val="0"/>
          <w:sz w:val="32"/>
          <w:szCs w:val="32"/>
          <w:highlight w:val="none"/>
          <w:shd w:val="clear" w:color="auto" w:fill="FFFFFF"/>
        </w:rPr>
        <w:t>烟草专卖局</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管</w:t>
      </w:r>
      <w:r>
        <w:rPr>
          <w:rFonts w:hint="eastAsia" w:ascii="仿宋_GB2312" w:hAnsi="仿宋_GB2312" w:eastAsia="仿宋_GB2312" w:cs="仿宋_GB2312"/>
          <w:i w:val="0"/>
          <w:iCs w:val="0"/>
          <w:caps w:val="0"/>
          <w:color w:val="auto"/>
          <w:spacing w:val="0"/>
          <w:sz w:val="32"/>
          <w:szCs w:val="32"/>
          <w:highlight w:val="none"/>
          <w:shd w:val="clear" w:color="auto" w:fill="FFFFFF"/>
        </w:rPr>
        <w:t>辖</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区域</w:t>
      </w:r>
      <w:r>
        <w:rPr>
          <w:rFonts w:hint="eastAsia" w:ascii="仿宋_GB2312" w:hAnsi="仿宋_GB2312" w:eastAsia="仿宋_GB2312" w:cs="仿宋_GB2312"/>
          <w:i w:val="0"/>
          <w:iCs w:val="0"/>
          <w:caps w:val="0"/>
          <w:color w:val="auto"/>
          <w:spacing w:val="0"/>
          <w:sz w:val="32"/>
          <w:szCs w:val="32"/>
          <w:highlight w:val="none"/>
          <w:shd w:val="clear" w:color="auto" w:fill="FFFFFF"/>
        </w:rPr>
        <w:t>内烟草制品</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（不含电子烟）</w:t>
      </w:r>
      <w:r>
        <w:rPr>
          <w:rFonts w:hint="eastAsia" w:ascii="仿宋_GB2312" w:hAnsi="仿宋_GB2312" w:eastAsia="仿宋_GB2312" w:cs="仿宋_GB2312"/>
          <w:i w:val="0"/>
          <w:iCs w:val="0"/>
          <w:caps w:val="0"/>
          <w:color w:val="auto"/>
          <w:spacing w:val="0"/>
          <w:sz w:val="32"/>
          <w:szCs w:val="32"/>
          <w:highlight w:val="none"/>
          <w:shd w:val="clear" w:color="auto" w:fill="FFFFFF"/>
        </w:rPr>
        <w:t>零售点的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布局</w:t>
      </w:r>
      <w:r>
        <w:rPr>
          <w:rFonts w:hint="eastAsia" w:ascii="仿宋_GB2312" w:hAnsi="仿宋_GB2312" w:eastAsia="仿宋_GB2312" w:cs="仿宋_GB2312"/>
          <w:i w:val="0"/>
          <w:iCs w:val="0"/>
          <w:caps w:val="0"/>
          <w:color w:val="auto"/>
          <w:spacing w:val="0"/>
          <w:sz w:val="32"/>
          <w:szCs w:val="32"/>
          <w:highlight w:val="none"/>
          <w:shd w:val="clear" w:color="auto" w:fill="FFFFFF"/>
        </w:rPr>
        <w:t>管理。</w:t>
      </w:r>
    </w:p>
    <w:p w14:paraId="506A0B4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黑体" w:eastAsia="仿宋_GB2312" w:cs="黑体"/>
          <w:color w:val="auto"/>
          <w:sz w:val="32"/>
          <w:szCs w:val="32"/>
        </w:rPr>
      </w:pPr>
      <w:r>
        <w:rPr>
          <w:rFonts w:hint="eastAsia" w:ascii="黑体" w:hAnsi="黑体" w:eastAsia="黑体" w:cs="仿宋_GB2312"/>
          <w:color w:val="auto"/>
          <w:sz w:val="32"/>
          <w:szCs w:val="32"/>
        </w:rPr>
        <w:t>第四条</w:t>
      </w:r>
      <w:r>
        <w:rPr>
          <w:rFonts w:hint="eastAsia" w:ascii="黑体" w:hAnsi="黑体" w:eastAsia="黑体" w:cs="仿宋_GB2312"/>
          <w:color w:val="auto"/>
          <w:sz w:val="32"/>
          <w:szCs w:val="32"/>
          <w:lang w:val="en-US" w:eastAsia="zh-CN"/>
        </w:rPr>
        <w:t xml:space="preserve">  </w:t>
      </w:r>
      <w:r>
        <w:rPr>
          <w:rFonts w:hint="eastAsia" w:ascii="仿宋_GB2312" w:hAnsi="黑体" w:eastAsia="仿宋_GB2312" w:cs="黑体"/>
          <w:color w:val="auto"/>
          <w:sz w:val="32"/>
          <w:szCs w:val="32"/>
        </w:rPr>
        <w:t>零售点布局管理遵循依法行政、科学规划、服务社会、均衡发展、未成年人保护、控烟履约、信赖保护的原则。</w:t>
      </w:r>
    </w:p>
    <w:p w14:paraId="61CFEE92">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黑体" w:eastAsia="仿宋_GB2312" w:cs="黑体"/>
          <w:color w:val="auto"/>
          <w:sz w:val="32"/>
          <w:szCs w:val="32"/>
        </w:rPr>
      </w:pPr>
      <w:r>
        <w:rPr>
          <w:rFonts w:hint="eastAsia" w:ascii="黑体" w:hAnsi="黑体" w:eastAsia="黑体" w:cs="仿宋_GB2312"/>
          <w:color w:val="auto"/>
          <w:sz w:val="32"/>
          <w:szCs w:val="32"/>
        </w:rPr>
        <w:t>第五条</w:t>
      </w:r>
      <w:r>
        <w:rPr>
          <w:rFonts w:hint="eastAsia" w:ascii="黑体" w:hAnsi="黑体" w:eastAsia="黑体" w:cs="仿宋_GB2312"/>
          <w:color w:val="auto"/>
          <w:sz w:val="32"/>
          <w:szCs w:val="32"/>
          <w:lang w:val="en-US" w:eastAsia="zh-CN"/>
        </w:rPr>
        <w:t xml:space="preserve">  </w:t>
      </w:r>
      <w:r>
        <w:rPr>
          <w:rFonts w:hint="eastAsia" w:ascii="仿宋_GB2312" w:hAnsi="黑体" w:eastAsia="仿宋_GB2312" w:cs="黑体"/>
          <w:color w:val="auto"/>
          <w:sz w:val="32"/>
          <w:szCs w:val="32"/>
        </w:rPr>
        <w:t>一个经营场所已经办理了烟草专卖零售许可证的，在许可证有效期内不再审批发放其他烟草专卖零售许可证。</w:t>
      </w:r>
    </w:p>
    <w:p w14:paraId="7549191D">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连锁经营企业在申请烟草专卖零售许可证时，应当由各个分店分别提出申请。</w:t>
      </w:r>
    </w:p>
    <w:p w14:paraId="5E13DFA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center"/>
        <w:textAlignment w:val="auto"/>
        <w:rPr>
          <w:rFonts w:hint="eastAsia" w:ascii="仿宋_GB2312" w:hAnsi="黑体" w:eastAsia="仿宋_GB2312" w:cs="黑体"/>
          <w:color w:val="auto"/>
          <w:sz w:val="32"/>
          <w:szCs w:val="32"/>
        </w:rPr>
      </w:pPr>
      <w:r>
        <w:rPr>
          <w:rStyle w:val="7"/>
          <w:rFonts w:hint="eastAsia" w:ascii="黑体" w:hAnsi="黑体" w:eastAsia="黑体" w:cs="黑体"/>
          <w:b w:val="0"/>
          <w:bCs w:val="0"/>
          <w:i w:val="0"/>
          <w:iCs w:val="0"/>
          <w:caps w:val="0"/>
          <w:color w:val="auto"/>
          <w:spacing w:val="0"/>
          <w:sz w:val="32"/>
          <w:szCs w:val="32"/>
          <w:highlight w:val="none"/>
          <w:shd w:val="clear" w:color="auto" w:fill="FFFFFF"/>
        </w:rPr>
        <w:t>第</w:t>
      </w:r>
      <w:r>
        <w:rPr>
          <w:rStyle w:val="7"/>
          <w:rFonts w:hint="eastAsia" w:ascii="黑体" w:hAnsi="黑体" w:eastAsia="黑体" w:cs="黑体"/>
          <w:b w:val="0"/>
          <w:bCs w:val="0"/>
          <w:i w:val="0"/>
          <w:iCs w:val="0"/>
          <w:caps w:val="0"/>
          <w:color w:val="auto"/>
          <w:spacing w:val="0"/>
          <w:sz w:val="32"/>
          <w:szCs w:val="32"/>
          <w:highlight w:val="none"/>
          <w:shd w:val="clear" w:color="auto" w:fill="FFFFFF"/>
          <w:lang w:val="en-US" w:eastAsia="zh-CN"/>
        </w:rPr>
        <w:t>二</w:t>
      </w:r>
      <w:r>
        <w:rPr>
          <w:rStyle w:val="7"/>
          <w:rFonts w:hint="eastAsia" w:ascii="黑体" w:hAnsi="黑体" w:eastAsia="黑体" w:cs="黑体"/>
          <w:b w:val="0"/>
          <w:bCs w:val="0"/>
          <w:i w:val="0"/>
          <w:iCs w:val="0"/>
          <w:caps w:val="0"/>
          <w:color w:val="auto"/>
          <w:spacing w:val="0"/>
          <w:sz w:val="32"/>
          <w:szCs w:val="32"/>
          <w:highlight w:val="none"/>
          <w:shd w:val="clear" w:color="auto" w:fill="FFFFFF"/>
        </w:rPr>
        <w:t>章  合理布局标准</w:t>
      </w:r>
    </w:p>
    <w:p w14:paraId="41F5E767">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黑体" w:eastAsia="仿宋_GB2312" w:cs="黑体"/>
          <w:color w:val="auto"/>
          <w:sz w:val="32"/>
          <w:szCs w:val="32"/>
        </w:rPr>
      </w:pPr>
      <w:r>
        <w:rPr>
          <w:rFonts w:hint="eastAsia" w:ascii="黑体" w:hAnsi="黑体" w:eastAsia="黑体" w:cs="仿宋_GB2312"/>
          <w:color w:val="auto"/>
          <w:sz w:val="32"/>
          <w:szCs w:val="32"/>
          <w:lang w:eastAsia="zh-CN"/>
        </w:rPr>
        <w:t>第六条</w:t>
      </w:r>
      <w:r>
        <w:rPr>
          <w:rFonts w:hint="eastAsia" w:ascii="黑体" w:hAnsi="黑体" w:eastAsia="黑体" w:cs="仿宋_GB2312"/>
          <w:color w:val="auto"/>
          <w:sz w:val="32"/>
          <w:szCs w:val="32"/>
          <w:lang w:val="en-US" w:eastAsia="zh-CN"/>
        </w:rPr>
        <w:t xml:space="preserve">  </w:t>
      </w:r>
      <w:r>
        <w:rPr>
          <w:rFonts w:hint="eastAsia" w:ascii="仿宋_GB2312" w:hAnsi="黑体" w:eastAsia="仿宋_GB2312" w:cs="黑体"/>
          <w:color w:val="auto"/>
          <w:sz w:val="32"/>
          <w:szCs w:val="32"/>
        </w:rPr>
        <w:t>零售点布局管理以较为稳定、相对独立的区域作为市场单元，量化分析市场单元内经济发展水平、人口数量、消费能力、历史零售点数量、烟草制品经营数据等相关性指标，合理设定零售点规划数量。</w:t>
      </w:r>
    </w:p>
    <w:p w14:paraId="4EB37215">
      <w:pPr>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default" w:ascii="Times New Roman" w:hAnsi="Times New Roman" w:cs="Times New Roman"/>
          <w:i w:val="0"/>
          <w:iCs w:val="0"/>
          <w:caps w:val="0"/>
          <w:color w:val="auto"/>
          <w:spacing w:val="0"/>
          <w:sz w:val="27"/>
          <w:szCs w:val="27"/>
        </w:rPr>
      </w:pPr>
      <w:r>
        <w:rPr>
          <w:rFonts w:hint="eastAsia" w:ascii="黑体" w:hAnsi="黑体" w:eastAsia="黑体" w:cs="仿宋_GB2312"/>
          <w:color w:val="auto"/>
          <w:sz w:val="32"/>
          <w:szCs w:val="32"/>
          <w:lang w:eastAsia="zh-CN"/>
        </w:rPr>
        <w:t>第七条</w:t>
      </w:r>
      <w:r>
        <w:rPr>
          <w:rFonts w:hint="eastAsia" w:ascii="黑体" w:hAnsi="黑体" w:eastAsia="黑体" w:cs="仿宋_GB2312"/>
          <w:color w:val="auto"/>
          <w:sz w:val="32"/>
          <w:szCs w:val="32"/>
          <w:lang w:val="en-US" w:eastAsia="zh-CN"/>
        </w:rPr>
        <w:t xml:space="preserve">  </w:t>
      </w:r>
      <w:r>
        <w:rPr>
          <w:rFonts w:hint="eastAsia" w:ascii="仿宋_GB2312" w:hAnsi="Times New Roman" w:eastAsia="仿宋_GB2312" w:cs="仿宋_GB2312"/>
          <w:i w:val="0"/>
          <w:iCs w:val="0"/>
          <w:caps w:val="0"/>
          <w:color w:val="auto"/>
          <w:spacing w:val="0"/>
          <w:sz w:val="32"/>
          <w:szCs w:val="32"/>
          <w:shd w:val="clear" w:color="auto" w:fill="FFFFFF"/>
        </w:rPr>
        <w:t>参照城市规划、乡村建设、商圈类型、地形地貌、交通设施等因素，结合地理位置和社会功能属性，按照市场单元类型特征描述、划分方法，将</w:t>
      </w:r>
      <w:r>
        <w:rPr>
          <w:rFonts w:hint="eastAsia" w:ascii="仿宋_GB2312" w:hAnsi="Times New Roman" w:eastAsia="仿宋_GB2312" w:cs="仿宋_GB2312"/>
          <w:i w:val="0"/>
          <w:iCs w:val="0"/>
          <w:caps w:val="0"/>
          <w:color w:val="auto"/>
          <w:spacing w:val="0"/>
          <w:sz w:val="32"/>
          <w:szCs w:val="32"/>
          <w:shd w:val="clear" w:color="auto" w:fill="FFFFFF"/>
          <w:lang w:val="en-US" w:eastAsia="zh-CN"/>
        </w:rPr>
        <w:t>辖区市场</w:t>
      </w:r>
      <w:r>
        <w:rPr>
          <w:rFonts w:hint="eastAsia" w:ascii="仿宋_GB2312" w:hAnsi="Times New Roman" w:eastAsia="仿宋_GB2312" w:cs="仿宋_GB2312"/>
          <w:i w:val="0"/>
          <w:iCs w:val="0"/>
          <w:caps w:val="0"/>
          <w:color w:val="auto"/>
          <w:spacing w:val="0"/>
          <w:sz w:val="32"/>
          <w:szCs w:val="32"/>
          <w:shd w:val="clear" w:color="auto" w:fill="FFFFFF"/>
        </w:rPr>
        <w:t>划分为若干市场单元。市场单元作为零售点布局控制基础单元，结合商圈、市场、路段、居民区等特点，按照居</w:t>
      </w:r>
      <w:r>
        <w:rPr>
          <w:rFonts w:hint="eastAsia" w:ascii="仿宋_GB2312" w:hAnsi="Times New Roman" w:eastAsia="仿宋_GB2312" w:cs="仿宋_GB2312"/>
          <w:i w:val="0"/>
          <w:iCs w:val="0"/>
          <w:caps w:val="0"/>
          <w:color w:val="auto"/>
          <w:spacing w:val="0"/>
          <w:sz w:val="32"/>
          <w:szCs w:val="32"/>
          <w:shd w:val="clear" w:color="auto" w:fill="FFFFFF"/>
          <w:lang w:val="en-US" w:eastAsia="zh-CN"/>
        </w:rPr>
        <w:t>民</w:t>
      </w:r>
      <w:r>
        <w:rPr>
          <w:rFonts w:hint="eastAsia" w:ascii="仿宋_GB2312" w:hAnsi="Times New Roman" w:eastAsia="仿宋_GB2312" w:cs="仿宋_GB2312"/>
          <w:i w:val="0"/>
          <w:iCs w:val="0"/>
          <w:caps w:val="0"/>
          <w:color w:val="auto"/>
          <w:spacing w:val="0"/>
          <w:sz w:val="32"/>
          <w:szCs w:val="32"/>
          <w:shd w:val="clear" w:color="auto" w:fill="FFFFFF"/>
        </w:rPr>
        <w:t>区、</w:t>
      </w:r>
      <w:r>
        <w:rPr>
          <w:rFonts w:hint="eastAsia" w:ascii="仿宋_GB2312" w:hAnsi="Times New Roman" w:eastAsia="仿宋_GB2312" w:cs="仿宋_GB2312"/>
          <w:i w:val="0"/>
          <w:iCs w:val="0"/>
          <w:caps w:val="0"/>
          <w:color w:val="auto"/>
          <w:spacing w:val="0"/>
          <w:sz w:val="32"/>
          <w:szCs w:val="32"/>
          <w:shd w:val="clear" w:color="auto" w:fill="FFFFFF"/>
          <w:lang w:val="en-US" w:eastAsia="zh-CN"/>
        </w:rPr>
        <w:t>行政村</w:t>
      </w:r>
      <w:r>
        <w:rPr>
          <w:rFonts w:hint="eastAsia" w:ascii="仿宋_GB2312" w:hAnsi="Times New Roman" w:eastAsia="仿宋_GB2312" w:cs="仿宋_GB2312"/>
          <w:i w:val="0"/>
          <w:iCs w:val="0"/>
          <w:caps w:val="0"/>
          <w:color w:val="auto"/>
          <w:spacing w:val="0"/>
          <w:sz w:val="32"/>
          <w:szCs w:val="32"/>
          <w:shd w:val="clear" w:color="auto" w:fill="FFFFFF"/>
        </w:rPr>
        <w:t>、工矿厂区、</w:t>
      </w:r>
      <w:r>
        <w:rPr>
          <w:rFonts w:hint="eastAsia" w:ascii="仿宋_GB2312" w:hAnsi="Times New Roman" w:eastAsia="仿宋_GB2312" w:cs="仿宋_GB2312"/>
          <w:i w:val="0"/>
          <w:iCs w:val="0"/>
          <w:caps w:val="0"/>
          <w:color w:val="auto"/>
          <w:spacing w:val="0"/>
          <w:sz w:val="32"/>
          <w:szCs w:val="32"/>
          <w:shd w:val="clear" w:color="auto" w:fill="FFFFFF"/>
          <w:lang w:val="en-US" w:eastAsia="zh-CN"/>
        </w:rPr>
        <w:t>综合</w:t>
      </w:r>
      <w:r>
        <w:rPr>
          <w:rFonts w:hint="eastAsia" w:ascii="仿宋_GB2312" w:hAnsi="Times New Roman" w:eastAsia="仿宋_GB2312" w:cs="仿宋_GB2312"/>
          <w:i w:val="0"/>
          <w:iCs w:val="0"/>
          <w:caps w:val="0"/>
          <w:color w:val="auto"/>
          <w:spacing w:val="0"/>
          <w:sz w:val="32"/>
          <w:szCs w:val="32"/>
          <w:shd w:val="clear" w:color="auto" w:fill="FFFFFF"/>
        </w:rPr>
        <w:t>商业区等市场单元标签细分，形成标签化市场单元。</w:t>
      </w:r>
      <w:r>
        <w:rPr>
          <w:rFonts w:hint="eastAsia" w:ascii="黑体" w:hAnsi="黑体" w:eastAsia="黑体" w:cs="仿宋_GB2312"/>
          <w:color w:val="auto"/>
          <w:sz w:val="32"/>
          <w:szCs w:val="32"/>
          <w:lang w:val="en-US" w:eastAsia="zh-CN"/>
        </w:rPr>
        <w:t xml:space="preserve">  </w:t>
      </w:r>
    </w:p>
    <w:p w14:paraId="388C0B1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firstLine="516"/>
        <w:jc w:val="both"/>
        <w:textAlignment w:val="auto"/>
        <w:rPr>
          <w:rFonts w:hint="eastAsia" w:ascii="仿宋_GB2312" w:hAnsi="Times New Roman" w:eastAsia="仿宋_GB2312" w:cs="仿宋_GB2312"/>
          <w:i w:val="0"/>
          <w:iCs w:val="0"/>
          <w:caps w:val="0"/>
          <w:color w:val="auto"/>
          <w:spacing w:val="0"/>
          <w:sz w:val="32"/>
          <w:szCs w:val="32"/>
          <w:highlight w:val="none"/>
          <w:shd w:val="clear" w:color="auto" w:fill="FFFFFF"/>
        </w:rPr>
      </w:pPr>
      <w:r>
        <w:rPr>
          <w:rFonts w:hint="eastAsia" w:ascii="黑体" w:hAnsi="黑体" w:eastAsia="黑体" w:cs="仿宋_GB2312"/>
          <w:color w:val="auto"/>
          <w:sz w:val="32"/>
          <w:szCs w:val="32"/>
          <w:lang w:val="en-US" w:eastAsia="zh-CN"/>
        </w:rPr>
        <w:t xml:space="preserve">第八条  </w:t>
      </w:r>
      <w:r>
        <w:rPr>
          <w:rFonts w:hint="eastAsia" w:ascii="仿宋_GB2312" w:hAnsi="Times New Roman" w:eastAsia="仿宋_GB2312" w:cs="仿宋_GB2312"/>
          <w:i w:val="0"/>
          <w:iCs w:val="0"/>
          <w:caps w:val="0"/>
          <w:color w:val="auto"/>
          <w:spacing w:val="0"/>
          <w:sz w:val="32"/>
          <w:szCs w:val="32"/>
          <w:shd w:val="clear" w:color="auto" w:fill="FFFFFF"/>
        </w:rPr>
        <w:t>针对不同标签类型的市场单元，综合运用总量调控、间距控制、人口测控、峰值控制、限制准入等布局模式，组成市场单元差异化布局模型</w:t>
      </w:r>
      <w:r>
        <w:rPr>
          <w:rFonts w:hint="eastAsia" w:ascii="仿宋_GB2312" w:hAnsi="Times New Roman" w:eastAsia="仿宋_GB2312" w:cs="仿宋_GB2312"/>
          <w:i w:val="0"/>
          <w:iCs w:val="0"/>
          <w:caps w:val="0"/>
          <w:color w:val="auto"/>
          <w:spacing w:val="0"/>
          <w:sz w:val="32"/>
          <w:szCs w:val="32"/>
          <w:shd w:val="clear" w:color="auto" w:fill="FFFFFF"/>
          <w:lang w:eastAsia="zh-CN"/>
        </w:rPr>
        <w:t>，</w:t>
      </w:r>
      <w:r>
        <w:rPr>
          <w:rFonts w:hint="eastAsia" w:ascii="仿宋_GB2312" w:hAnsi="Times New Roman" w:eastAsia="仿宋_GB2312" w:cs="仿宋_GB2312"/>
          <w:i w:val="0"/>
          <w:iCs w:val="0"/>
          <w:caps w:val="0"/>
          <w:color w:val="auto"/>
          <w:spacing w:val="0"/>
          <w:sz w:val="32"/>
          <w:szCs w:val="32"/>
          <w:highlight w:val="none"/>
          <w:shd w:val="clear" w:color="auto" w:fill="FFFFFF"/>
          <w:lang w:val="en-US" w:eastAsia="zh-CN"/>
        </w:rPr>
        <w:t>形成《淄博市博山区烟草专卖局市场单元烟草制品零售点布局规划明细表》（附件1）</w:t>
      </w:r>
      <w:r>
        <w:rPr>
          <w:rFonts w:hint="eastAsia" w:ascii="仿宋_GB2312" w:hAnsi="Times New Roman" w:eastAsia="仿宋_GB2312" w:cs="仿宋_GB2312"/>
          <w:i w:val="0"/>
          <w:iCs w:val="0"/>
          <w:caps w:val="0"/>
          <w:color w:val="auto"/>
          <w:spacing w:val="0"/>
          <w:sz w:val="32"/>
          <w:szCs w:val="32"/>
          <w:highlight w:val="none"/>
          <w:shd w:val="clear" w:color="auto" w:fill="FFFFFF"/>
        </w:rPr>
        <w:t>。</w:t>
      </w:r>
    </w:p>
    <w:p w14:paraId="01433732">
      <w:pPr>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eastAsia" w:ascii="黑体" w:hAnsi="黑体" w:eastAsia="黑体" w:cs="仿宋_GB2312"/>
          <w:color w:val="auto"/>
          <w:sz w:val="32"/>
          <w:szCs w:val="32"/>
          <w:highlight w:val="none"/>
          <w:lang w:val="en-US" w:eastAsia="zh-CN"/>
        </w:rPr>
      </w:pPr>
      <w:r>
        <w:rPr>
          <w:rFonts w:hint="eastAsia" w:ascii="黑体" w:hAnsi="黑体" w:eastAsia="黑体" w:cs="仿宋_GB2312"/>
          <w:color w:val="auto"/>
          <w:sz w:val="32"/>
          <w:szCs w:val="32"/>
        </w:rPr>
        <w:t>第</w:t>
      </w:r>
      <w:r>
        <w:rPr>
          <w:rFonts w:hint="eastAsia" w:ascii="黑体" w:hAnsi="黑体" w:eastAsia="黑体" w:cs="仿宋_GB2312"/>
          <w:color w:val="auto"/>
          <w:sz w:val="32"/>
          <w:szCs w:val="32"/>
          <w:lang w:val="en-US" w:eastAsia="zh-CN"/>
        </w:rPr>
        <w:t>九</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Times New Roman" w:eastAsia="仿宋_GB2312" w:cs="仿宋_GB2312"/>
          <w:i w:val="0"/>
          <w:iCs w:val="0"/>
          <w:caps w:val="0"/>
          <w:color w:val="auto"/>
          <w:spacing w:val="0"/>
          <w:sz w:val="32"/>
          <w:szCs w:val="32"/>
          <w:highlight w:val="none"/>
          <w:shd w:val="clear" w:color="auto" w:fill="FFFFFF"/>
          <w:lang w:val="en-US" w:eastAsia="zh-CN"/>
        </w:rPr>
        <w:t>当市场单元内人口数量因</w:t>
      </w:r>
      <w:r>
        <w:rPr>
          <w:rFonts w:hint="eastAsia" w:ascii="仿宋_GB2312" w:hAnsi="Times New Roman" w:eastAsia="仿宋_GB2312" w:cs="仿宋_GB2312"/>
          <w:i w:val="0"/>
          <w:iCs w:val="0"/>
          <w:caps w:val="0"/>
          <w:color w:val="auto"/>
          <w:spacing w:val="0"/>
          <w:sz w:val="32"/>
          <w:szCs w:val="32"/>
          <w:highlight w:val="none"/>
          <w:shd w:val="clear" w:color="auto" w:fill="FFFFFF"/>
        </w:rPr>
        <w:t>城市规划</w:t>
      </w:r>
      <w:r>
        <w:rPr>
          <w:rFonts w:hint="eastAsia" w:ascii="仿宋_GB2312" w:hAnsi="Times New Roman" w:eastAsia="仿宋_GB2312" w:cs="仿宋_GB2312"/>
          <w:i w:val="0"/>
          <w:iCs w:val="0"/>
          <w:caps w:val="0"/>
          <w:color w:val="auto"/>
          <w:spacing w:val="0"/>
          <w:sz w:val="32"/>
          <w:szCs w:val="32"/>
          <w:highlight w:val="none"/>
          <w:shd w:val="clear" w:color="auto" w:fill="FFFFFF"/>
          <w:lang w:val="en-US" w:eastAsia="zh-CN"/>
        </w:rPr>
        <w:t>或受政策法规</w:t>
      </w:r>
      <w:r>
        <w:rPr>
          <w:rFonts w:hint="eastAsia" w:ascii="仿宋_GB2312" w:hAnsi="Times New Roman" w:eastAsia="仿宋_GB2312" w:cs="仿宋_GB2312"/>
          <w:i w:val="0"/>
          <w:iCs w:val="0"/>
          <w:caps w:val="0"/>
          <w:color w:val="auto"/>
          <w:spacing w:val="0"/>
          <w:sz w:val="32"/>
          <w:szCs w:val="32"/>
          <w:highlight w:val="none"/>
          <w:shd w:val="clear" w:color="auto" w:fill="FFFFFF"/>
        </w:rPr>
        <w:t>、</w:t>
      </w:r>
      <w:r>
        <w:rPr>
          <w:rFonts w:hint="eastAsia" w:ascii="仿宋_GB2312" w:hAnsi="Times New Roman" w:eastAsia="仿宋_GB2312" w:cs="仿宋_GB2312"/>
          <w:i w:val="0"/>
          <w:iCs w:val="0"/>
          <w:caps w:val="0"/>
          <w:color w:val="auto"/>
          <w:spacing w:val="0"/>
          <w:sz w:val="32"/>
          <w:szCs w:val="32"/>
          <w:highlight w:val="none"/>
          <w:shd w:val="clear" w:color="auto" w:fill="FFFFFF"/>
          <w:lang w:val="en-US" w:eastAsia="zh-CN"/>
        </w:rPr>
        <w:t>社会发展影响等变化，下降幅度超过30%时</w:t>
      </w:r>
      <w:r>
        <w:rPr>
          <w:rFonts w:hint="eastAsia" w:ascii="仿宋_GB2312" w:hAnsi="Times New Roman" w:eastAsia="仿宋_GB2312" w:cs="仿宋_GB2312"/>
          <w:i w:val="0"/>
          <w:iCs w:val="0"/>
          <w:caps w:val="0"/>
          <w:color w:val="auto"/>
          <w:spacing w:val="0"/>
          <w:sz w:val="32"/>
          <w:szCs w:val="32"/>
          <w:highlight w:val="none"/>
          <w:shd w:val="clear" w:color="auto" w:fill="FFFFFF"/>
        </w:rPr>
        <w:t>，</w:t>
      </w:r>
      <w:r>
        <w:rPr>
          <w:rFonts w:hint="eastAsia" w:ascii="仿宋_GB2312" w:hAnsi="Times New Roman" w:eastAsia="仿宋_GB2312" w:cs="仿宋_GB2312"/>
          <w:i w:val="0"/>
          <w:iCs w:val="0"/>
          <w:caps w:val="0"/>
          <w:color w:val="auto"/>
          <w:spacing w:val="0"/>
          <w:sz w:val="32"/>
          <w:szCs w:val="32"/>
          <w:highlight w:val="none"/>
          <w:shd w:val="clear" w:color="auto" w:fill="FFFFFF"/>
          <w:lang w:val="en-US" w:eastAsia="zh-CN"/>
        </w:rPr>
        <w:t>出于维护市场秩序、保护零售户利益的目的，</w:t>
      </w:r>
      <w:r>
        <w:rPr>
          <w:rFonts w:hint="eastAsia" w:ascii="仿宋_GB2312" w:hAnsi="Times New Roman" w:eastAsia="仿宋_GB2312" w:cs="仿宋_GB2312"/>
          <w:i w:val="0"/>
          <w:iCs w:val="0"/>
          <w:caps w:val="0"/>
          <w:color w:val="auto"/>
          <w:spacing w:val="0"/>
          <w:sz w:val="32"/>
          <w:szCs w:val="32"/>
          <w:highlight w:val="none"/>
          <w:shd w:val="clear" w:color="auto" w:fill="FFFFFF"/>
        </w:rPr>
        <w:t>应当对相关市场单元零售点数量予以保护性冻结</w:t>
      </w:r>
      <w:r>
        <w:rPr>
          <w:rFonts w:hint="eastAsia" w:ascii="仿宋_GB2312" w:hAnsi="Times New Roman" w:eastAsia="仿宋_GB2312" w:cs="仿宋_GB2312"/>
          <w:i w:val="0"/>
          <w:iCs w:val="0"/>
          <w:caps w:val="0"/>
          <w:color w:val="auto"/>
          <w:spacing w:val="0"/>
          <w:sz w:val="32"/>
          <w:szCs w:val="32"/>
          <w:highlight w:val="none"/>
          <w:shd w:val="clear" w:color="auto" w:fill="FFFFFF"/>
          <w:lang w:eastAsia="zh-CN"/>
        </w:rPr>
        <w:t>，</w:t>
      </w:r>
      <w:r>
        <w:rPr>
          <w:rFonts w:hint="eastAsia" w:ascii="仿宋_GB2312" w:hAnsi="Times New Roman" w:eastAsia="仿宋_GB2312" w:cs="仿宋_GB2312"/>
          <w:i w:val="0"/>
          <w:iCs w:val="0"/>
          <w:caps w:val="0"/>
          <w:color w:val="auto"/>
          <w:spacing w:val="0"/>
          <w:sz w:val="32"/>
          <w:szCs w:val="32"/>
          <w:highlight w:val="none"/>
          <w:shd w:val="clear" w:color="auto" w:fill="FFFFFF"/>
          <w:lang w:val="en-US" w:eastAsia="zh-CN"/>
        </w:rPr>
        <w:t>不增设新零售点</w:t>
      </w:r>
      <w:r>
        <w:rPr>
          <w:rFonts w:hint="eastAsia" w:ascii="仿宋_GB2312" w:hAnsi="Times New Roman" w:eastAsia="仿宋_GB2312" w:cs="仿宋_GB2312"/>
          <w:i w:val="0"/>
          <w:iCs w:val="0"/>
          <w:caps w:val="0"/>
          <w:color w:val="auto"/>
          <w:spacing w:val="0"/>
          <w:sz w:val="32"/>
          <w:szCs w:val="32"/>
          <w:highlight w:val="none"/>
          <w:shd w:val="clear" w:color="auto" w:fill="FFFFFF"/>
        </w:rPr>
        <w:t>。</w:t>
      </w:r>
      <w:r>
        <w:rPr>
          <w:rFonts w:hint="eastAsia" w:ascii="黑体" w:hAnsi="黑体" w:eastAsia="黑体" w:cs="仿宋_GB2312"/>
          <w:color w:val="auto"/>
          <w:sz w:val="32"/>
          <w:szCs w:val="32"/>
          <w:highlight w:val="none"/>
          <w:lang w:val="en-US" w:eastAsia="zh-CN"/>
        </w:rPr>
        <w:t xml:space="preserve"> </w:t>
      </w:r>
    </w:p>
    <w:p w14:paraId="1B88A2B1">
      <w:pPr>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highlight w:val="none"/>
          <w:lang w:val="en-US" w:eastAsia="zh-CN" w:bidi="ar-SA"/>
        </w:rPr>
      </w:pPr>
      <w:r>
        <w:rPr>
          <w:rFonts w:hint="eastAsia" w:ascii="黑体" w:hAnsi="黑体" w:eastAsia="黑体" w:cs="仿宋_GB2312"/>
          <w:color w:val="auto"/>
          <w:sz w:val="32"/>
          <w:szCs w:val="32"/>
          <w:highlight w:val="none"/>
          <w:lang w:val="en-US" w:eastAsia="zh-CN"/>
        </w:rPr>
        <w:t xml:space="preserve">第十条  </w:t>
      </w:r>
      <w:r>
        <w:rPr>
          <w:rFonts w:hint="eastAsia" w:ascii="仿宋_GB2312" w:hAnsi="Times New Roman" w:eastAsia="仿宋_GB2312" w:cs="仿宋_GB2312"/>
          <w:i w:val="0"/>
          <w:iCs w:val="0"/>
          <w:caps w:val="0"/>
          <w:color w:val="auto"/>
          <w:spacing w:val="0"/>
          <w:sz w:val="32"/>
          <w:szCs w:val="32"/>
          <w:highlight w:val="none"/>
          <w:shd w:val="clear" w:color="auto" w:fill="FFFFFF"/>
          <w:lang w:val="en-US" w:eastAsia="zh-CN"/>
        </w:rPr>
        <w:t>当市场单元内人口数量因</w:t>
      </w:r>
      <w:r>
        <w:rPr>
          <w:rFonts w:hint="eastAsia" w:ascii="仿宋_GB2312" w:hAnsi="Times New Roman" w:eastAsia="仿宋_GB2312" w:cs="仿宋_GB2312"/>
          <w:i w:val="0"/>
          <w:iCs w:val="0"/>
          <w:caps w:val="0"/>
          <w:color w:val="auto"/>
          <w:spacing w:val="0"/>
          <w:sz w:val="32"/>
          <w:szCs w:val="32"/>
          <w:highlight w:val="none"/>
          <w:shd w:val="clear" w:color="auto" w:fill="FFFFFF"/>
        </w:rPr>
        <w:t>城市规划</w:t>
      </w:r>
      <w:r>
        <w:rPr>
          <w:rFonts w:hint="eastAsia" w:ascii="仿宋_GB2312" w:hAnsi="Times New Roman" w:eastAsia="仿宋_GB2312" w:cs="仿宋_GB2312"/>
          <w:i w:val="0"/>
          <w:iCs w:val="0"/>
          <w:caps w:val="0"/>
          <w:color w:val="auto"/>
          <w:spacing w:val="0"/>
          <w:sz w:val="32"/>
          <w:szCs w:val="32"/>
          <w:highlight w:val="none"/>
          <w:shd w:val="clear" w:color="auto" w:fill="FFFFFF"/>
          <w:lang w:val="en-US" w:eastAsia="zh-CN"/>
        </w:rPr>
        <w:t>或受政策法规</w:t>
      </w:r>
      <w:r>
        <w:rPr>
          <w:rFonts w:hint="eastAsia" w:ascii="仿宋_GB2312" w:hAnsi="Times New Roman" w:eastAsia="仿宋_GB2312" w:cs="仿宋_GB2312"/>
          <w:i w:val="0"/>
          <w:iCs w:val="0"/>
          <w:caps w:val="0"/>
          <w:color w:val="auto"/>
          <w:spacing w:val="0"/>
          <w:sz w:val="32"/>
          <w:szCs w:val="32"/>
          <w:highlight w:val="none"/>
          <w:shd w:val="clear" w:color="auto" w:fill="FFFFFF"/>
        </w:rPr>
        <w:t>、</w:t>
      </w:r>
      <w:r>
        <w:rPr>
          <w:rFonts w:hint="eastAsia" w:ascii="仿宋_GB2312" w:hAnsi="Times New Roman" w:eastAsia="仿宋_GB2312" w:cs="仿宋_GB2312"/>
          <w:i w:val="0"/>
          <w:iCs w:val="0"/>
          <w:caps w:val="0"/>
          <w:color w:val="auto"/>
          <w:spacing w:val="0"/>
          <w:sz w:val="32"/>
          <w:szCs w:val="32"/>
          <w:highlight w:val="none"/>
          <w:shd w:val="clear" w:color="auto" w:fill="FFFFFF"/>
          <w:lang w:val="en-US" w:eastAsia="zh-CN"/>
        </w:rPr>
        <w:t>社会发展影响等变化，增长幅度超过30%时</w:t>
      </w:r>
      <w:r>
        <w:rPr>
          <w:rFonts w:hint="eastAsia" w:ascii="仿宋_GB2312" w:hAnsi="Times New Roman" w:eastAsia="仿宋_GB2312" w:cs="仿宋_GB2312"/>
          <w:i w:val="0"/>
          <w:iCs w:val="0"/>
          <w:caps w:val="0"/>
          <w:color w:val="auto"/>
          <w:spacing w:val="0"/>
          <w:sz w:val="32"/>
          <w:szCs w:val="32"/>
          <w:highlight w:val="none"/>
          <w:shd w:val="clear" w:color="auto" w:fill="FFFFFF"/>
        </w:rPr>
        <w:t>，</w:t>
      </w:r>
      <w:r>
        <w:rPr>
          <w:rFonts w:hint="eastAsia" w:ascii="仿宋_GB2312" w:hAnsi="Times New Roman" w:eastAsia="仿宋_GB2312" w:cs="仿宋_GB2312"/>
          <w:i w:val="0"/>
          <w:iCs w:val="0"/>
          <w:caps w:val="0"/>
          <w:color w:val="auto"/>
          <w:spacing w:val="0"/>
          <w:sz w:val="32"/>
          <w:szCs w:val="32"/>
          <w:highlight w:val="none"/>
          <w:shd w:val="clear" w:color="auto" w:fill="FFFFFF"/>
          <w:lang w:val="en-US" w:eastAsia="zh-CN"/>
        </w:rPr>
        <w:t>出于满足消费需求的目的，</w:t>
      </w:r>
      <w:r>
        <w:rPr>
          <w:rFonts w:hint="eastAsia" w:ascii="仿宋_GB2312" w:hAnsi="Times New Roman" w:eastAsia="仿宋_GB2312" w:cs="仿宋_GB2312"/>
          <w:i w:val="0"/>
          <w:iCs w:val="0"/>
          <w:caps w:val="0"/>
          <w:color w:val="auto"/>
          <w:spacing w:val="0"/>
          <w:sz w:val="32"/>
          <w:szCs w:val="32"/>
          <w:highlight w:val="none"/>
          <w:shd w:val="clear" w:color="auto" w:fill="FFFFFF"/>
        </w:rPr>
        <w:t>可根据实际情况</w:t>
      </w:r>
      <w:r>
        <w:rPr>
          <w:rFonts w:hint="eastAsia" w:ascii="仿宋_GB2312" w:hAnsi="Times New Roman" w:eastAsia="仿宋_GB2312" w:cs="仿宋_GB2312"/>
          <w:i w:val="0"/>
          <w:iCs w:val="0"/>
          <w:caps w:val="0"/>
          <w:color w:val="auto"/>
          <w:spacing w:val="0"/>
          <w:sz w:val="32"/>
          <w:szCs w:val="32"/>
          <w:highlight w:val="none"/>
          <w:shd w:val="clear" w:color="auto" w:fill="FFFFFF"/>
          <w:lang w:val="en-US" w:eastAsia="zh-CN"/>
        </w:rPr>
        <w:t>应急性增设零售点，</w:t>
      </w:r>
      <w:r>
        <w:rPr>
          <w:rFonts w:hint="eastAsia" w:ascii="仿宋_GB2312" w:hAnsi="Times New Roman" w:eastAsia="仿宋_GB2312" w:cs="仿宋_GB2312"/>
          <w:i w:val="0"/>
          <w:iCs w:val="0"/>
          <w:caps w:val="0"/>
          <w:color w:val="auto"/>
          <w:spacing w:val="0"/>
          <w:sz w:val="32"/>
          <w:szCs w:val="32"/>
          <w:highlight w:val="none"/>
          <w:shd w:val="clear" w:color="auto" w:fill="FFFFFF"/>
        </w:rPr>
        <w:t>增设</w:t>
      </w:r>
      <w:r>
        <w:rPr>
          <w:rFonts w:hint="eastAsia" w:ascii="仿宋_GB2312" w:hAnsi="Times New Roman" w:eastAsia="仿宋_GB2312" w:cs="仿宋_GB2312"/>
          <w:i w:val="0"/>
          <w:iCs w:val="0"/>
          <w:caps w:val="0"/>
          <w:color w:val="auto"/>
          <w:spacing w:val="0"/>
          <w:sz w:val="32"/>
          <w:szCs w:val="32"/>
          <w:highlight w:val="none"/>
          <w:shd w:val="clear" w:color="auto" w:fill="FFFFFF"/>
          <w:lang w:val="en-US" w:eastAsia="zh-CN"/>
        </w:rPr>
        <w:t>数量</w:t>
      </w:r>
      <w:r>
        <w:rPr>
          <w:rFonts w:hint="eastAsia" w:ascii="仿宋_GB2312" w:hAnsi="Times New Roman" w:eastAsia="仿宋_GB2312" w:cs="仿宋_GB2312"/>
          <w:i w:val="0"/>
          <w:iCs w:val="0"/>
          <w:caps w:val="0"/>
          <w:color w:val="auto"/>
          <w:spacing w:val="0"/>
          <w:sz w:val="32"/>
          <w:szCs w:val="32"/>
          <w:highlight w:val="none"/>
          <w:shd w:val="clear" w:color="auto" w:fill="FFFFFF"/>
        </w:rPr>
        <w:t>不超过</w:t>
      </w:r>
      <w:r>
        <w:rPr>
          <w:rFonts w:hint="eastAsia" w:ascii="仿宋_GB2312" w:hAnsi="Times New Roman" w:eastAsia="仿宋_GB2312" w:cs="仿宋_GB2312"/>
          <w:i w:val="0"/>
          <w:iCs w:val="0"/>
          <w:caps w:val="0"/>
          <w:color w:val="auto"/>
          <w:spacing w:val="0"/>
          <w:sz w:val="32"/>
          <w:szCs w:val="32"/>
          <w:highlight w:val="none"/>
          <w:shd w:val="clear" w:color="auto" w:fill="FFFFFF"/>
          <w:lang w:val="en-US" w:eastAsia="zh-CN"/>
        </w:rPr>
        <w:t>2</w:t>
      </w:r>
      <w:r>
        <w:rPr>
          <w:rFonts w:hint="eastAsia" w:ascii="仿宋_GB2312" w:hAnsi="Times New Roman" w:eastAsia="仿宋_GB2312" w:cs="仿宋_GB2312"/>
          <w:i w:val="0"/>
          <w:iCs w:val="0"/>
          <w:caps w:val="0"/>
          <w:color w:val="auto"/>
          <w:spacing w:val="0"/>
          <w:sz w:val="32"/>
          <w:szCs w:val="32"/>
          <w:highlight w:val="none"/>
          <w:shd w:val="clear" w:color="auto" w:fill="FFFFFF"/>
        </w:rPr>
        <w:t>个</w:t>
      </w:r>
      <w:r>
        <w:rPr>
          <w:rFonts w:hint="eastAsia" w:ascii="仿宋_GB2312" w:hAnsi="Times New Roman" w:eastAsia="仿宋_GB2312" w:cs="仿宋_GB2312"/>
          <w:i w:val="0"/>
          <w:iCs w:val="0"/>
          <w:caps w:val="0"/>
          <w:color w:val="auto"/>
          <w:spacing w:val="0"/>
          <w:sz w:val="32"/>
          <w:szCs w:val="32"/>
          <w:highlight w:val="none"/>
          <w:shd w:val="clear" w:color="auto" w:fill="FFFFFF"/>
          <w:lang w:eastAsia="zh-CN"/>
        </w:rPr>
        <w:t>，</w:t>
      </w:r>
      <w:r>
        <w:rPr>
          <w:rFonts w:hint="eastAsia" w:ascii="仿宋_GB2312" w:hAnsi="Times New Roman" w:eastAsia="仿宋_GB2312" w:cs="仿宋_GB2312"/>
          <w:i w:val="0"/>
          <w:iCs w:val="0"/>
          <w:caps w:val="0"/>
          <w:color w:val="auto"/>
          <w:spacing w:val="0"/>
          <w:sz w:val="32"/>
          <w:szCs w:val="32"/>
          <w:highlight w:val="none"/>
          <w:shd w:val="clear" w:color="auto" w:fill="FFFFFF"/>
        </w:rPr>
        <w:t>该增设数量为专项专用，不累计纳入市场单元零售点规划数量。</w:t>
      </w:r>
    </w:p>
    <w:p w14:paraId="3DAAF9B3">
      <w:pPr>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仿宋_GB2312"/>
          <w:color w:val="auto"/>
          <w:sz w:val="32"/>
          <w:szCs w:val="32"/>
          <w:lang w:val="en-US" w:eastAsia="zh-CN"/>
        </w:rPr>
        <w:t xml:space="preserve">第十一条  </w:t>
      </w:r>
      <w:r>
        <w:rPr>
          <w:rFonts w:hint="eastAsia" w:ascii="仿宋_GB2312" w:hAnsi="黑体" w:eastAsia="仿宋_GB2312" w:cs="黑体"/>
          <w:b w:val="0"/>
          <w:bCs w:val="0"/>
          <w:color w:val="auto"/>
          <w:kern w:val="2"/>
          <w:sz w:val="32"/>
          <w:szCs w:val="32"/>
          <w:lang w:val="en-US" w:eastAsia="zh-CN" w:bidi="ar-SA"/>
        </w:rPr>
        <w:t>烟草专卖局应当在市场单元规划数量内审批零售点。市场单元内零售点数量已经达到或超过规划上限的，</w:t>
      </w:r>
      <w:r>
        <w:rPr>
          <w:rFonts w:hint="eastAsia" w:ascii="仿宋_GB2312" w:hAnsi="黑体" w:eastAsia="仿宋_GB2312" w:cs="黑体"/>
          <w:b w:val="0"/>
          <w:bCs w:val="0"/>
          <w:color w:val="auto"/>
          <w:kern w:val="2"/>
          <w:sz w:val="32"/>
          <w:szCs w:val="32"/>
          <w:highlight w:val="none"/>
          <w:lang w:val="en-US" w:eastAsia="zh-CN" w:bidi="ar-SA"/>
        </w:rPr>
        <w:t>有申请意愿的行政相对人申办烟草专卖零售许可证时实行申请轮候排序。</w:t>
      </w:r>
    </w:p>
    <w:p w14:paraId="1F0C5D9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（一）申请人愿意参加排队轮候的需书面确认,并纳入排队轮候名册，按提交申请时间的先后顺序进行排队轮候，在申请地址所属市场单元内，按“退一进一”原则办理。</w:t>
      </w:r>
    </w:p>
    <w:p w14:paraId="7CC4DC3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（二）申请人在排队轮候期间，同一营业地址重复申请的，以第一次提交申请时间计算排队轮候次序。</w:t>
      </w:r>
    </w:p>
    <w:p w14:paraId="06868400">
      <w:pPr>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三）市场单元内如有新办指标的，应将信息及时通知排队轮候顺位申请人，申请人应自接到通知之日起5个工作日内提交申办材料，逾期未提交的，视为放弃申办,申请人放弃申办后可重新排队轮候。按照预留联系方式无法联系到申请人的，视为放弃本次申请。放弃本次申请或经核查不符合办证条件的，按照轮候顺序通知下一个轮候申请人提交申请材料。</w:t>
      </w:r>
    </w:p>
    <w:p w14:paraId="27375626">
      <w:pPr>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四）申请人因放弃排队轮候或放弃提交资料而自动丧失排队轮候资格后，又再次提交申请的，按上述办法重新排队轮候。申请人排队轮候期间修改申请地址的，按上述办法重新排队轮候。轮候申请人与实际申请人应当一致，轮候顺序不得调换或转让。</w:t>
      </w:r>
    </w:p>
    <w:p w14:paraId="70858D78">
      <w:pPr>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highlight w:val="none"/>
          <w:lang w:val="en-US" w:eastAsia="zh-CN" w:bidi="ar-SA"/>
        </w:rPr>
      </w:pPr>
      <w:r>
        <w:rPr>
          <w:rFonts w:hint="eastAsia" w:ascii="黑体" w:hAnsi="黑体" w:eastAsia="黑体" w:cs="仿宋_GB2312"/>
          <w:color w:val="auto"/>
          <w:sz w:val="32"/>
          <w:szCs w:val="32"/>
          <w:lang w:val="en-US" w:eastAsia="zh-CN"/>
        </w:rPr>
        <w:t xml:space="preserve">第十二条  </w:t>
      </w:r>
      <w:r>
        <w:rPr>
          <w:rFonts w:hint="eastAsia" w:ascii="仿宋_GB2312" w:hAnsi="黑体" w:eastAsia="仿宋_GB2312" w:cs="黑体"/>
          <w:b w:val="0"/>
          <w:bCs w:val="0"/>
          <w:color w:val="auto"/>
          <w:kern w:val="2"/>
          <w:sz w:val="32"/>
          <w:szCs w:val="32"/>
          <w:lang w:val="en-US" w:eastAsia="zh-CN" w:bidi="ar-SA"/>
        </w:rPr>
        <w:t>城镇零售点间距根据城市建设用地面积，剔除不宜设置零售点的区域面积，结合辖区内规划零售点数量、零售点覆盖范围、经济繁荣程度等因素综合测定</w:t>
      </w:r>
      <w:r>
        <w:rPr>
          <w:rFonts w:hint="eastAsia" w:ascii="仿宋_GB2312" w:hAnsi="黑体" w:eastAsia="仿宋_GB2312" w:cs="黑体"/>
          <w:b w:val="0"/>
          <w:bCs w:val="0"/>
          <w:color w:val="auto"/>
          <w:kern w:val="2"/>
          <w:sz w:val="32"/>
          <w:szCs w:val="32"/>
          <w:highlight w:val="none"/>
          <w:lang w:val="en-US" w:eastAsia="zh-CN" w:bidi="ar-SA"/>
        </w:rPr>
        <w:t>为50米。</w:t>
      </w:r>
    </w:p>
    <w:p w14:paraId="6F77C1ED">
      <w:pPr>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黑体" w:eastAsia="仿宋_GB2312" w:cs="黑体"/>
          <w:b w:val="0"/>
          <w:bCs w:val="0"/>
          <w:color w:val="auto"/>
          <w:kern w:val="2"/>
          <w:sz w:val="32"/>
          <w:szCs w:val="32"/>
          <w:highlight w:val="none"/>
          <w:lang w:val="en-US" w:eastAsia="zh-CN" w:bidi="ar-SA"/>
        </w:rPr>
        <w:t>自然村、行政村零售点间距参照城镇间距标准，结合人口数量、经济繁荣程度等因素确定为50米。</w:t>
      </w:r>
    </w:p>
    <w:p w14:paraId="38077FAE">
      <w:pPr>
        <w:keepNext w:val="0"/>
        <w:keepLines w:val="0"/>
        <w:pageBreakBefore w:val="0"/>
        <w:widowControl w:val="0"/>
        <w:shd w:val="clear" w:color="auto" w:fill="FFFFFF"/>
        <w:kinsoku/>
        <w:wordWrap/>
        <w:overflowPunct/>
        <w:topLinePunct w:val="0"/>
        <w:autoSpaceDE/>
        <w:autoSpaceDN/>
        <w:bidi w:val="0"/>
        <w:adjustRightInd/>
        <w:snapToGrid/>
        <w:spacing w:after="0" w:line="570" w:lineRule="exact"/>
        <w:ind w:left="0" w:leftChars="0" w:firstLine="640" w:firstLineChars="200"/>
        <w:jc w:val="both"/>
        <w:textAlignment w:val="auto"/>
        <w:rPr>
          <w:rFonts w:hint="eastAsia" w:ascii="仿宋_GB2312" w:hAnsi="黑体" w:eastAsia="仿宋_GB2312" w:cs="黑体"/>
          <w:b w:val="0"/>
          <w:bCs w:val="0"/>
          <w:color w:val="auto"/>
          <w:kern w:val="2"/>
          <w:sz w:val="32"/>
          <w:szCs w:val="32"/>
          <w:lang w:val="en-US" w:eastAsia="zh-CN" w:bidi="ar-SA"/>
        </w:rPr>
      </w:pPr>
      <w:r>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t xml:space="preserve">第十三条  </w:t>
      </w:r>
      <w:r>
        <w:rPr>
          <w:rFonts w:hint="eastAsia" w:ascii="仿宋_GB2312" w:hAnsi="黑体" w:eastAsia="仿宋_GB2312" w:cs="黑体"/>
          <w:b w:val="0"/>
          <w:bCs w:val="0"/>
          <w:color w:val="auto"/>
          <w:kern w:val="2"/>
          <w:sz w:val="32"/>
          <w:szCs w:val="32"/>
          <w:lang w:val="en-US" w:eastAsia="zh-CN" w:bidi="ar-SA"/>
        </w:rPr>
        <w:t>有下列情形之一的，本人拟从事烟草制品零售业务且能提供有效证明的，首次申办烟草专卖零售许可证时，受市场单元零售点合理布局数量限制，不受间距限制：</w:t>
      </w:r>
    </w:p>
    <w:p w14:paraId="5F54074F">
      <w:pPr>
        <w:keepNext w:val="0"/>
        <w:keepLines w:val="0"/>
        <w:pageBreakBefore w:val="0"/>
        <w:widowControl w:val="0"/>
        <w:shd w:val="clear" w:color="auto" w:fill="FFFFFF"/>
        <w:kinsoku/>
        <w:wordWrap/>
        <w:overflowPunct/>
        <w:topLinePunct w:val="0"/>
        <w:autoSpaceDE/>
        <w:autoSpaceDN/>
        <w:bidi w:val="0"/>
        <w:adjustRightInd/>
        <w:snapToGrid/>
        <w:spacing w:after="0" w:line="570" w:lineRule="exact"/>
        <w:ind w:left="0" w:leftChars="0" w:firstLine="640" w:firstLineChars="200"/>
        <w:jc w:val="both"/>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（一）具有完全民事行为能力且能自主经营的残疾人（持有残疾证原件）,且由申请人本人经营的。</w:t>
      </w:r>
    </w:p>
    <w:p w14:paraId="6405FE8C">
      <w:pPr>
        <w:keepNext w:val="0"/>
        <w:keepLines w:val="0"/>
        <w:pageBreakBefore w:val="0"/>
        <w:widowControl w:val="0"/>
        <w:shd w:val="clear" w:color="auto" w:fill="FFFFFF"/>
        <w:kinsoku/>
        <w:wordWrap/>
        <w:overflowPunct/>
        <w:topLinePunct w:val="0"/>
        <w:autoSpaceDE/>
        <w:autoSpaceDN/>
        <w:bidi w:val="0"/>
        <w:adjustRightInd/>
        <w:snapToGrid/>
        <w:spacing w:after="0" w:line="570" w:lineRule="exact"/>
        <w:ind w:left="0" w:leftChars="0" w:firstLine="640" w:firstLineChars="200"/>
        <w:jc w:val="both"/>
        <w:textAlignment w:val="auto"/>
        <w:rPr>
          <w:rFonts w:hint="default"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（二）军烈属（持烈士证的父母、配偶、子女，凭烈士证和相关证明材料），且由申请人本人经营的。</w:t>
      </w:r>
    </w:p>
    <w:p w14:paraId="0AAD6B1D">
      <w:pPr>
        <w:keepNext w:val="0"/>
        <w:keepLines w:val="0"/>
        <w:pageBreakBefore w:val="0"/>
        <w:widowControl w:val="0"/>
        <w:shd w:val="clear" w:color="auto" w:fill="FFFFFF"/>
        <w:kinsoku/>
        <w:wordWrap/>
        <w:overflowPunct/>
        <w:topLinePunct w:val="0"/>
        <w:autoSpaceDE/>
        <w:autoSpaceDN/>
        <w:bidi w:val="0"/>
        <w:adjustRightInd/>
        <w:snapToGrid/>
        <w:spacing w:after="0" w:line="570" w:lineRule="exact"/>
        <w:ind w:left="0" w:leftChars="0" w:firstLine="640" w:firstLineChars="200"/>
        <w:jc w:val="both"/>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（三）退役军人（持有转业或退伍军人证件），且由申请人本人经营的。</w:t>
      </w:r>
    </w:p>
    <w:p w14:paraId="6BB39B24">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Times New Roman" w:eastAsia="仿宋_GB2312" w:cs="仿宋_GB2312"/>
          <w:i w:val="0"/>
          <w:iCs w:val="0"/>
          <w:caps w:val="0"/>
          <w:color w:val="auto"/>
          <w:spacing w:val="0"/>
          <w:sz w:val="32"/>
          <w:szCs w:val="32"/>
          <w:highlight w:val="none"/>
          <w:shd w:val="clear" w:color="auto" w:fill="FFFFFF"/>
        </w:rPr>
      </w:pPr>
      <w:r>
        <w:rPr>
          <w:rFonts w:hint="eastAsia" w:ascii="仿宋_GB2312" w:hAnsi="Times New Roman" w:eastAsia="仿宋_GB2312" w:cs="仿宋_GB2312"/>
          <w:i w:val="0"/>
          <w:iCs w:val="0"/>
          <w:caps w:val="0"/>
          <w:color w:val="auto"/>
          <w:spacing w:val="0"/>
          <w:sz w:val="32"/>
          <w:szCs w:val="32"/>
          <w:highlight w:val="none"/>
          <w:shd w:val="clear" w:color="auto" w:fill="FFFFFF"/>
          <w:lang w:eastAsia="zh-CN"/>
        </w:rPr>
        <w:t>（</w:t>
      </w:r>
      <w:r>
        <w:rPr>
          <w:rFonts w:hint="eastAsia" w:ascii="仿宋_GB2312" w:hAnsi="Times New Roman" w:eastAsia="仿宋_GB2312" w:cs="仿宋_GB2312"/>
          <w:i w:val="0"/>
          <w:iCs w:val="0"/>
          <w:caps w:val="0"/>
          <w:color w:val="auto"/>
          <w:spacing w:val="0"/>
          <w:sz w:val="32"/>
          <w:szCs w:val="32"/>
          <w:highlight w:val="none"/>
          <w:shd w:val="clear" w:color="auto" w:fill="FFFFFF"/>
          <w:lang w:val="en-US" w:eastAsia="zh-CN"/>
        </w:rPr>
        <w:t>四</w:t>
      </w:r>
      <w:r>
        <w:rPr>
          <w:rFonts w:hint="eastAsia" w:ascii="仿宋_GB2312" w:hAnsi="Times New Roman" w:eastAsia="仿宋_GB2312" w:cs="仿宋_GB2312"/>
          <w:i w:val="0"/>
          <w:iCs w:val="0"/>
          <w:caps w:val="0"/>
          <w:color w:val="auto"/>
          <w:spacing w:val="0"/>
          <w:sz w:val="32"/>
          <w:szCs w:val="32"/>
          <w:highlight w:val="none"/>
          <w:shd w:val="clear" w:color="auto" w:fill="FFFFFF"/>
          <w:lang w:eastAsia="zh-CN"/>
        </w:rPr>
        <w:t>）</w:t>
      </w:r>
      <w:r>
        <w:rPr>
          <w:rFonts w:hint="eastAsia" w:ascii="仿宋_GB2312" w:hAnsi="Times New Roman" w:eastAsia="仿宋_GB2312" w:cs="仿宋_GB2312"/>
          <w:i w:val="0"/>
          <w:iCs w:val="0"/>
          <w:caps w:val="0"/>
          <w:color w:val="auto"/>
          <w:spacing w:val="0"/>
          <w:sz w:val="32"/>
          <w:szCs w:val="32"/>
          <w:highlight w:val="none"/>
          <w:shd w:val="clear" w:color="auto" w:fill="FFFFFF"/>
          <w:lang w:val="en-US" w:eastAsia="zh-CN"/>
        </w:rPr>
        <w:t>其他</w:t>
      </w:r>
      <w:r>
        <w:rPr>
          <w:rFonts w:ascii="仿宋_GB2312" w:hAnsi="黑体" w:eastAsia="仿宋_GB2312" w:cs="黑体"/>
          <w:color w:val="auto"/>
          <w:sz w:val="32"/>
          <w:szCs w:val="32"/>
          <w:highlight w:val="none"/>
        </w:rPr>
        <w:t>国家明文给予政策扶持的</w:t>
      </w:r>
      <w:r>
        <w:rPr>
          <w:rFonts w:hint="eastAsia" w:ascii="仿宋_GB2312" w:hAnsi="黑体" w:eastAsia="仿宋_GB2312" w:cs="黑体"/>
          <w:color w:val="auto"/>
          <w:sz w:val="32"/>
          <w:szCs w:val="32"/>
          <w:highlight w:val="none"/>
        </w:rPr>
        <w:t>纾困、优抚对象</w:t>
      </w:r>
      <w:r>
        <w:rPr>
          <w:rFonts w:hint="eastAsia" w:ascii="仿宋_GB2312" w:hAnsi="黑体" w:eastAsia="仿宋_GB2312" w:cs="黑体"/>
          <w:color w:val="auto"/>
          <w:sz w:val="32"/>
          <w:szCs w:val="32"/>
          <w:highlight w:val="none"/>
          <w:lang w:eastAsia="zh-CN"/>
        </w:rPr>
        <w:t>（</w:t>
      </w:r>
      <w:r>
        <w:rPr>
          <w:rFonts w:hint="eastAsia" w:ascii="仿宋_GB2312" w:hAnsi="黑体" w:eastAsia="仿宋_GB2312" w:cs="黑体"/>
          <w:color w:val="auto"/>
          <w:sz w:val="32"/>
          <w:szCs w:val="32"/>
          <w:highlight w:val="none"/>
          <w:lang w:val="en-US" w:eastAsia="zh-CN"/>
        </w:rPr>
        <w:t>持有政府部门出具的相关证明材料</w:t>
      </w:r>
      <w:r>
        <w:rPr>
          <w:rFonts w:hint="eastAsia" w:ascii="仿宋_GB2312" w:hAnsi="黑体" w:eastAsia="仿宋_GB2312" w:cs="黑体"/>
          <w:color w:val="auto"/>
          <w:sz w:val="32"/>
          <w:szCs w:val="32"/>
          <w:highlight w:val="none"/>
          <w:lang w:eastAsia="zh-CN"/>
        </w:rPr>
        <w:t>），</w:t>
      </w:r>
      <w:r>
        <w:rPr>
          <w:rFonts w:hint="eastAsia" w:ascii="仿宋_GB2312" w:hAnsi="Times New Roman" w:eastAsia="仿宋_GB2312" w:cs="仿宋_GB2312"/>
          <w:i w:val="0"/>
          <w:iCs w:val="0"/>
          <w:caps w:val="0"/>
          <w:color w:val="auto"/>
          <w:spacing w:val="0"/>
          <w:sz w:val="32"/>
          <w:szCs w:val="32"/>
          <w:highlight w:val="none"/>
          <w:shd w:val="clear" w:color="auto" w:fill="FFFFFF"/>
        </w:rPr>
        <w:t>且由申请人本人经营的。</w:t>
      </w:r>
    </w:p>
    <w:p w14:paraId="11B9DD2B">
      <w:pPr>
        <w:keepNext w:val="0"/>
        <w:keepLines w:val="0"/>
        <w:pageBreakBefore w:val="0"/>
        <w:widowControl w:val="0"/>
        <w:shd w:val="clear" w:color="auto" w:fill="FFFFFF"/>
        <w:kinsoku/>
        <w:wordWrap/>
        <w:overflowPunct/>
        <w:topLinePunct w:val="0"/>
        <w:autoSpaceDE/>
        <w:autoSpaceDN/>
        <w:bidi w:val="0"/>
        <w:adjustRightInd/>
        <w:snapToGrid/>
        <w:spacing w:after="0" w:line="570" w:lineRule="exact"/>
        <w:ind w:left="0" w:leftChars="0" w:firstLine="640" w:firstLineChars="200"/>
        <w:jc w:val="both"/>
        <w:textAlignment w:val="auto"/>
        <w:rPr>
          <w:rFonts w:hint="eastAsia" w:ascii="仿宋_GB2312" w:hAnsi="黑体" w:eastAsia="仿宋_GB2312" w:cs="黑体"/>
          <w:b w:val="0"/>
          <w:bCs w:val="0"/>
          <w:color w:val="auto"/>
          <w:kern w:val="2"/>
          <w:sz w:val="32"/>
          <w:szCs w:val="32"/>
          <w:lang w:val="en-US" w:eastAsia="zh-CN" w:bidi="ar-SA"/>
        </w:rPr>
      </w:pPr>
      <w:r>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t xml:space="preserve">第十四条  </w:t>
      </w:r>
      <w:r>
        <w:rPr>
          <w:rFonts w:hint="eastAsia" w:ascii="仿宋_GB2312" w:hAnsi="黑体" w:eastAsia="仿宋_GB2312" w:cs="黑体"/>
          <w:b w:val="0"/>
          <w:bCs w:val="0"/>
          <w:color w:val="auto"/>
          <w:kern w:val="2"/>
          <w:sz w:val="32"/>
          <w:szCs w:val="32"/>
          <w:lang w:val="en-US" w:eastAsia="zh-CN" w:bidi="ar-SA"/>
        </w:rPr>
        <w:t>有下列情形之一的，不受市场单元零售点合理布局数量、间距的限制：</w:t>
      </w:r>
    </w:p>
    <w:p w14:paraId="14E139C7">
      <w:pPr>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（一）经营场所位于中小学、幼儿园周围限制区域，持证人在许可证有效期内申请变更到本辖区内其他地址经营的。</w:t>
      </w:r>
    </w:p>
    <w:p w14:paraId="7C532477">
      <w:pPr>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（二）因道路规划、城市建设等客观原因造成无法在核定经营地址经营，持证人在许可证有效期内申请变更到本辖区内其他地址经营的。</w:t>
      </w:r>
    </w:p>
    <w:p w14:paraId="29A3D7FA">
      <w:pPr>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textAlignment w:val="auto"/>
        <w:rPr>
          <w:rFonts w:hint="eastAsia" w:ascii="仿宋_GB2312" w:hAnsi="黑体" w:eastAsia="仿宋_GB2312" w:cs="黑体"/>
          <w:b w:val="0"/>
          <w:bCs w:val="0"/>
          <w:color w:val="auto"/>
          <w:kern w:val="2"/>
          <w:sz w:val="32"/>
          <w:szCs w:val="32"/>
          <w:highlight w:val="none"/>
          <w:lang w:val="en-US" w:eastAsia="zh-CN" w:bidi="ar-SA"/>
        </w:rPr>
      </w:pPr>
      <w:r>
        <w:rPr>
          <w:rFonts w:hint="eastAsia" w:ascii="仿宋_GB2312" w:hAnsi="黑体" w:eastAsia="仿宋_GB2312" w:cs="黑体"/>
          <w:b w:val="0"/>
          <w:bCs w:val="0"/>
          <w:color w:val="auto"/>
          <w:kern w:val="2"/>
          <w:sz w:val="32"/>
          <w:szCs w:val="32"/>
          <w:highlight w:val="none"/>
          <w:lang w:val="en-US" w:eastAsia="zh-CN" w:bidi="ar-SA"/>
        </w:rPr>
        <w:t>（三）个体经营的,自然人持证主体死亡或丧失民事行为能力，发证机关作出注销决定后三个月内，其配偶、子女、父母在原经营地址重新申领烟草专卖零售许可证的。</w:t>
      </w:r>
    </w:p>
    <w:p w14:paraId="3CDCFCBE">
      <w:pPr>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textAlignment w:val="auto"/>
        <w:rPr>
          <w:rFonts w:hint="eastAsia" w:ascii="仿宋_GB2312" w:hAnsi="黑体" w:eastAsia="仿宋_GB2312" w:cs="黑体"/>
          <w:b w:val="0"/>
          <w:bCs w:val="0"/>
          <w:color w:val="auto"/>
          <w:kern w:val="2"/>
          <w:sz w:val="32"/>
          <w:szCs w:val="32"/>
          <w:highlight w:val="none"/>
          <w:lang w:val="en-US" w:eastAsia="zh-CN" w:bidi="ar-SA"/>
        </w:rPr>
      </w:pPr>
      <w:r>
        <w:rPr>
          <w:rFonts w:hint="eastAsia" w:ascii="仿宋_GB2312" w:hAnsi="黑体" w:eastAsia="仿宋_GB2312" w:cs="黑体"/>
          <w:b w:val="0"/>
          <w:bCs w:val="0"/>
          <w:color w:val="auto"/>
          <w:kern w:val="2"/>
          <w:sz w:val="32"/>
          <w:szCs w:val="32"/>
          <w:highlight w:val="none"/>
          <w:lang w:val="en-US" w:eastAsia="zh-CN" w:bidi="ar-SA"/>
        </w:rPr>
        <w:t>（四）符合当地烟草公司规定的雪茄烟存储、销售、品鉴等经营条件且仅从事雪茄烟零售业务的。</w:t>
      </w:r>
    </w:p>
    <w:p w14:paraId="3E42FAD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jc w:val="both"/>
        <w:textAlignment w:val="auto"/>
        <w:rPr>
          <w:rFonts w:hint="eastAsia" w:ascii="仿宋_GB2312" w:hAnsi="黑体" w:eastAsia="仿宋_GB2312" w:cs="黑体"/>
          <w:b w:val="0"/>
          <w:bCs w:val="0"/>
          <w:color w:val="auto"/>
          <w:kern w:val="2"/>
          <w:sz w:val="32"/>
          <w:szCs w:val="32"/>
          <w:highlight w:val="none"/>
          <w:lang w:val="en-US" w:eastAsia="zh-CN" w:bidi="ar-SA"/>
        </w:rPr>
      </w:pPr>
      <w:r>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t xml:space="preserve">第十五条  </w:t>
      </w:r>
      <w:r>
        <w:rPr>
          <w:rFonts w:hint="eastAsia" w:ascii="仿宋_GB2312" w:hAnsi="黑体" w:eastAsia="仿宋_GB2312" w:cs="黑体"/>
          <w:b w:val="0"/>
          <w:bCs w:val="0"/>
          <w:color w:val="auto"/>
          <w:kern w:val="2"/>
          <w:sz w:val="32"/>
          <w:szCs w:val="32"/>
          <w:highlight w:val="none"/>
          <w:lang w:val="en-US" w:eastAsia="zh-CN" w:bidi="ar-SA"/>
        </w:rPr>
        <w:t>本《规定》实施前已合法持有烟草专卖零售许可证的零售户，按照尊重历史、立足现状、信赖保护的原则，不受烟草制品零售点合理布局规定调整的影响。</w:t>
      </w:r>
    </w:p>
    <w:p w14:paraId="2A5B4F8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center"/>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Style w:val="7"/>
          <w:rFonts w:hint="eastAsia" w:ascii="黑体" w:hAnsi="黑体" w:eastAsia="黑体" w:cs="黑体"/>
          <w:b w:val="0"/>
          <w:bCs w:val="0"/>
          <w:i w:val="0"/>
          <w:iCs w:val="0"/>
          <w:caps w:val="0"/>
          <w:color w:val="auto"/>
          <w:spacing w:val="0"/>
          <w:sz w:val="32"/>
          <w:szCs w:val="32"/>
          <w:highlight w:val="none"/>
          <w:shd w:val="clear" w:color="auto" w:fill="FFFFFF"/>
        </w:rPr>
        <w:t>第</w:t>
      </w:r>
      <w:r>
        <w:rPr>
          <w:rStyle w:val="7"/>
          <w:rFonts w:hint="eastAsia" w:ascii="黑体" w:hAnsi="黑体" w:eastAsia="黑体" w:cs="黑体"/>
          <w:b w:val="0"/>
          <w:bCs w:val="0"/>
          <w:i w:val="0"/>
          <w:iCs w:val="0"/>
          <w:caps w:val="0"/>
          <w:color w:val="auto"/>
          <w:spacing w:val="0"/>
          <w:sz w:val="32"/>
          <w:szCs w:val="32"/>
          <w:highlight w:val="none"/>
          <w:shd w:val="clear" w:color="auto" w:fill="FFFFFF"/>
          <w:lang w:val="en-US" w:eastAsia="zh-CN"/>
        </w:rPr>
        <w:t>三</w:t>
      </w:r>
      <w:r>
        <w:rPr>
          <w:rStyle w:val="7"/>
          <w:rFonts w:hint="eastAsia" w:ascii="黑体" w:hAnsi="黑体" w:eastAsia="黑体" w:cs="黑体"/>
          <w:b w:val="0"/>
          <w:bCs w:val="0"/>
          <w:i w:val="0"/>
          <w:iCs w:val="0"/>
          <w:caps w:val="0"/>
          <w:color w:val="auto"/>
          <w:spacing w:val="0"/>
          <w:sz w:val="32"/>
          <w:szCs w:val="32"/>
          <w:highlight w:val="none"/>
          <w:shd w:val="clear" w:color="auto" w:fill="FFFFFF"/>
        </w:rPr>
        <w:t>章  禁止准入情形</w:t>
      </w:r>
    </w:p>
    <w:p w14:paraId="1F93B6B1">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黑体" w:hAnsi="黑体" w:eastAsia="黑体" w:cs="仿宋_GB2312"/>
          <w:color w:val="auto"/>
          <w:sz w:val="32"/>
          <w:szCs w:val="32"/>
        </w:rPr>
        <w:t>第十</w:t>
      </w:r>
      <w:r>
        <w:rPr>
          <w:rFonts w:hint="eastAsia" w:ascii="黑体" w:hAnsi="黑体" w:eastAsia="黑体" w:cs="仿宋_GB2312"/>
          <w:color w:val="auto"/>
          <w:sz w:val="32"/>
          <w:szCs w:val="32"/>
          <w:lang w:eastAsia="zh-CN"/>
        </w:rPr>
        <w:t>六</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黑体" w:eastAsia="仿宋_GB2312" w:cs="黑体"/>
          <w:b w:val="0"/>
          <w:bCs w:val="0"/>
          <w:color w:val="auto"/>
          <w:kern w:val="2"/>
          <w:sz w:val="32"/>
          <w:szCs w:val="32"/>
          <w:lang w:val="en-US" w:eastAsia="zh-CN" w:bidi="ar-SA"/>
        </w:rPr>
        <w:t>申请主体有下列情形之一的，不予核发烟草专卖零售许可证：</w:t>
      </w:r>
    </w:p>
    <w:p w14:paraId="0D9B9876">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（一）未成年人、无民事行为能力人或者限制民事行为能力人；</w:t>
      </w:r>
    </w:p>
    <w:p w14:paraId="05859B8F">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highlight w:val="none"/>
          <w:lang w:val="en-US" w:eastAsia="zh-CN" w:bidi="ar-SA"/>
        </w:rPr>
      </w:pPr>
      <w:r>
        <w:rPr>
          <w:rFonts w:hint="eastAsia" w:ascii="仿宋_GB2312" w:hAnsi="黑体" w:eastAsia="仿宋_GB2312" w:cs="黑体"/>
          <w:b w:val="0"/>
          <w:bCs w:val="0"/>
          <w:color w:val="auto"/>
          <w:kern w:val="2"/>
          <w:sz w:val="32"/>
          <w:szCs w:val="32"/>
          <w:lang w:val="en-US" w:eastAsia="zh-CN" w:bidi="ar-SA"/>
        </w:rPr>
        <w:t>（二）外商投资的商业企业或者个体工商户或者其以特许、吸纳加盟店以及其他再投资等形式变相从事烟草专卖品经营的</w:t>
      </w:r>
      <w:r>
        <w:rPr>
          <w:rFonts w:hint="eastAsia" w:ascii="仿宋_GB2312" w:hAnsi="黑体" w:eastAsia="仿宋_GB2312" w:cs="黑体"/>
          <w:b w:val="0"/>
          <w:bCs w:val="0"/>
          <w:color w:val="auto"/>
          <w:kern w:val="2"/>
          <w:sz w:val="32"/>
          <w:szCs w:val="32"/>
          <w:highlight w:val="none"/>
          <w:lang w:val="en-US" w:eastAsia="zh-CN" w:bidi="ar-SA"/>
        </w:rPr>
        <w:t>；</w:t>
      </w:r>
    </w:p>
    <w:p w14:paraId="02BD48E0">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取消从事烟草专卖业务资格不满三年的；</w:t>
      </w:r>
    </w:p>
    <w:p w14:paraId="5BBD5115">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隐瞒有关情况或者提供虚假材料，烟草专卖局作出不予受理或者不予发证决定后，一年内再次提出申请的；</w:t>
      </w:r>
    </w:p>
    <w:p w14:paraId="126030FA">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以欺骗、贿赂等不正当手段取得的烟草专卖许可证被撤销后，三年内再次提出申请的；</w:t>
      </w:r>
    </w:p>
    <w:p w14:paraId="794CD700">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未领取烟草专卖零售许可证经营烟草专卖品业务被追究刑事责任，在三年内申请领取烟草专卖零售许可证的；</w:t>
      </w:r>
    </w:p>
    <w:p w14:paraId="05BF2010">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未领取烟草专卖零售许可证经营烟草专卖品业务，并且一年内被执法机关处罚两次以上，在三年内申请领取烟草专卖零售许可证的；</w:t>
      </w:r>
    </w:p>
    <w:p w14:paraId="47E4726A">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其他依法不得从事烟草制品零售业务的情形。</w:t>
      </w:r>
    </w:p>
    <w:p w14:paraId="0B5C19CB">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黑体" w:hAnsi="黑体" w:eastAsia="黑体" w:cs="仿宋_GB2312"/>
          <w:color w:val="auto"/>
          <w:sz w:val="32"/>
          <w:szCs w:val="32"/>
        </w:rPr>
        <w:t>第十</w:t>
      </w:r>
      <w:r>
        <w:rPr>
          <w:rFonts w:hint="eastAsia" w:ascii="黑体" w:hAnsi="黑体" w:eastAsia="黑体" w:cs="仿宋_GB2312"/>
          <w:color w:val="auto"/>
          <w:sz w:val="32"/>
          <w:szCs w:val="32"/>
          <w:lang w:eastAsia="zh-CN"/>
        </w:rPr>
        <w:t>七</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黑体" w:eastAsia="仿宋_GB2312" w:cs="黑体"/>
          <w:b w:val="0"/>
          <w:bCs w:val="0"/>
          <w:color w:val="auto"/>
          <w:kern w:val="2"/>
          <w:sz w:val="32"/>
          <w:szCs w:val="32"/>
          <w:lang w:val="en-US" w:eastAsia="zh-CN" w:bidi="ar-SA"/>
        </w:rPr>
        <w:t>经营场所有下列情形之一的，不予核发烟草专卖零售许可证：</w:t>
      </w:r>
    </w:p>
    <w:p w14:paraId="58BEA4BE">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（一）无固定经营场所的；</w:t>
      </w:r>
    </w:p>
    <w:p w14:paraId="3AFACE5F">
      <w:pPr>
        <w:keepNext w:val="0"/>
        <w:keepLines w:val="0"/>
        <w:pageBreakBefore w:val="0"/>
        <w:widowControl w:val="0"/>
        <w:numPr>
          <w:ilvl w:val="0"/>
          <w:numId w:val="2"/>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经营场所与住所不相独立的；</w:t>
      </w:r>
    </w:p>
    <w:p w14:paraId="0F93429C">
      <w:pPr>
        <w:keepNext w:val="0"/>
        <w:keepLines w:val="0"/>
        <w:pageBreakBefore w:val="0"/>
        <w:widowControl w:val="0"/>
        <w:numPr>
          <w:ilvl w:val="0"/>
          <w:numId w:val="2"/>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中小学校、幼儿园内及其进出通道口向外延伸100米以内的；</w:t>
      </w:r>
    </w:p>
    <w:p w14:paraId="6BB35EC3">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（四）位于党政机关、医疗机构内部的；</w:t>
      </w:r>
    </w:p>
    <w:p w14:paraId="7EBACFA3">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（五）已被政府纳入拆迁规划的区域；</w:t>
      </w:r>
    </w:p>
    <w:p w14:paraId="3735AADA">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（六）办公楼、写字楼等除首层沿街以外的场所；</w:t>
      </w:r>
    </w:p>
    <w:p w14:paraId="4436F07A">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七）爱国主义教育基地、图书馆、青少年宫、儿童活动中心、儿童之家、博物馆、纪念馆、科技馆、展览馆、美术馆、文化馆、社区公益性互联网上网服务场所以及影剧院、体育场馆、动物园、植物园、公园等未成年人活动聚集场所及其附属设施内部；</w:t>
      </w:r>
    </w:p>
    <w:p w14:paraId="711367B4">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（八）母婴用品、文具玩具、青少年培训机构、未成年人游乐场所等容易诱导未成年人关注、购买、吸食烟草制品的场所内部；</w:t>
      </w:r>
    </w:p>
    <w:p w14:paraId="431107DF">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生产、经营、储存有毒有害、易燃易爆易挥发类物质，容易造成烟草制品污染或基于安全因素不适宜经营烟草制品的经营场所；</w:t>
      </w:r>
    </w:p>
    <w:p w14:paraId="193557FC">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申请时不具备商品售卖条件的；</w:t>
      </w:r>
    </w:p>
    <w:p w14:paraId="554C5C3C">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政府或相关部门明文规定不适宜经营烟草制品的场所；</w:t>
      </w:r>
    </w:p>
    <w:p w14:paraId="5BEAA54F">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其他依法不得从事烟草制品零售业务的场所。</w:t>
      </w:r>
    </w:p>
    <w:p w14:paraId="2F75801B">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 w:eastAsia="仿宋_GB2312" w:cs="仿宋_GB2312"/>
          <w:sz w:val="32"/>
          <w:szCs w:val="32"/>
        </w:rPr>
      </w:pPr>
      <w:r>
        <w:rPr>
          <w:rFonts w:hint="eastAsia" w:ascii="黑体" w:hAnsi="黑体" w:eastAsia="黑体" w:cs="仿宋_GB2312"/>
          <w:color w:val="auto"/>
          <w:sz w:val="32"/>
          <w:szCs w:val="32"/>
          <w:highlight w:val="none"/>
          <w:lang w:eastAsia="zh-CN"/>
        </w:rPr>
        <w:t>第十八条</w:t>
      </w:r>
      <w:r>
        <w:rPr>
          <w:rFonts w:hint="eastAsia" w:ascii="黑体" w:hAnsi="黑体" w:eastAsia="黑体" w:cs="仿宋_GB2312"/>
          <w:color w:val="auto"/>
          <w:sz w:val="32"/>
          <w:szCs w:val="32"/>
          <w:highlight w:val="none"/>
        </w:rPr>
        <w:t xml:space="preserve"> </w:t>
      </w:r>
      <w:r>
        <w:rPr>
          <w:rFonts w:hint="eastAsia" w:ascii="黑体" w:hAnsi="黑体" w:eastAsia="黑体" w:cs="仿宋_GB2312"/>
          <w:color w:val="auto"/>
          <w:sz w:val="32"/>
          <w:szCs w:val="32"/>
          <w:highlight w:val="none"/>
          <w:lang w:val="en-US" w:eastAsia="zh-CN"/>
        </w:rPr>
        <w:t xml:space="preserve"> </w:t>
      </w:r>
      <w:r>
        <w:rPr>
          <w:rFonts w:hint="eastAsia" w:ascii="仿宋_GB2312" w:hAnsi="仿宋" w:eastAsia="仿宋_GB2312" w:cs="仿宋_GB2312"/>
          <w:sz w:val="32"/>
          <w:szCs w:val="32"/>
          <w:highlight w:val="none"/>
        </w:rPr>
        <w:t>主营业务为服装鞋帽、医疗器械、物流寄递、电子商品、网吧网咖、美发美容、保健按摩、五金汽修、文体用品、鲜花绿植、家居建材等专业性较强，与烟草制品零售业务没有直接或</w:t>
      </w:r>
      <w:r>
        <w:rPr>
          <w:rFonts w:hint="eastAsia" w:ascii="仿宋_GB2312" w:hAnsi="仿宋" w:eastAsia="仿宋_GB2312" w:cs="仿宋_GB2312"/>
          <w:sz w:val="32"/>
          <w:szCs w:val="32"/>
        </w:rPr>
        <w:t>间接互补营销关系的业态类型不予设置零售点。</w:t>
      </w:r>
    </w:p>
    <w:p w14:paraId="6D751F2B">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黑体" w:hAnsi="黑体" w:eastAsia="黑体" w:cs="仿宋_GB2312"/>
          <w:color w:val="auto"/>
          <w:sz w:val="32"/>
          <w:szCs w:val="32"/>
        </w:rPr>
        <w:t>第十</w:t>
      </w:r>
      <w:r>
        <w:rPr>
          <w:rFonts w:hint="eastAsia" w:ascii="黑体" w:hAnsi="黑体" w:eastAsia="黑体" w:cs="仿宋_GB2312"/>
          <w:color w:val="auto"/>
          <w:sz w:val="32"/>
          <w:szCs w:val="32"/>
          <w:lang w:eastAsia="zh-CN"/>
        </w:rPr>
        <w:t>九</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黑体" w:eastAsia="仿宋_GB2312" w:cs="黑体"/>
          <w:b w:val="0"/>
          <w:bCs w:val="0"/>
          <w:color w:val="auto"/>
          <w:kern w:val="2"/>
          <w:sz w:val="32"/>
          <w:szCs w:val="32"/>
          <w:lang w:val="en-US" w:eastAsia="zh-CN" w:bidi="ar-SA"/>
        </w:rPr>
        <w:t>经营模式有下列情形之一的，不予核发烟草专卖零售许可证：</w:t>
      </w:r>
    </w:p>
    <w:p w14:paraId="78803666">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（一）利用自动售货机（柜）或其他自动售货方式销售烟草制品的；</w:t>
      </w:r>
    </w:p>
    <w:p w14:paraId="544DB1FA">
      <w:pPr>
        <w:keepNext w:val="0"/>
        <w:keepLines w:val="0"/>
        <w:pageBreakBefore w:val="0"/>
        <w:widowControl w:val="0"/>
        <w:numPr>
          <w:ilvl w:val="0"/>
          <w:numId w:val="3"/>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以无人售货等形式销售烟草制品的；</w:t>
      </w:r>
    </w:p>
    <w:p w14:paraId="52DDA413">
      <w:pPr>
        <w:keepNext w:val="0"/>
        <w:keepLines w:val="0"/>
        <w:pageBreakBefore w:val="0"/>
        <w:widowControl w:val="0"/>
        <w:numPr>
          <w:ilvl w:val="0"/>
          <w:numId w:val="3"/>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以游戏、博彩等方式经营烟草制品的；</w:t>
      </w:r>
    </w:p>
    <w:p w14:paraId="071C053A">
      <w:pPr>
        <w:keepNext w:val="0"/>
        <w:keepLines w:val="0"/>
        <w:pageBreakBefore w:val="0"/>
        <w:widowControl w:val="0"/>
        <w:numPr>
          <w:ilvl w:val="0"/>
          <w:numId w:val="3"/>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通过信息网络销售烟草制品的；</w:t>
      </w:r>
    </w:p>
    <w:p w14:paraId="20570F94">
      <w:pPr>
        <w:keepNext w:val="0"/>
        <w:keepLines w:val="0"/>
        <w:pageBreakBefore w:val="0"/>
        <w:widowControl w:val="0"/>
        <w:numPr>
          <w:ilvl w:val="0"/>
          <w:numId w:val="3"/>
        </w:numPr>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kern w:val="2"/>
          <w:sz w:val="32"/>
          <w:szCs w:val="32"/>
          <w:lang w:val="en-US" w:eastAsia="zh-CN" w:bidi="ar-SA"/>
        </w:rPr>
      </w:pPr>
      <w:r>
        <w:rPr>
          <w:rFonts w:hint="eastAsia" w:ascii="仿宋_GB2312" w:hAnsi="黑体" w:eastAsia="仿宋_GB2312" w:cs="黑体"/>
          <w:b w:val="0"/>
          <w:bCs w:val="0"/>
          <w:color w:val="auto"/>
          <w:kern w:val="2"/>
          <w:sz w:val="32"/>
          <w:szCs w:val="32"/>
          <w:lang w:val="en-US" w:eastAsia="zh-CN" w:bidi="ar-SA"/>
        </w:rPr>
        <w:t>其他依法不得从事烟草制品零售业务的情形。</w:t>
      </w:r>
    </w:p>
    <w:p w14:paraId="3EE79B7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黑体" w:eastAsia="仿宋_GB2312" w:cs="黑体"/>
          <w:color w:val="auto"/>
          <w:sz w:val="32"/>
          <w:szCs w:val="32"/>
        </w:rPr>
      </w:pPr>
      <w:r>
        <w:rPr>
          <w:rFonts w:hint="eastAsia" w:ascii="黑体" w:hAnsi="黑体" w:eastAsia="黑体" w:cs="黑体"/>
          <w:i w:val="0"/>
          <w:iCs w:val="0"/>
          <w:caps w:val="0"/>
          <w:color w:val="auto"/>
          <w:spacing w:val="0"/>
          <w:sz w:val="32"/>
          <w:szCs w:val="32"/>
          <w:highlight w:val="none"/>
          <w:shd w:val="clear" w:color="auto" w:fill="FFFFFF"/>
        </w:rPr>
        <w:t>第</w:t>
      </w:r>
      <w:r>
        <w:rPr>
          <w:rFonts w:hint="eastAsia" w:ascii="黑体" w:hAnsi="黑体" w:eastAsia="黑体" w:cs="黑体"/>
          <w:i w:val="0"/>
          <w:iCs w:val="0"/>
          <w:caps w:val="0"/>
          <w:color w:val="auto"/>
          <w:spacing w:val="0"/>
          <w:sz w:val="32"/>
          <w:szCs w:val="32"/>
          <w:highlight w:val="none"/>
          <w:shd w:val="clear" w:color="auto" w:fill="FFFFFF"/>
          <w:lang w:eastAsia="zh-CN"/>
        </w:rPr>
        <w:t>二十</w:t>
      </w:r>
      <w:r>
        <w:rPr>
          <w:rFonts w:hint="eastAsia" w:ascii="黑体" w:hAnsi="黑体" w:eastAsia="黑体" w:cs="黑体"/>
          <w:i w:val="0"/>
          <w:iCs w:val="0"/>
          <w:caps w:val="0"/>
          <w:color w:val="auto"/>
          <w:spacing w:val="0"/>
          <w:sz w:val="32"/>
          <w:szCs w:val="32"/>
          <w:highlight w:val="none"/>
          <w:shd w:val="clear" w:color="auto" w:fill="FFFFFF"/>
        </w:rPr>
        <w:t>条</w:t>
      </w:r>
      <w:r>
        <w:rPr>
          <w:rFonts w:hint="eastAsia" w:ascii="黑体" w:hAnsi="黑体" w:eastAsia="黑体" w:cs="黑体"/>
          <w:i w:val="0"/>
          <w:iCs w:val="0"/>
          <w:caps w:val="0"/>
          <w:color w:val="auto"/>
          <w:spacing w:val="0"/>
          <w:sz w:val="32"/>
          <w:szCs w:val="32"/>
          <w:highlight w:val="none"/>
          <w:shd w:val="clear" w:color="auto" w:fill="FFFFFF"/>
          <w:lang w:val="en-US" w:eastAsia="zh-CN"/>
        </w:rPr>
        <w:t xml:space="preserve">  </w:t>
      </w:r>
      <w:r>
        <w:rPr>
          <w:rFonts w:hint="eastAsia" w:ascii="仿宋_GB2312" w:hAnsi="黑体" w:eastAsia="仿宋_GB2312" w:cs="黑体"/>
          <w:color w:val="auto"/>
          <w:sz w:val="32"/>
          <w:szCs w:val="32"/>
        </w:rPr>
        <w:t>除经营场所的安全要求和中小学、幼儿园周围的限制规定外，本规定不溯及已持有烟草专卖零售许可证的零售户。</w:t>
      </w:r>
    </w:p>
    <w:p w14:paraId="51FB372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center"/>
        <w:textAlignment w:val="auto"/>
        <w:rPr>
          <w:rStyle w:val="7"/>
          <w:rFonts w:hint="eastAsia" w:ascii="方正仿宋_GB2312" w:hAnsi="方正仿宋_GB2312" w:eastAsia="方正仿宋_GB2312" w:cs="方正仿宋_GB2312"/>
          <w:b w:val="0"/>
          <w:bCs w:val="0"/>
          <w:i w:val="0"/>
          <w:iCs w:val="0"/>
          <w:caps w:val="0"/>
          <w:color w:val="auto"/>
          <w:spacing w:val="0"/>
          <w:sz w:val="32"/>
          <w:szCs w:val="32"/>
          <w:highlight w:val="none"/>
          <w:shd w:val="clear" w:color="auto" w:fill="FFFFFF"/>
        </w:rPr>
      </w:pPr>
      <w:r>
        <w:rPr>
          <w:rStyle w:val="7"/>
          <w:rFonts w:hint="eastAsia" w:ascii="黑体" w:hAnsi="黑体" w:eastAsia="黑体" w:cs="黑体"/>
          <w:b w:val="0"/>
          <w:bCs w:val="0"/>
          <w:i w:val="0"/>
          <w:iCs w:val="0"/>
          <w:caps w:val="0"/>
          <w:color w:val="auto"/>
          <w:spacing w:val="0"/>
          <w:sz w:val="32"/>
          <w:szCs w:val="32"/>
          <w:highlight w:val="none"/>
          <w:shd w:val="clear" w:color="auto" w:fill="FFFFFF"/>
        </w:rPr>
        <w:t>第</w:t>
      </w:r>
      <w:r>
        <w:rPr>
          <w:rStyle w:val="7"/>
          <w:rFonts w:hint="eastAsia" w:ascii="黑体" w:hAnsi="黑体" w:eastAsia="黑体" w:cs="黑体"/>
          <w:b w:val="0"/>
          <w:bCs w:val="0"/>
          <w:i w:val="0"/>
          <w:iCs w:val="0"/>
          <w:caps w:val="0"/>
          <w:color w:val="auto"/>
          <w:spacing w:val="0"/>
          <w:sz w:val="32"/>
          <w:szCs w:val="32"/>
          <w:highlight w:val="none"/>
          <w:shd w:val="clear" w:color="auto" w:fill="FFFFFF"/>
          <w:lang w:val="en-US" w:eastAsia="zh-CN"/>
        </w:rPr>
        <w:t>四</w:t>
      </w:r>
      <w:r>
        <w:rPr>
          <w:rStyle w:val="7"/>
          <w:rFonts w:hint="eastAsia" w:ascii="黑体" w:hAnsi="黑体" w:eastAsia="黑体" w:cs="黑体"/>
          <w:b w:val="0"/>
          <w:bCs w:val="0"/>
          <w:i w:val="0"/>
          <w:iCs w:val="0"/>
          <w:caps w:val="0"/>
          <w:color w:val="auto"/>
          <w:spacing w:val="0"/>
          <w:sz w:val="32"/>
          <w:szCs w:val="32"/>
          <w:highlight w:val="none"/>
          <w:shd w:val="clear" w:color="auto" w:fill="FFFFFF"/>
        </w:rPr>
        <w:t>章  附则</w:t>
      </w:r>
    </w:p>
    <w:p w14:paraId="4603007B">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sz w:val="32"/>
          <w:szCs w:val="32"/>
          <w:lang w:eastAsia="zh-CN"/>
        </w:rPr>
      </w:pPr>
      <w:r>
        <w:rPr>
          <w:rFonts w:hint="eastAsia" w:ascii="黑体" w:hAnsi="黑体" w:eastAsia="黑体" w:cs="黑体"/>
          <w:i w:val="0"/>
          <w:iCs w:val="0"/>
          <w:caps w:val="0"/>
          <w:color w:val="auto"/>
          <w:spacing w:val="0"/>
          <w:sz w:val="32"/>
          <w:szCs w:val="32"/>
          <w:highlight w:val="none"/>
          <w:shd w:val="clear" w:color="auto" w:fill="FFFFFF"/>
        </w:rPr>
        <w:t>第</w:t>
      </w:r>
      <w:r>
        <w:rPr>
          <w:rFonts w:hint="eastAsia" w:ascii="黑体" w:hAnsi="黑体" w:eastAsia="黑体" w:cs="黑体"/>
          <w:i w:val="0"/>
          <w:iCs w:val="0"/>
          <w:caps w:val="0"/>
          <w:color w:val="auto"/>
          <w:spacing w:val="0"/>
          <w:sz w:val="32"/>
          <w:szCs w:val="32"/>
          <w:highlight w:val="none"/>
          <w:shd w:val="clear" w:color="auto" w:fill="FFFFFF"/>
          <w:lang w:eastAsia="zh-CN"/>
        </w:rPr>
        <w:t>二十一</w:t>
      </w:r>
      <w:r>
        <w:rPr>
          <w:rFonts w:hint="eastAsia" w:ascii="黑体" w:hAnsi="黑体" w:eastAsia="黑体" w:cs="黑体"/>
          <w:i w:val="0"/>
          <w:iCs w:val="0"/>
          <w:caps w:val="0"/>
          <w:color w:val="auto"/>
          <w:spacing w:val="0"/>
          <w:sz w:val="32"/>
          <w:szCs w:val="32"/>
          <w:highlight w:val="none"/>
          <w:shd w:val="clear" w:color="auto" w:fill="FFFFFF"/>
        </w:rPr>
        <w:t>条</w:t>
      </w:r>
      <w:r>
        <w:rPr>
          <w:rFonts w:hint="eastAsia" w:ascii="黑体" w:hAnsi="黑体" w:eastAsia="黑体" w:cs="黑体"/>
          <w:i w:val="0"/>
          <w:iCs w:val="0"/>
          <w:caps w:val="0"/>
          <w:color w:val="auto"/>
          <w:spacing w:val="0"/>
          <w:sz w:val="32"/>
          <w:szCs w:val="32"/>
          <w:highlight w:val="none"/>
          <w:shd w:val="clear" w:color="auto" w:fill="FFFFFF"/>
          <w:lang w:val="en-US" w:eastAsia="zh-CN"/>
        </w:rPr>
        <w:t xml:space="preserve">  </w:t>
      </w:r>
      <w:r>
        <w:rPr>
          <w:rFonts w:hint="eastAsia" w:ascii="仿宋_GB2312" w:hAnsi="黑体" w:eastAsia="仿宋_GB2312" w:cs="黑体"/>
          <w:b w:val="0"/>
          <w:bCs w:val="0"/>
          <w:color w:val="auto"/>
          <w:sz w:val="32"/>
          <w:szCs w:val="32"/>
          <w:lang w:val="en-US" w:eastAsia="zh-CN"/>
        </w:rPr>
        <w:t>本规定下列用语的含义：</w:t>
      </w:r>
    </w:p>
    <w:p w14:paraId="7D5A5810">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sz w:val="32"/>
          <w:szCs w:val="32"/>
        </w:rPr>
      </w:pPr>
      <w:r>
        <w:rPr>
          <w:rFonts w:hint="eastAsia" w:ascii="仿宋_GB2312" w:hAnsi="黑体" w:eastAsia="仿宋_GB2312" w:cs="黑体"/>
          <w:b w:val="0"/>
          <w:bCs w:val="0"/>
          <w:color w:val="auto"/>
          <w:sz w:val="32"/>
          <w:szCs w:val="32"/>
        </w:rPr>
        <w:t>（一）“固定经营场所”，是指用于商品销售、存储的不可移动且合法使用的场所，不包括住宅、公寓或其附属的地下室、储藏室、车库等，也不包含流动摊点</w:t>
      </w:r>
      <w:r>
        <w:rPr>
          <w:rFonts w:hint="eastAsia" w:ascii="仿宋_GB2312" w:hAnsi="黑体" w:eastAsia="仿宋_GB2312" w:cs="黑体"/>
          <w:b w:val="0"/>
          <w:bCs w:val="0"/>
          <w:color w:val="auto"/>
          <w:sz w:val="32"/>
          <w:szCs w:val="32"/>
          <w:highlight w:val="none"/>
        </w:rPr>
        <w:t>（车、棚）、</w:t>
      </w:r>
      <w:r>
        <w:rPr>
          <w:rFonts w:hint="eastAsia" w:ascii="仿宋_GB2312" w:hAnsi="黑体" w:eastAsia="仿宋_GB2312" w:cs="黑体"/>
          <w:b w:val="0"/>
          <w:bCs w:val="0"/>
          <w:color w:val="auto"/>
          <w:sz w:val="32"/>
          <w:szCs w:val="32"/>
        </w:rPr>
        <w:t>违章建筑、临时建筑物</w:t>
      </w:r>
      <w:r>
        <w:rPr>
          <w:rFonts w:hint="eastAsia" w:ascii="仿宋_GB2312" w:hAnsi="黑体" w:eastAsia="仿宋_GB2312" w:cs="黑体"/>
          <w:b w:val="0"/>
          <w:bCs w:val="0"/>
          <w:color w:val="auto"/>
          <w:sz w:val="32"/>
          <w:szCs w:val="32"/>
          <w:lang w:eastAsia="zh-CN"/>
        </w:rPr>
        <w:t>、</w:t>
      </w:r>
      <w:r>
        <w:rPr>
          <w:rFonts w:hint="eastAsia" w:ascii="仿宋_GB2312" w:hAnsi="黑体" w:eastAsia="仿宋_GB2312" w:cs="黑体"/>
          <w:b w:val="0"/>
          <w:bCs w:val="0"/>
          <w:color w:val="auto"/>
          <w:sz w:val="32"/>
          <w:szCs w:val="32"/>
          <w:lang w:val="en-US" w:eastAsia="zh-CN"/>
        </w:rPr>
        <w:t>板房</w:t>
      </w:r>
      <w:r>
        <w:rPr>
          <w:rFonts w:hint="eastAsia" w:ascii="仿宋_GB2312" w:hAnsi="黑体" w:eastAsia="仿宋_GB2312" w:cs="黑体"/>
          <w:b w:val="0"/>
          <w:bCs w:val="0"/>
          <w:color w:val="auto"/>
          <w:sz w:val="32"/>
          <w:szCs w:val="32"/>
        </w:rPr>
        <w:t>（建筑工地除外）等。但申请人用于存放烟草制品的储藏室、仓库等空间视为经营场所，应当在实地核查时予以明确。</w:t>
      </w:r>
    </w:p>
    <w:p w14:paraId="437985DB">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sz w:val="32"/>
          <w:szCs w:val="32"/>
        </w:rPr>
      </w:pPr>
      <w:r>
        <w:rPr>
          <w:rFonts w:hint="eastAsia" w:ascii="仿宋_GB2312" w:hAnsi="黑体" w:eastAsia="仿宋_GB2312" w:cs="黑体"/>
          <w:b w:val="0"/>
          <w:bCs w:val="0"/>
          <w:color w:val="auto"/>
          <w:sz w:val="32"/>
          <w:szCs w:val="32"/>
        </w:rPr>
        <w:t>（二）“与住所相独立”，是指经营场所与生活居住场所在物理空间上隔离且有明确的区域界线。</w:t>
      </w:r>
    </w:p>
    <w:p w14:paraId="27A5628D">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sz w:val="32"/>
          <w:szCs w:val="32"/>
        </w:rPr>
      </w:pPr>
      <w:r>
        <w:rPr>
          <w:rFonts w:hint="eastAsia" w:ascii="仿宋_GB2312" w:hAnsi="黑体" w:eastAsia="仿宋_GB2312" w:cs="黑体"/>
          <w:b w:val="0"/>
          <w:bCs w:val="0"/>
          <w:color w:val="auto"/>
          <w:sz w:val="32"/>
          <w:szCs w:val="32"/>
        </w:rPr>
        <w:t>（三）“中、小学校”，是指普通中小学、特殊教育学校、中等职业学校、专门学校。</w:t>
      </w:r>
    </w:p>
    <w:p w14:paraId="17AB866F">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sz w:val="32"/>
          <w:szCs w:val="32"/>
        </w:rPr>
      </w:pPr>
      <w:r>
        <w:rPr>
          <w:rFonts w:hint="eastAsia" w:ascii="仿宋_GB2312" w:hAnsi="黑体" w:eastAsia="仿宋_GB2312" w:cs="黑体"/>
          <w:b w:val="0"/>
          <w:bCs w:val="0"/>
          <w:color w:val="auto"/>
          <w:sz w:val="32"/>
          <w:szCs w:val="32"/>
        </w:rPr>
        <w:t>（四）“幼儿园”，是指经教育行政部门审批注册的对学龄前幼儿实施教育的机构。</w:t>
      </w:r>
    </w:p>
    <w:p w14:paraId="33242F63">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sz w:val="32"/>
          <w:szCs w:val="32"/>
        </w:rPr>
      </w:pPr>
      <w:r>
        <w:rPr>
          <w:rFonts w:hint="eastAsia" w:ascii="仿宋_GB2312" w:hAnsi="黑体" w:eastAsia="仿宋_GB2312" w:cs="黑体"/>
          <w:b w:val="0"/>
          <w:bCs w:val="0"/>
          <w:color w:val="auto"/>
          <w:sz w:val="32"/>
          <w:szCs w:val="32"/>
        </w:rPr>
        <w:t>（五）“具备商品售卖条件”，是指已经依法取得营业执照，设置商品展示零售的柜台或货架，明确存储位置或场所，具备正常开展经营活动的条件。</w:t>
      </w:r>
    </w:p>
    <w:p w14:paraId="7BD491A8">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仿宋_GB2312" w:hAnsi="Times New Roman" w:eastAsia="仿宋_GB2312" w:cs="仿宋_GB2312"/>
          <w:i w:val="0"/>
          <w:iCs w:val="0"/>
          <w:caps w:val="0"/>
          <w:color w:val="auto"/>
          <w:spacing w:val="0"/>
          <w:sz w:val="32"/>
          <w:szCs w:val="32"/>
          <w:shd w:val="clear" w:color="auto" w:fill="FFFFFF"/>
          <w:lang w:val="en-US" w:eastAsia="zh-CN"/>
        </w:rPr>
      </w:pPr>
      <w:r>
        <w:rPr>
          <w:rFonts w:hint="eastAsia" w:ascii="仿宋_GB2312" w:hAnsi="黑体" w:eastAsia="仿宋_GB2312" w:cs="黑体"/>
          <w:b w:val="0"/>
          <w:bCs w:val="0"/>
          <w:color w:val="auto"/>
          <w:sz w:val="32"/>
          <w:szCs w:val="32"/>
        </w:rPr>
        <w:t>（六）“间距”，是指申请点与最近零售点或中小学、幼儿园进出通道口之间依法可通行的最短距离。</w:t>
      </w:r>
      <w:r>
        <w:rPr>
          <w:rFonts w:hint="eastAsia" w:ascii="仿宋_GB2312" w:hAnsi="黑体" w:eastAsia="仿宋_GB2312" w:cs="黑体"/>
          <w:b w:val="0"/>
          <w:bCs w:val="0"/>
          <w:color w:val="auto"/>
          <w:sz w:val="32"/>
          <w:szCs w:val="32"/>
          <w:lang w:eastAsia="zh-CN"/>
        </w:rPr>
        <w:t>详见</w:t>
      </w:r>
      <w:r>
        <w:rPr>
          <w:rFonts w:hint="eastAsia" w:ascii="仿宋_GB2312" w:hAnsi="黑体" w:eastAsia="仿宋_GB2312" w:cs="黑体"/>
          <w:color w:val="auto"/>
          <w:sz w:val="32"/>
          <w:szCs w:val="32"/>
        </w:rPr>
        <w:t>《</w:t>
      </w:r>
      <w:r>
        <w:rPr>
          <w:rFonts w:hint="eastAsia" w:ascii="仿宋_GB2312" w:hAnsi="黑体" w:eastAsia="仿宋_GB2312" w:cs="黑体"/>
          <w:color w:val="auto"/>
          <w:sz w:val="32"/>
          <w:szCs w:val="32"/>
          <w:lang w:val="en-US" w:eastAsia="zh-CN"/>
        </w:rPr>
        <w:t>淄博市博山区</w:t>
      </w:r>
      <w:r>
        <w:rPr>
          <w:rFonts w:hint="eastAsia" w:ascii="仿宋_GB2312" w:hAnsi="黑体" w:eastAsia="仿宋_GB2312" w:cs="黑体"/>
          <w:color w:val="auto"/>
          <w:sz w:val="32"/>
          <w:szCs w:val="32"/>
        </w:rPr>
        <w:t>烟草专卖局烟草制品零售点间距测量规则及标准</w:t>
      </w:r>
      <w:r>
        <w:rPr>
          <w:rFonts w:ascii="仿宋_GB2312" w:hAnsi="黑体" w:eastAsia="仿宋_GB2312" w:cs="黑体"/>
          <w:color w:val="auto"/>
          <w:sz w:val="32"/>
          <w:szCs w:val="32"/>
        </w:rPr>
        <w:t>》</w:t>
      </w:r>
      <w:r>
        <w:rPr>
          <w:rFonts w:hint="eastAsia" w:ascii="仿宋_GB2312" w:hAnsi="黑体" w:eastAsia="仿宋_GB2312" w:cs="黑体"/>
          <w:color w:val="auto"/>
          <w:sz w:val="32"/>
          <w:szCs w:val="32"/>
          <w:lang w:eastAsia="zh-CN"/>
        </w:rPr>
        <w:t>（附件</w:t>
      </w:r>
      <w:r>
        <w:rPr>
          <w:rFonts w:hint="eastAsia" w:ascii="仿宋_GB2312" w:hAnsi="黑体" w:eastAsia="仿宋_GB2312" w:cs="黑体"/>
          <w:color w:val="auto"/>
          <w:sz w:val="32"/>
          <w:szCs w:val="32"/>
          <w:lang w:val="en-US" w:eastAsia="zh-CN"/>
        </w:rPr>
        <w:t>2）。</w:t>
      </w:r>
    </w:p>
    <w:p w14:paraId="20D0F777">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仿宋_GB2312" w:hAnsi="黑体" w:eastAsia="仿宋_GB2312" w:cs="黑体"/>
          <w:b w:val="0"/>
          <w:bCs w:val="0"/>
          <w:color w:val="auto"/>
          <w:sz w:val="32"/>
          <w:szCs w:val="32"/>
          <w:lang w:val="en-US" w:eastAsia="zh-CN"/>
        </w:rPr>
      </w:pPr>
      <w:r>
        <w:rPr>
          <w:rFonts w:hint="eastAsia" w:ascii="黑体" w:hAnsi="黑体" w:eastAsia="黑体" w:cs="仿宋_GB2312"/>
          <w:color w:val="auto"/>
          <w:sz w:val="32"/>
          <w:szCs w:val="32"/>
        </w:rPr>
        <w:t>第</w:t>
      </w:r>
      <w:r>
        <w:rPr>
          <w:rFonts w:hint="eastAsia" w:ascii="黑体" w:hAnsi="黑体" w:eastAsia="黑体" w:cs="仿宋_GB2312"/>
          <w:color w:val="auto"/>
          <w:sz w:val="32"/>
          <w:szCs w:val="32"/>
          <w:lang w:eastAsia="zh-CN"/>
        </w:rPr>
        <w:t>二十二</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黑体" w:eastAsia="仿宋_GB2312" w:cs="黑体"/>
          <w:b w:val="0"/>
          <w:bCs w:val="0"/>
          <w:color w:val="auto"/>
          <w:sz w:val="32"/>
          <w:szCs w:val="32"/>
        </w:rPr>
        <w:t>市场单元零售点规划数量、间距标准每年通过</w:t>
      </w:r>
      <w:r>
        <w:rPr>
          <w:rFonts w:hint="eastAsia" w:ascii="仿宋_GB2312" w:hAnsi="黑体" w:eastAsia="仿宋_GB2312" w:cs="黑体"/>
          <w:b w:val="0"/>
          <w:bCs w:val="0"/>
          <w:color w:val="auto"/>
          <w:sz w:val="32"/>
          <w:szCs w:val="32"/>
          <w:lang w:val="en-US" w:eastAsia="zh-CN"/>
        </w:rPr>
        <w:t>淄博市</w:t>
      </w:r>
      <w:r>
        <w:rPr>
          <w:rFonts w:hint="eastAsia" w:ascii="仿宋_GB2312" w:hAnsi="黑体" w:eastAsia="仿宋_GB2312" w:cs="黑体"/>
          <w:b w:val="0"/>
          <w:bCs w:val="0"/>
          <w:color w:val="auto"/>
          <w:sz w:val="32"/>
          <w:szCs w:val="32"/>
          <w:lang w:eastAsia="zh-CN"/>
        </w:rPr>
        <w:t>博山区人民政府官网</w:t>
      </w:r>
      <w:r>
        <w:rPr>
          <w:rFonts w:hint="eastAsia" w:ascii="仿宋_GB2312" w:hAnsi="黑体" w:eastAsia="仿宋_GB2312" w:cs="黑体"/>
          <w:b w:val="0"/>
          <w:bCs w:val="0"/>
          <w:color w:val="auto"/>
          <w:sz w:val="32"/>
          <w:szCs w:val="32"/>
        </w:rPr>
        <w:t>予以公布，可根据实际情况调整公布时间和频次</w:t>
      </w:r>
      <w:r>
        <w:rPr>
          <w:rFonts w:hint="eastAsia" w:ascii="仿宋_GB2312" w:hAnsi="黑体" w:eastAsia="仿宋_GB2312" w:cs="黑体"/>
          <w:b w:val="0"/>
          <w:bCs w:val="0"/>
          <w:color w:val="auto"/>
          <w:sz w:val="32"/>
          <w:szCs w:val="32"/>
          <w:lang w:eastAsia="zh-CN"/>
        </w:rPr>
        <w:t>。</w:t>
      </w:r>
      <w:r>
        <w:rPr>
          <w:rFonts w:hint="eastAsia" w:ascii="仿宋_GB2312" w:hAnsi="黑体" w:eastAsia="仿宋_GB2312" w:cs="黑体"/>
          <w:color w:val="auto"/>
          <w:sz w:val="32"/>
          <w:szCs w:val="32"/>
          <w:lang w:val="en-US" w:eastAsia="zh-CN"/>
        </w:rPr>
        <w:t>保护性冻结及应急性增设情况要及时通过淄博市博山区人民政府官网对外</w:t>
      </w:r>
      <w:r>
        <w:rPr>
          <w:rFonts w:hint="eastAsia" w:ascii="仿宋_GB2312" w:hAnsi="黑体" w:eastAsia="仿宋_GB2312" w:cs="黑体"/>
          <w:color w:val="auto"/>
          <w:sz w:val="32"/>
          <w:szCs w:val="32"/>
        </w:rPr>
        <w:t>予以公布</w:t>
      </w:r>
      <w:r>
        <w:rPr>
          <w:rFonts w:hint="eastAsia" w:ascii="仿宋_GB2312" w:hAnsi="黑体" w:eastAsia="仿宋_GB2312" w:cs="黑体"/>
          <w:color w:val="auto"/>
          <w:sz w:val="32"/>
          <w:szCs w:val="32"/>
          <w:lang w:eastAsia="zh-CN"/>
        </w:rPr>
        <w:t>。</w:t>
      </w:r>
    </w:p>
    <w:p w14:paraId="52BC401A">
      <w:pPr>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申请人轮候排序情况实时通过</w:t>
      </w:r>
      <w:r>
        <w:rPr>
          <w:rFonts w:hint="eastAsia" w:ascii="仿宋_GB2312" w:hAnsi="黑体" w:eastAsia="仿宋_GB2312" w:cs="黑体"/>
          <w:color w:val="auto"/>
          <w:sz w:val="32"/>
          <w:szCs w:val="32"/>
          <w:lang w:eastAsia="zh-CN"/>
        </w:rPr>
        <w:t>淄博市博山区烟草专卖局</w:t>
      </w:r>
      <w:r>
        <w:rPr>
          <w:rFonts w:hint="eastAsia" w:ascii="仿宋_GB2312" w:hAnsi="黑体" w:eastAsia="仿宋_GB2312" w:cs="黑体"/>
          <w:color w:val="auto"/>
          <w:sz w:val="32"/>
          <w:szCs w:val="32"/>
        </w:rPr>
        <w:t>政务服务大厅公示栏方式予以公示。</w:t>
      </w:r>
    </w:p>
    <w:p w14:paraId="76D42A4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both"/>
        <w:textAlignment w:val="auto"/>
        <w:rPr>
          <w:rFonts w:hint="eastAsia" w:ascii="仿宋_GB2312" w:hAnsi="仿宋_GB2312" w:eastAsia="仿宋_GB2312" w:cs="仿宋_GB2312"/>
          <w:color w:val="auto"/>
          <w:sz w:val="32"/>
          <w:szCs w:val="32"/>
          <w:highlight w:val="none"/>
        </w:rPr>
      </w:pPr>
      <w:r>
        <w:rPr>
          <w:rFonts w:hint="eastAsia" w:ascii="方正仿宋_GB2312" w:hAnsi="方正仿宋_GB2312" w:eastAsia="方正仿宋_GB2312" w:cs="方正仿宋_GB2312"/>
          <w:i w:val="0"/>
          <w:iCs w:val="0"/>
          <w:caps w:val="0"/>
          <w:color w:val="auto"/>
          <w:spacing w:val="0"/>
          <w:sz w:val="32"/>
          <w:szCs w:val="32"/>
          <w:highlight w:val="none"/>
          <w:shd w:val="clear" w:color="auto" w:fill="FFFFFF"/>
        </w:rPr>
        <w:t>　</w:t>
      </w:r>
      <w:r>
        <w:rPr>
          <w:rFonts w:hint="eastAsia" w:ascii="黑体" w:hAnsi="黑体" w:eastAsia="黑体" w:cs="黑体"/>
          <w:i w:val="0"/>
          <w:iCs w:val="0"/>
          <w:caps w:val="0"/>
          <w:color w:val="auto"/>
          <w:spacing w:val="0"/>
          <w:sz w:val="32"/>
          <w:szCs w:val="32"/>
          <w:highlight w:val="none"/>
          <w:shd w:val="clear" w:color="auto" w:fill="FFFFFF"/>
        </w:rPr>
        <w:t>　第</w:t>
      </w:r>
      <w:r>
        <w:rPr>
          <w:rFonts w:hint="eastAsia" w:ascii="黑体" w:hAnsi="黑体" w:eastAsia="黑体" w:cs="黑体"/>
          <w:i w:val="0"/>
          <w:iCs w:val="0"/>
          <w:caps w:val="0"/>
          <w:color w:val="auto"/>
          <w:spacing w:val="0"/>
          <w:sz w:val="32"/>
          <w:szCs w:val="32"/>
          <w:highlight w:val="none"/>
          <w:shd w:val="clear" w:color="auto" w:fill="FFFFFF"/>
          <w:lang w:eastAsia="zh-CN"/>
        </w:rPr>
        <w:t>二十三</w:t>
      </w:r>
      <w:r>
        <w:rPr>
          <w:rFonts w:hint="eastAsia" w:ascii="黑体" w:hAnsi="黑体" w:eastAsia="黑体" w:cs="黑体"/>
          <w:i w:val="0"/>
          <w:iCs w:val="0"/>
          <w:caps w:val="0"/>
          <w:color w:val="auto"/>
          <w:spacing w:val="0"/>
          <w:sz w:val="32"/>
          <w:szCs w:val="32"/>
          <w:highlight w:val="none"/>
          <w:shd w:val="clear" w:color="auto" w:fill="FFFFFF"/>
        </w:rPr>
        <w:t>条</w:t>
      </w:r>
      <w:r>
        <w:rPr>
          <w:rFonts w:hint="eastAsia" w:ascii="黑体" w:hAnsi="黑体" w:eastAsia="黑体" w:cs="黑体"/>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本规定中涉及的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以内”、</w:t>
      </w:r>
      <w:r>
        <w:rPr>
          <w:rFonts w:hint="eastAsia" w:ascii="仿宋_GB2312" w:hAnsi="仿宋_GB2312" w:eastAsia="仿宋_GB2312" w:cs="仿宋_GB2312"/>
          <w:i w:val="0"/>
          <w:iCs w:val="0"/>
          <w:caps w:val="0"/>
          <w:color w:val="auto"/>
          <w:spacing w:val="0"/>
          <w:sz w:val="32"/>
          <w:szCs w:val="32"/>
          <w:highlight w:val="none"/>
          <w:shd w:val="clear" w:color="auto" w:fill="FFFFFF"/>
        </w:rPr>
        <w:t>“达到”、“不超过”、“以上”包含本数。</w:t>
      </w:r>
    </w:p>
    <w:p w14:paraId="3082D66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jc w:val="both"/>
        <w:textAlignment w:val="auto"/>
        <w:rPr>
          <w:rFonts w:hint="eastAsia" w:ascii="方正仿宋_GB2312" w:hAnsi="方正仿宋_GB2312" w:eastAsia="方正仿宋_GB2312" w:cs="方正仿宋_GB2312"/>
          <w:color w:val="auto"/>
          <w:sz w:val="32"/>
          <w:szCs w:val="32"/>
          <w:highlight w:val="red"/>
        </w:rPr>
      </w:pPr>
      <w:r>
        <w:rPr>
          <w:rFonts w:hint="eastAsia" w:ascii="方正仿宋_GB2312" w:hAnsi="方正仿宋_GB2312" w:eastAsia="方正仿宋_GB2312" w:cs="方正仿宋_GB2312"/>
          <w:i w:val="0"/>
          <w:iCs w:val="0"/>
          <w:caps w:val="0"/>
          <w:color w:val="auto"/>
          <w:spacing w:val="0"/>
          <w:sz w:val="32"/>
          <w:szCs w:val="32"/>
          <w:highlight w:val="none"/>
          <w:shd w:val="clear" w:color="auto" w:fill="FFFFFF"/>
        </w:rPr>
        <w:t>　　</w:t>
      </w:r>
      <w:r>
        <w:rPr>
          <w:rFonts w:hint="eastAsia" w:ascii="黑体" w:hAnsi="黑体" w:eastAsia="黑体" w:cs="黑体"/>
          <w:i w:val="0"/>
          <w:iCs w:val="0"/>
          <w:caps w:val="0"/>
          <w:color w:val="auto"/>
          <w:spacing w:val="0"/>
          <w:sz w:val="32"/>
          <w:szCs w:val="32"/>
          <w:highlight w:val="none"/>
          <w:shd w:val="clear" w:color="auto" w:fill="FFFFFF"/>
        </w:rPr>
        <w:t>第</w:t>
      </w:r>
      <w:r>
        <w:rPr>
          <w:rFonts w:hint="eastAsia" w:ascii="黑体" w:hAnsi="黑体" w:eastAsia="黑体" w:cs="黑体"/>
          <w:i w:val="0"/>
          <w:iCs w:val="0"/>
          <w:caps w:val="0"/>
          <w:color w:val="auto"/>
          <w:spacing w:val="0"/>
          <w:sz w:val="32"/>
          <w:szCs w:val="32"/>
          <w:highlight w:val="none"/>
          <w:shd w:val="clear" w:color="auto" w:fill="FFFFFF"/>
          <w:lang w:eastAsia="zh-CN"/>
        </w:rPr>
        <w:t>二十四</w:t>
      </w:r>
      <w:r>
        <w:rPr>
          <w:rFonts w:hint="eastAsia" w:ascii="黑体" w:hAnsi="黑体" w:eastAsia="黑体" w:cs="黑体"/>
          <w:i w:val="0"/>
          <w:iCs w:val="0"/>
          <w:caps w:val="0"/>
          <w:color w:val="auto"/>
          <w:spacing w:val="0"/>
          <w:sz w:val="32"/>
          <w:szCs w:val="32"/>
          <w:highlight w:val="none"/>
          <w:shd w:val="clear" w:color="auto" w:fill="FFFFFF"/>
        </w:rPr>
        <w:t>条</w:t>
      </w:r>
      <w:r>
        <w:rPr>
          <w:rFonts w:hint="eastAsia" w:ascii="黑体" w:hAnsi="黑体" w:eastAsia="黑体" w:cs="黑体"/>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本规定由</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淄博市</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博山</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区烟草专卖局</w:t>
      </w:r>
      <w:r>
        <w:rPr>
          <w:rFonts w:hint="eastAsia" w:ascii="仿宋_GB2312" w:hAnsi="仿宋_GB2312" w:eastAsia="仿宋_GB2312" w:cs="仿宋_GB2312"/>
          <w:i w:val="0"/>
          <w:iCs w:val="0"/>
          <w:caps w:val="0"/>
          <w:color w:val="auto"/>
          <w:spacing w:val="0"/>
          <w:sz w:val="32"/>
          <w:szCs w:val="32"/>
          <w:highlight w:val="none"/>
          <w:shd w:val="clear" w:color="auto" w:fill="FFFFFF"/>
        </w:rPr>
        <w:t>负责解释。</w:t>
      </w:r>
    </w:p>
    <w:p w14:paraId="08C4317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6"/>
        <w:jc w:val="both"/>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黑体" w:hAnsi="黑体" w:eastAsia="黑体" w:cs="黑体"/>
          <w:i w:val="0"/>
          <w:iCs w:val="0"/>
          <w:caps w:val="0"/>
          <w:color w:val="auto"/>
          <w:spacing w:val="0"/>
          <w:sz w:val="32"/>
          <w:szCs w:val="32"/>
          <w:highlight w:val="none"/>
          <w:shd w:val="clear" w:color="auto" w:fill="FFFFFF"/>
        </w:rPr>
        <w:t>第二十</w:t>
      </w:r>
      <w:r>
        <w:rPr>
          <w:rFonts w:hint="eastAsia" w:ascii="黑体" w:hAnsi="黑体" w:eastAsia="黑体" w:cs="黑体"/>
          <w:i w:val="0"/>
          <w:iCs w:val="0"/>
          <w:caps w:val="0"/>
          <w:color w:val="auto"/>
          <w:spacing w:val="0"/>
          <w:sz w:val="32"/>
          <w:szCs w:val="32"/>
          <w:highlight w:val="none"/>
          <w:shd w:val="clear" w:color="auto" w:fill="FFFFFF"/>
          <w:lang w:eastAsia="zh-CN"/>
        </w:rPr>
        <w:t>五</w:t>
      </w:r>
      <w:r>
        <w:rPr>
          <w:rFonts w:hint="eastAsia" w:ascii="黑体" w:hAnsi="黑体" w:eastAsia="黑体" w:cs="黑体"/>
          <w:i w:val="0"/>
          <w:iCs w:val="0"/>
          <w:caps w:val="0"/>
          <w:color w:val="auto"/>
          <w:spacing w:val="0"/>
          <w:sz w:val="32"/>
          <w:szCs w:val="32"/>
          <w:highlight w:val="none"/>
          <w:shd w:val="clear" w:color="auto" w:fill="FFFFFF"/>
        </w:rPr>
        <w:t>条</w:t>
      </w:r>
      <w:r>
        <w:rPr>
          <w:rFonts w:hint="eastAsia" w:ascii="黑体" w:hAnsi="黑体" w:eastAsia="黑体" w:cs="黑体"/>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本规定自202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rPr>
        <w:t>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color="auto" w:fill="FFFFFF"/>
        </w:rPr>
        <w:t>月</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color="auto" w:fill="FFFFFF"/>
        </w:rPr>
        <w:t>日起实施</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有效期为五年</w:t>
      </w:r>
      <w:r>
        <w:rPr>
          <w:rFonts w:hint="eastAsia" w:ascii="仿宋_GB2312" w:hAnsi="仿宋_GB2312" w:eastAsia="仿宋_GB2312" w:cs="仿宋_GB2312"/>
          <w:i w:val="0"/>
          <w:iCs w:val="0"/>
          <w:caps w:val="0"/>
          <w:color w:val="auto"/>
          <w:spacing w:val="0"/>
          <w:sz w:val="32"/>
          <w:szCs w:val="32"/>
          <w:highlight w:val="none"/>
          <w:shd w:val="clear" w:color="auto" w:fill="FFFFFF"/>
        </w:rPr>
        <w:t>。本规定实施期间，根据辖区经济发展状况及相关法律法规的规定需要进行小范围调整的，以补充规定的形式经法定程序后予以发布实施。</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2017年公告执行的《博山区烟草制品零售点合理布局规定》同时废止。</w:t>
      </w:r>
    </w:p>
    <w:p w14:paraId="04062945">
      <w:pPr>
        <w:keepNext w:val="0"/>
        <w:keepLines w:val="0"/>
        <w:pageBreakBefore w:val="0"/>
        <w:widowControl w:val="0"/>
        <w:kinsoku/>
        <w:wordWrap/>
        <w:overflowPunct/>
        <w:topLinePunct w:val="0"/>
        <w:autoSpaceDE/>
        <w:autoSpaceDN/>
        <w:bidi w:val="0"/>
        <w:spacing w:line="570" w:lineRule="exact"/>
        <w:ind w:left="1280" w:leftChars="0" w:hanging="1280" w:hangingChars="4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w:t>
      </w:r>
    </w:p>
    <w:p w14:paraId="7E28F897">
      <w:pPr>
        <w:keepNext w:val="0"/>
        <w:keepLines w:val="0"/>
        <w:pageBreakBefore w:val="0"/>
        <w:widowControl w:val="0"/>
        <w:kinsoku/>
        <w:wordWrap/>
        <w:overflowPunct/>
        <w:topLinePunct w:val="0"/>
        <w:autoSpaceDE/>
        <w:autoSpaceDN/>
        <w:bidi w:val="0"/>
        <w:spacing w:line="570" w:lineRule="exact"/>
        <w:ind w:left="1661" w:leftChars="302" w:hanging="1027" w:hangingChars="321"/>
        <w:textAlignment w:val="auto"/>
        <w:rPr>
          <w:rFonts w:hint="eastAsia" w:ascii="仿宋_GB2312" w:hAnsi="仿宋_GB2312" w:eastAsia="仿宋_GB2312" w:cs="仿宋_GB2312"/>
          <w:color w:val="auto"/>
          <w:sz w:val="32"/>
          <w:szCs w:val="32"/>
        </w:rPr>
      </w:pPr>
      <w:r>
        <w:rPr>
          <w:rFonts w:hint="eastAsia" w:ascii="CESI仿宋-GB2312" w:hAnsi="CESI仿宋-GB2312" w:eastAsia="CESI仿宋-GB2312" w:cs="CESI仿宋-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淄博市博山区</w:t>
      </w:r>
      <w:r>
        <w:rPr>
          <w:rFonts w:hint="eastAsia" w:ascii="仿宋_GB2312" w:hAnsi="仿宋_GB2312" w:eastAsia="仿宋_GB2312" w:cs="仿宋_GB2312"/>
          <w:color w:val="auto"/>
          <w:sz w:val="32"/>
          <w:szCs w:val="32"/>
        </w:rPr>
        <w:t>烟草专卖局市场单元烟草制品零售点布局规划明细表》</w:t>
      </w:r>
    </w:p>
    <w:p w14:paraId="609D2965">
      <w:pPr>
        <w:keepNext w:val="0"/>
        <w:keepLines w:val="0"/>
        <w:pageBreakBefore w:val="0"/>
        <w:widowControl w:val="0"/>
        <w:kinsoku/>
        <w:wordWrap/>
        <w:overflowPunct/>
        <w:topLinePunct w:val="0"/>
        <w:autoSpaceDE/>
        <w:autoSpaceDN/>
        <w:bidi w:val="0"/>
        <w:spacing w:line="570" w:lineRule="exact"/>
        <w:ind w:left="1596" w:leftChars="760" w:firstLine="0" w:firstLineChars="0"/>
        <w:textAlignment w:val="auto"/>
        <w:rPr>
          <w:rFonts w:hint="default" w:ascii="仿宋_GB2312" w:hAnsi="华文仿宋"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淄博市博山区</w:t>
      </w:r>
      <w:r>
        <w:rPr>
          <w:rFonts w:hint="eastAsia" w:ascii="仿宋_GB2312" w:hAnsi="仿宋_GB2312" w:eastAsia="仿宋_GB2312" w:cs="仿宋_GB2312"/>
          <w:color w:val="auto"/>
          <w:sz w:val="32"/>
          <w:szCs w:val="32"/>
        </w:rPr>
        <w:t>烟草专卖局烟草制品零售点间距测量规则及标准》</w:t>
      </w:r>
    </w:p>
    <w:p w14:paraId="09797785">
      <w:pPr>
        <w:rPr>
          <w:rFonts w:hint="default" w:ascii="仿宋_GB2312" w:eastAsia="仿宋_GB2312"/>
          <w:sz w:val="32"/>
          <w:lang w:val="e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2F94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CEE03">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3CEE03">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C66B1"/>
    <w:multiLevelType w:val="singleLevel"/>
    <w:tmpl w:val="ED6C66B1"/>
    <w:lvl w:ilvl="0" w:tentative="0">
      <w:start w:val="2"/>
      <w:numFmt w:val="chineseCounting"/>
      <w:suff w:val="nothing"/>
      <w:lvlText w:val="（%1）"/>
      <w:lvlJc w:val="left"/>
      <w:rPr>
        <w:rFonts w:hint="eastAsia"/>
      </w:rPr>
    </w:lvl>
  </w:abstractNum>
  <w:abstractNum w:abstractNumId="1">
    <w:nsid w:val="37376B35"/>
    <w:multiLevelType w:val="singleLevel"/>
    <w:tmpl w:val="37376B35"/>
    <w:lvl w:ilvl="0" w:tentative="0">
      <w:start w:val="3"/>
      <w:numFmt w:val="chineseCounting"/>
      <w:suff w:val="nothing"/>
      <w:lvlText w:val="（%1）"/>
      <w:lvlJc w:val="left"/>
      <w:rPr>
        <w:rFonts w:hint="eastAsia"/>
      </w:rPr>
    </w:lvl>
  </w:abstractNum>
  <w:abstractNum w:abstractNumId="2">
    <w:nsid w:val="4C888AA5"/>
    <w:multiLevelType w:val="singleLevel"/>
    <w:tmpl w:val="4C888AA5"/>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90A3B"/>
    <w:rsid w:val="39E93590"/>
    <w:rsid w:val="6CD2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character" w:styleId="7">
    <w:name w:val="Strong"/>
    <w:basedOn w:val="6"/>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4212</Words>
  <Characters>4245</Characters>
  <Lines>0</Lines>
  <Paragraphs>0</Paragraphs>
  <TotalTime>0</TotalTime>
  <ScaleCrop>false</ScaleCrop>
  <LinksUpToDate>false</LinksUpToDate>
  <CharactersWithSpaces>4341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2024-12-13T01:24:00Z</dcterms:created>
  <dc:creator>mymta</dc:creator>
  <cp:lastModifiedBy>孟文豪</cp:lastModifiedBy>
  <dcterms:modified xsi:type="dcterms:W3CDTF">2024-12-13T01:38:54Z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0AAE9191AE4C459F8E9662F903FC0F03_12</vt:lpwstr>
  </property>
</Properties>
</file>